
<file path=[Content_Types].xml><?xml version="1.0" encoding="utf-8"?>
<Types xmlns="http://schemas.openxmlformats.org/package/2006/content-types">
  <Override PartName="/word/theme/themeOverride5.xml" ContentType="application/vnd.openxmlformats-officedocument.themeOverride+xml"/>
  <Override PartName="/word/charts/chart10.xml" ContentType="application/vnd.openxmlformats-officedocument.drawingml.chart+xml"/>
  <Override PartName="/word/theme/themeOverride15.xml" ContentType="application/vnd.openxmlformats-officedocument.themeOverride+xml"/>
  <Override PartName="/word/theme/themeOverride26.xml" ContentType="application/vnd.openxmlformats-officedocument.themeOverride+xml"/>
  <Override PartName="/word/theme/themeOverride44.xml" ContentType="application/vnd.openxmlformats-officedocument.themeOverride+xml"/>
  <Override PartName="/word/theme/themeOverride62.xml" ContentType="application/vnd.openxmlformats-officedocument.themeOverride+xml"/>
  <Override PartName="/customXml/itemProps1.xml" ContentType="application/vnd.openxmlformats-officedocument.customXmlProperties+xml"/>
  <Override PartName="/word/theme/themeOverride22.xml" ContentType="application/vnd.openxmlformats-officedocument.themeOverride+xml"/>
  <Override PartName="/word/theme/themeOverride33.xml" ContentType="application/vnd.openxmlformats-officedocument.themeOverride+xml"/>
  <Override PartName="/word/theme/themeOverride51.xml" ContentType="application/vnd.openxmlformats-officedocument.themeOverride+xml"/>
  <Override PartName="/word/theme/themeOverride1.xml" ContentType="application/vnd.openxmlformats-officedocument.themeOverride+xml"/>
  <Override PartName="/word/theme/themeOverride11.xml" ContentType="application/vnd.openxmlformats-officedocument.themeOverride+xml"/>
  <Override PartName="/word/theme/themeOverride40.xml" ContentType="application/vnd.openxmlformats-officedocument.themeOverride+xml"/>
  <Override PartName="/word/charts/chart59.xml" ContentType="application/vnd.openxmlformats-officedocument.drawingml.chart+xml"/>
  <Override PartName="/word/charts/chart77.xml" ContentType="application/vnd.openxmlformats-officedocument.drawingml.chart+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charts/chart9.xml" ContentType="application/vnd.openxmlformats-officedocument.drawingml.chart+xml"/>
  <Override PartName="/word/charts/chart19.xml" ContentType="application/vnd.openxmlformats-officedocument.drawingml.chart+xml"/>
  <Override PartName="/word/charts/chart48.xml" ContentType="application/vnd.openxmlformats-officedocument.drawingml.chart+xml"/>
  <Override PartName="/word/charts/chart66.xml" ContentType="application/vnd.openxmlformats-officedocument.drawingml.chart+xml"/>
  <Override PartName="/word/charts/chart26.xml" ContentType="application/vnd.openxmlformats-officedocument.drawingml.chart+xml"/>
  <Override PartName="/word/charts/chart37.xml" ContentType="application/vnd.openxmlformats-officedocument.drawingml.chart+xml"/>
  <Override PartName="/word/charts/chart55.xml" ContentType="application/vnd.openxmlformats-officedocument.drawingml.chart+xml"/>
  <Override PartName="/word/charts/chart73.xml" ContentType="application/vnd.openxmlformats-officedocument.drawingml.chart+xml"/>
  <Override PartName="/word/footer3.xml" ContentType="application/vnd.openxmlformats-officedocument.wordprocessingml.footer+xml"/>
  <Override PartName="/word/charts/chart5.xml" ContentType="application/vnd.openxmlformats-officedocument.drawingml.chart+xml"/>
  <Override PartName="/word/charts/chart15.xml" ContentType="application/vnd.openxmlformats-officedocument.drawingml.chart+xml"/>
  <Override PartName="/word/charts/chart44.xml" ContentType="application/vnd.openxmlformats-officedocument.drawingml.chart+xml"/>
  <Override PartName="/word/charts/chart62.xml" ContentType="application/vnd.openxmlformats-officedocument.drawingml.chart+xml"/>
  <Override PartName="/word/header4.xml" ContentType="application/vnd.openxmlformats-officedocument.wordprocessingml.header+xml"/>
  <Default Extension="xlsx" ContentType="application/vnd.openxmlformats-officedocument.spreadsheetml.sheet"/>
  <Override PartName="/word/charts/chart22.xml" ContentType="application/vnd.openxmlformats-officedocument.drawingml.chart+xml"/>
  <Override PartName="/word/charts/chart33.xml" ContentType="application/vnd.openxmlformats-officedocument.drawingml.chart+xml"/>
  <Override PartName="/word/theme/themeOverride38.xml" ContentType="application/vnd.openxmlformats-officedocument.themeOverride+xml"/>
  <Override PartName="/word/charts/chart51.xml" ContentType="application/vnd.openxmlformats-officedocument.drawingml.chart+xml"/>
  <Override PartName="/word/theme/themeOverride49.xml" ContentType="application/vnd.openxmlformats-officedocument.themeOverride+xml"/>
  <Override PartName="/word/charts/chart1.xml" ContentType="application/vnd.openxmlformats-officedocument.drawingml.chart+xml"/>
  <Override PartName="/word/theme/themeOverride6.xml" ContentType="application/vnd.openxmlformats-officedocument.themeOverride+xml"/>
  <Override PartName="/word/charts/chart11.xml" ContentType="application/vnd.openxmlformats-officedocument.drawingml.chart+xml"/>
  <Override PartName="/word/theme/themeOverride27.xml" ContentType="application/vnd.openxmlformats-officedocument.themeOverride+xml"/>
  <Override PartName="/word/charts/chart40.xml" ContentType="application/vnd.openxmlformats-officedocument.drawingml.chart+xml"/>
  <Override PartName="/word/theme/themeOverride45.xml" ContentType="application/vnd.openxmlformats-officedocument.themeOverride+xml"/>
  <Override PartName="/word/theme/themeOverride56.xml" ContentType="application/vnd.openxmlformats-officedocument.themeOverride+xml"/>
  <Default Extension="png" ContentType="image/png"/>
  <Override PartName="/word/theme/themeOverride16.xml" ContentType="application/vnd.openxmlformats-officedocument.themeOverride+xml"/>
  <Override PartName="/word/theme/themeOverride34.xml" ContentType="application/vnd.openxmlformats-officedocument.themeOverride+xml"/>
  <Override PartName="/word/theme/themeOverride63.xml" ContentType="application/vnd.openxmlformats-officedocument.themeOverride+xml"/>
  <Override PartName="/word/theme/themeOverride2.xml" ContentType="application/vnd.openxmlformats-officedocument.themeOverride+xml"/>
  <Override PartName="/word/theme/themeOverride23.xml" ContentType="application/vnd.openxmlformats-officedocument.themeOverride+xml"/>
  <Override PartName="/word/theme/themeOverride41.xml" ContentType="application/vnd.openxmlformats-officedocument.themeOverride+xml"/>
  <Override PartName="/word/theme/themeOverride52.xml" ContentType="application/vnd.openxmlformats-officedocument.themeOverride+xml"/>
  <Override PartName="/word/theme/themeOverride12.xml" ContentType="application/vnd.openxmlformats-officedocument.themeOverride+xml"/>
  <Override PartName="/word/theme/themeOverride30.xml" ContentType="application/vnd.openxmlformats-officedocument.themeOverride+xml"/>
  <Override PartName="/word/charts/chart49.xml" ContentType="application/vnd.openxmlformats-officedocument.drawingml.chart+xml"/>
  <Override PartName="/word/charts/chart38.xml" ContentType="application/vnd.openxmlformats-officedocument.drawingml.chart+xml"/>
  <Override PartName="/word/charts/chart67.xml" ContentType="application/vnd.openxmlformats-officedocument.drawingml.chart+xml"/>
  <Override PartName="/word/footer4.xml" ContentType="application/vnd.openxmlformats-officedocument.wordprocessingml.footer+xml"/>
  <Override PartName="/docProps/app.xml" ContentType="application/vnd.openxmlformats-officedocument.extended-properties+xml"/>
  <Override PartName="/word/charts/chart6.xml" ContentType="application/vnd.openxmlformats-officedocument.drawingml.chart+xml"/>
  <Override PartName="/word/charts/chart27.xml" ContentType="application/vnd.openxmlformats-officedocument.drawingml.chart+xml"/>
  <Override PartName="/word/charts/chart45.xml" ContentType="application/vnd.openxmlformats-officedocument.drawingml.chart+xml"/>
  <Override PartName="/word/charts/chart56.xml" ContentType="application/vnd.openxmlformats-officedocument.drawingml.chart+xml"/>
  <Override PartName="/word/charts/chart74.xml" ContentType="application/vnd.openxmlformats-officedocument.drawingml.chart+xml"/>
  <Override PartName="/word/charts/chart4.xml" ContentType="application/vnd.openxmlformats-officedocument.drawingml.chart+xml"/>
  <Override PartName="/word/charts/chart16.xml" ContentType="application/vnd.openxmlformats-officedocument.drawingml.chart+xml"/>
  <Override PartName="/word/charts/chart25.xml" ContentType="application/vnd.openxmlformats-officedocument.drawingml.chart+xml"/>
  <Override PartName="/word/charts/chart34.xml" ContentType="application/vnd.openxmlformats-officedocument.drawingml.chart+xml"/>
  <Override PartName="/word/charts/chart43.xml" ContentType="application/vnd.openxmlformats-officedocument.drawingml.chart+xml"/>
  <Override PartName="/word/charts/chart52.xml" ContentType="application/vnd.openxmlformats-officedocument.drawingml.chart+xml"/>
  <Override PartName="/word/theme/themeOverride59.xml" ContentType="application/vnd.openxmlformats-officedocument.themeOverride+xml"/>
  <Override PartName="/word/charts/chart63.xml" ContentType="application/vnd.openxmlformats-officedocument.drawingml.chart+xml"/>
  <Override PartName="/word/charts/chart72.xml" ContentType="application/vnd.openxmlformats-officedocument.drawingml.chart+xml"/>
  <Override PartName="/word/header5.xml" ContentType="application/vnd.openxmlformats-officedocument.wordprocessingml.header+xml"/>
  <Override PartName="/word/theme/theme1.xml" ContentType="application/vnd.openxmlformats-officedocument.theme+xml"/>
  <Override PartName="/word/charts/chart2.xml" ContentType="application/vnd.openxmlformats-officedocument.drawingml.chart+xml"/>
  <Override PartName="/word/theme/themeOverride9.xml" ContentType="application/vnd.openxmlformats-officedocument.themeOverride+xml"/>
  <Override PartName="/word/charts/chart14.xml" ContentType="application/vnd.openxmlformats-officedocument.drawingml.chart+xml"/>
  <Override PartName="/word/theme/themeOverride19.xml" ContentType="application/vnd.openxmlformats-officedocument.themeOverride+xml"/>
  <Override PartName="/word/charts/chart23.xml" ContentType="application/vnd.openxmlformats-officedocument.drawingml.chart+xml"/>
  <Override PartName="/word/charts/chart32.xml" ContentType="application/vnd.openxmlformats-officedocument.drawingml.chart+xml"/>
  <Override PartName="/word/charts/chart41.xml" ContentType="application/vnd.openxmlformats-officedocument.drawingml.chart+xml"/>
  <Override PartName="/word/theme/themeOverride39.xml" ContentType="application/vnd.openxmlformats-officedocument.themeOverride+xml"/>
  <Override PartName="/word/charts/chart50.xml" ContentType="application/vnd.openxmlformats-officedocument.drawingml.chart+xml"/>
  <Override PartName="/word/theme/themeOverride48.xml" ContentType="application/vnd.openxmlformats-officedocument.themeOverride+xml"/>
  <Override PartName="/word/theme/themeOverride57.xml" ContentType="application/vnd.openxmlformats-officedocument.themeOverride+xml"/>
  <Override PartName="/word/charts/chart61.xml" ContentType="application/vnd.openxmlformats-officedocument.drawingml.chart+xml"/>
  <Override PartName="/word/charts/chart70.xml" ContentType="application/vnd.openxmlformats-officedocument.drawingml.chart+xml"/>
  <Override PartName="/word/header3.xml" ContentType="application/vnd.openxmlformats-officedocument.wordprocessingml.header+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theme/themeOverride7.xml" ContentType="application/vnd.openxmlformats-officedocument.themeOverride+xml"/>
  <Override PartName="/word/charts/chart12.xml" ContentType="application/vnd.openxmlformats-officedocument.drawingml.chart+xml"/>
  <Override PartName="/word/theme/themeOverride17.xml" ContentType="application/vnd.openxmlformats-officedocument.themeOverride+xml"/>
  <Override PartName="/word/charts/chart21.xml" ContentType="application/vnd.openxmlformats-officedocument.drawingml.chart+xml"/>
  <Override PartName="/word/charts/chart30.xml" ContentType="application/vnd.openxmlformats-officedocument.drawingml.chart+xml"/>
  <Override PartName="/word/theme/themeOverride28.xml" ContentType="application/vnd.openxmlformats-officedocument.themeOverride+xml"/>
  <Override PartName="/word/theme/themeOverride37.xml" ContentType="application/vnd.openxmlformats-officedocument.themeOverride+xml"/>
  <Override PartName="/word/theme/themeOverride46.xml" ContentType="application/vnd.openxmlformats-officedocument.themeOverride+xml"/>
  <Override PartName="/word/theme/themeOverride55.xml" ContentType="application/vnd.openxmlformats-officedocument.themeOverride+xml"/>
  <Override PartName="/word/header1.xml" ContentType="application/vnd.openxmlformats-officedocument.wordprocessingml.header+xml"/>
  <Override PartName="/word/theme/themeOverride64.xml" ContentType="application/vnd.openxmlformats-officedocument.themeOverride+xml"/>
  <Override PartName="/docProps/core.xml" ContentType="application/vnd.openxmlformats-package.core-properties+xml"/>
  <Override PartName="/word/people.xml" ContentType="application/vnd.openxmlformats-officedocument.wordprocessingml.people+xml"/>
  <Override PartName="/word/footnotes.xml" ContentType="application/vnd.openxmlformats-officedocument.wordprocessingml.footnotes+xml"/>
  <Override PartName="/word/theme/themeOverride24.xml" ContentType="application/vnd.openxmlformats-officedocument.themeOverride+xml"/>
  <Override PartName="/word/theme/themeOverride35.xml" ContentType="application/vnd.openxmlformats-officedocument.themeOverride+xml"/>
  <Override PartName="/word/theme/themeOverride53.xml" ContentType="application/vnd.openxmlformats-officedocument.themeOverride+xml"/>
  <Override PartName="/word/theme/themeOverride3.xml" ContentType="application/vnd.openxmlformats-officedocument.themeOverride+xml"/>
  <Override PartName="/word/theme/themeOverride13.xml" ContentType="application/vnd.openxmlformats-officedocument.themeOverride+xml"/>
  <Override PartName="/word/theme/themeOverride42.xml" ContentType="application/vnd.openxmlformats-officedocument.themeOverride+xml"/>
  <Override PartName="/word/theme/themeOverride60.xml" ContentType="application/vnd.openxmlformats-officedocument.themeOverride+xml"/>
  <Override PartName="/word/theme/themeOverride20.xml" ContentType="application/vnd.openxmlformats-officedocument.themeOverride+xml"/>
  <Override PartName="/word/theme/themeOverride31.xml" ContentType="application/vnd.openxmlformats-officedocument.themeOverride+xml"/>
  <Override PartName="/word/charts/chart68.xml" ContentType="application/vnd.openxmlformats-officedocument.drawingml.chart+xml"/>
  <Default Extension="rels" ContentType="application/vnd.openxmlformats-package.relationships+xml"/>
  <Override PartName="/word/charts/chart28.xml" ContentType="application/vnd.openxmlformats-officedocument.drawingml.chart+xml"/>
  <Override PartName="/word/charts/chart39.xml" ContentType="application/vnd.openxmlformats-officedocument.drawingml.chart+xml"/>
  <Override PartName="/word/charts/chart57.xml" ContentType="application/vnd.openxmlformats-officedocument.drawingml.chart+xml"/>
  <Override PartName="/word/charts/chart75.xml" ContentType="application/vnd.openxmlformats-officedocument.drawingml.chart+xml"/>
  <Override PartName="/word/charts/chart7.xml" ContentType="application/vnd.openxmlformats-officedocument.drawingml.chart+xml"/>
  <Override PartName="/word/charts/chart17.xml" ContentType="application/vnd.openxmlformats-officedocument.drawingml.chart+xml"/>
  <Override PartName="/word/charts/chart46.xml" ContentType="application/vnd.openxmlformats-officedocument.drawingml.chart+xml"/>
  <Override PartName="/word/charts/chart64.xml" ContentType="application/vnd.openxmlformats-officedocument.drawingml.chart+xml"/>
  <Override PartName="/word/charts/chart24.xml" ContentType="application/vnd.openxmlformats-officedocument.drawingml.chart+xml"/>
  <Override PartName="/word/charts/chart35.xml" ContentType="application/vnd.openxmlformats-officedocument.drawingml.chart+xml"/>
  <Override PartName="/word/charts/chart53.xml" ContentType="application/vnd.openxmlformats-officedocument.drawingml.chart+xml"/>
  <Override PartName="/word/charts/chart71.xml" ContentType="application/vnd.openxmlformats-officedocument.drawingml.chart+xml"/>
  <Override PartName="/word/footer1.xml" ContentType="application/vnd.openxmlformats-officedocument.wordprocessingml.footer+xml"/>
  <Override PartName="/word/charts/chart3.xml" ContentType="application/vnd.openxmlformats-officedocument.drawingml.chart+xml"/>
  <Override PartName="/word/theme/themeOverride8.xml" ContentType="application/vnd.openxmlformats-officedocument.themeOverride+xml"/>
  <Override PartName="/word/charts/chart13.xml" ContentType="application/vnd.openxmlformats-officedocument.drawingml.chart+xml"/>
  <Override PartName="/word/charts/chart31.xml" ContentType="application/vnd.openxmlformats-officedocument.drawingml.chart+xml"/>
  <Override PartName="/word/theme/themeOverride29.xml" ContentType="application/vnd.openxmlformats-officedocument.themeOverride+xml"/>
  <Override PartName="/word/charts/chart42.xml" ContentType="application/vnd.openxmlformats-officedocument.drawingml.chart+xml"/>
  <Override PartName="/word/theme/themeOverride47.xml" ContentType="application/vnd.openxmlformats-officedocument.themeOverride+xml"/>
  <Override PartName="/word/charts/chart60.xml" ContentType="application/vnd.openxmlformats-officedocument.drawingml.chart+xml"/>
  <Override PartName="/word/theme/themeOverride58.xml" ContentType="application/vnd.openxmlformats-officedocument.themeOverride+xml"/>
  <Override PartName="/word/header2.xml" ContentType="application/vnd.openxmlformats-officedocument.wordprocessingml.header+xml"/>
  <Override PartName="/word/charts/chart20.xml" ContentType="application/vnd.openxmlformats-officedocument.drawingml.chart+xml"/>
  <Override PartName="/word/theme/themeOverride18.xml" ContentType="application/vnd.openxmlformats-officedocument.themeOverride+xml"/>
  <Override PartName="/word/theme/themeOverride36.xml" ContentType="application/vnd.openxmlformats-officedocument.themeOverride+xml"/>
  <Override PartName="/word/theme/themeOverride65.xml" ContentType="application/vnd.openxmlformats-officedocument.themeOverride+xml"/>
  <Override PartName="/word/theme/themeOverride4.xml" ContentType="application/vnd.openxmlformats-officedocument.themeOverride+xml"/>
  <Override PartName="/word/theme/themeOverride25.xml" ContentType="application/vnd.openxmlformats-officedocument.themeOverride+xml"/>
  <Override PartName="/word/theme/themeOverride43.xml" ContentType="application/vnd.openxmlformats-officedocument.themeOverride+xml"/>
  <Override PartName="/word/theme/themeOverride54.xml" ContentType="application/vnd.openxmlformats-officedocument.themeOverride+xml"/>
  <Override PartName="/word/theme/themeOverride14.xml" ContentType="application/vnd.openxmlformats-officedocument.themeOverride+xml"/>
  <Override PartName="/word/theme/themeOverride32.xml" ContentType="application/vnd.openxmlformats-officedocument.themeOverride+xml"/>
  <Override PartName="/word/theme/themeOverride61.xml" ContentType="application/vnd.openxmlformats-officedocument.themeOverride+xml"/>
  <Override PartName="/word/theme/themeOverride21.xml" ContentType="application/vnd.openxmlformats-officedocument.themeOverride+xml"/>
  <Override PartName="/word/theme/themeOverride50.xml" ContentType="application/vnd.openxmlformats-officedocument.themeOverride+xml"/>
  <Override PartName="/word/charts/chart69.xml" ContentType="application/vnd.openxmlformats-officedocument.drawingml.chart+xml"/>
  <Override PartName="/word/numbering.xml" ContentType="application/vnd.openxmlformats-officedocument.wordprocessingml.numbering+xml"/>
  <Override PartName="/word/endnotes.xml" ContentType="application/vnd.openxmlformats-officedocument.wordprocessingml.endnotes+xml"/>
  <Override PartName="/word/charts/chart8.xml" ContentType="application/vnd.openxmlformats-officedocument.drawingml.chart+xml"/>
  <Override PartName="/word/theme/themeOverride10.xml" ContentType="application/vnd.openxmlformats-officedocument.themeOverride+xml"/>
  <Override PartName="/word/charts/chart29.xml" ContentType="application/vnd.openxmlformats-officedocument.drawingml.chart+xml"/>
  <Override PartName="/word/charts/chart47.xml" ContentType="application/vnd.openxmlformats-officedocument.drawingml.chart+xml"/>
  <Override PartName="/word/charts/chart58.xml" ContentType="application/vnd.openxmlformats-officedocument.drawingml.chart+xml"/>
  <Override PartName="/word/charts/chart76.xml" ContentType="application/vnd.openxmlformats-officedocument.drawingml.chart+xml"/>
  <Override PartName="/word/settings.xml" ContentType="application/vnd.openxmlformats-officedocument.wordprocessingml.settings+xml"/>
  <Override PartName="/word/charts/chart18.xml" ContentType="application/vnd.openxmlformats-officedocument.drawingml.chart+xml"/>
  <Override PartName="/word/charts/chart36.xml" ContentType="application/vnd.openxmlformats-officedocument.drawingml.chart+xml"/>
  <Override PartName="/word/charts/chart54.xml" ContentType="application/vnd.openxmlformats-officedocument.drawingml.chart+xml"/>
  <Override PartName="/word/charts/chart65.xml" ContentType="application/vnd.openxmlformats-officedocument.drawingml.chart+xml"/>
  <Override PartName="/word/footer2.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B7819" w:rsidRPr="00530487" w:rsidRDefault="00A753FD" w:rsidP="000B7819">
      <w:pPr>
        <w:ind w:left="-142"/>
        <w:rPr>
          <w:rFonts w:ascii="Arial Narrow" w:hAnsi="Arial Narrow" w:cs="Arial"/>
          <w:b/>
          <w:color w:val="000000"/>
        </w:rPr>
      </w:pPr>
      <w:bookmarkStart w:id="0" w:name="_Toc203552322"/>
      <w:bookmarkStart w:id="1" w:name="_Toc203553163"/>
      <w:bookmarkStart w:id="2" w:name="_Toc203564673"/>
      <w:bookmarkStart w:id="3" w:name="_Toc473722958"/>
      <w:bookmarkStart w:id="4" w:name="_Toc470587924"/>
      <w:bookmarkStart w:id="5" w:name="_Toc475532241"/>
      <w:bookmarkStart w:id="6" w:name="_Toc473273644"/>
      <w:bookmarkStart w:id="7" w:name="_Toc470460726"/>
      <w:r>
        <w:rPr>
          <w:rFonts w:ascii="Arial Narrow" w:hAnsi="Arial Narrow" w:cs="Times New Roman"/>
          <w:noProof/>
          <w:sz w:val="24"/>
          <w:szCs w:val="24"/>
          <w:lang w:eastAsia="ru-RU"/>
        </w:rPr>
        <w:drawing>
          <wp:anchor distT="0" distB="0" distL="114300" distR="114300" simplePos="0" relativeHeight="251660288" behindDoc="1" locked="0" layoutInCell="1" allowOverlap="1">
            <wp:simplePos x="0" y="0"/>
            <wp:positionH relativeFrom="column">
              <wp:posOffset>-1089660</wp:posOffset>
            </wp:positionH>
            <wp:positionV relativeFrom="paragraph">
              <wp:posOffset>-739140</wp:posOffset>
            </wp:positionV>
            <wp:extent cx="7785100" cy="10077450"/>
            <wp:effectExtent l="19050" t="0" r="6350" b="0"/>
            <wp:wrapNone/>
            <wp:docPr id="1013"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8" cstate="print"/>
                    <a:srcRect/>
                    <a:stretch>
                      <a:fillRect/>
                    </a:stretch>
                  </pic:blipFill>
                  <pic:spPr bwMode="auto">
                    <a:xfrm>
                      <a:off x="0" y="0"/>
                      <a:ext cx="7785100" cy="10077450"/>
                    </a:xfrm>
                    <a:prstGeom prst="rect">
                      <a:avLst/>
                    </a:prstGeom>
                    <a:noFill/>
                    <a:ln w="9525">
                      <a:noFill/>
                      <a:miter lim="800000"/>
                      <a:headEnd/>
                      <a:tailEnd/>
                    </a:ln>
                  </pic:spPr>
                </pic:pic>
              </a:graphicData>
            </a:graphic>
          </wp:anchor>
        </w:drawing>
      </w:r>
      <w:r>
        <w:rPr>
          <w:rFonts w:ascii="Arial Narrow" w:hAnsi="Arial Narrow" w:cs="Times New Roman"/>
          <w:noProof/>
          <w:sz w:val="24"/>
          <w:szCs w:val="24"/>
          <w:lang w:eastAsia="ru-RU"/>
        </w:rPr>
        <w:drawing>
          <wp:anchor distT="0" distB="0" distL="114300" distR="114300" simplePos="0" relativeHeight="251661312" behindDoc="1" locked="0" layoutInCell="1" allowOverlap="1">
            <wp:simplePos x="0" y="0"/>
            <wp:positionH relativeFrom="column">
              <wp:posOffset>24765</wp:posOffset>
            </wp:positionH>
            <wp:positionV relativeFrom="paragraph">
              <wp:posOffset>-34290</wp:posOffset>
            </wp:positionV>
            <wp:extent cx="1733550" cy="609600"/>
            <wp:effectExtent l="19050" t="0" r="0" b="0"/>
            <wp:wrapNone/>
            <wp:docPr id="1014"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9" cstate="print"/>
                    <a:srcRect/>
                    <a:stretch>
                      <a:fillRect/>
                    </a:stretch>
                  </pic:blipFill>
                  <pic:spPr bwMode="auto">
                    <a:xfrm>
                      <a:off x="0" y="0"/>
                      <a:ext cx="1733550" cy="609600"/>
                    </a:xfrm>
                    <a:prstGeom prst="rect">
                      <a:avLst/>
                    </a:prstGeom>
                    <a:noFill/>
                    <a:ln w="9525">
                      <a:noFill/>
                      <a:miter lim="800000"/>
                      <a:headEnd/>
                      <a:tailEnd/>
                    </a:ln>
                  </pic:spPr>
                </pic:pic>
              </a:graphicData>
            </a:graphic>
          </wp:anchor>
        </w:drawing>
      </w:r>
      <w:r w:rsidR="00B05934" w:rsidRPr="00B05934">
        <w:rPr>
          <w:rFonts w:ascii="Arial Narrow" w:hAnsi="Arial Narrow" w:cs="Times New Roman"/>
          <w:noProof/>
          <w:sz w:val="24"/>
          <w:szCs w:val="24"/>
        </w:rPr>
        <w:pict>
          <v:shapetype id="_x0000_t202" coordsize="21600,21600" o:spt="202" path="m,l,21600r21600,l21600,xe">
            <v:stroke joinstyle="miter"/>
            <v:path gradientshapeok="t" o:connecttype="rect"/>
          </v:shapetype>
          <v:shape id="Поле 25" o:spid="_x0000_s1028" type="#_x0000_t202" style="position:absolute;left:0;text-align:left;margin-left:346.1pt;margin-top:.9pt;width:135.75pt;height:47.4pt;z-index:-2516531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" filled="f" stroked="f">
            <v:textbox style="mso-next-textbox:#Поле 25">
              <w:txbxContent>
                <w:p w:rsidR="00130274" w:rsidRPr="00E974C9" w:rsidRDefault="00130274" w:rsidP="000B7819">
                  <w:pPr>
                    <w:rPr>
                      <w:rFonts w:ascii="Arial Narrow" w:hAnsi="Arial Narrow"/>
                      <w:b/>
                      <w:color w:val="FFFFFF"/>
                    </w:rPr>
                  </w:pPr>
                  <w:r w:rsidRPr="00E974C9">
                    <w:rPr>
                      <w:rFonts w:ascii="Arial Narrow" w:hAnsi="Arial Narrow"/>
                      <w:b/>
                      <w:color w:val="FFFFFF"/>
                    </w:rPr>
                    <w:t>VSEKONTAKTY.RU</w:t>
                  </w:r>
                </w:p>
                <w:p w:rsidR="00130274" w:rsidRPr="00E974C9" w:rsidRDefault="00130274" w:rsidP="000B7819">
                  <w:pPr>
                    <w:rPr>
                      <w:rFonts w:ascii="Arial Narrow" w:hAnsi="Arial Narrow"/>
                      <w:color w:val="FFFFFF"/>
                    </w:rPr>
                  </w:pPr>
                  <w:r w:rsidRPr="00E974C9">
                    <w:rPr>
                      <w:rFonts w:ascii="Arial Narrow" w:hAnsi="Arial Narrow"/>
                      <w:color w:val="FFFFFF"/>
                    </w:rPr>
                    <w:t>Контактный центр СATI</w:t>
                  </w:r>
                </w:p>
              </w:txbxContent>
            </v:textbox>
          </v:shape>
        </w:pict>
      </w:r>
      <w:r w:rsidR="00B05934" w:rsidRPr="00B05934">
        <w:rPr>
          <w:rFonts w:ascii="Arial Narrow" w:hAnsi="Arial Narrow" w:cs="Times New Roman"/>
          <w:noProof/>
          <w:sz w:val="24"/>
          <w:szCs w:val="24"/>
        </w:rPr>
        <w:pict>
          <v:shape id="Поле 26" o:spid="_x0000_s1027" type="#_x0000_t202" style="position:absolute;left:0;text-align:left;margin-left:176.6pt;margin-top:.9pt;width:175.2pt;height:47.4pt;z-index:-2516541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" filled="f" stroked="f">
            <v:textbox style="mso-next-textbox:#Поле 26">
              <w:txbxContent>
                <w:p w:rsidR="00130274" w:rsidRPr="00E974C9" w:rsidRDefault="00130274" w:rsidP="000B7819">
                  <w:pPr>
                    <w:rPr>
                      <w:rFonts w:ascii="Arial Narrow" w:hAnsi="Arial Narrow"/>
                      <w:b/>
                      <w:color w:val="FFFFFF"/>
                    </w:rPr>
                  </w:pPr>
                  <w:r w:rsidRPr="00E974C9">
                    <w:rPr>
                      <w:rFonts w:ascii="Arial Narrow" w:hAnsi="Arial Narrow"/>
                      <w:b/>
                      <w:color w:val="FFFFFF"/>
                    </w:rPr>
                    <w:t>SIS-CORPORATION.RU</w:t>
                  </w:r>
                </w:p>
                <w:p w:rsidR="00130274" w:rsidRPr="00E974C9" w:rsidRDefault="00130274" w:rsidP="000B7819">
                  <w:pPr>
                    <w:rPr>
                      <w:rFonts w:ascii="Arial Narrow" w:hAnsi="Arial Narrow"/>
                      <w:color w:val="FFFFFF"/>
                    </w:rPr>
                  </w:pPr>
                  <w:r w:rsidRPr="00E974C9">
                    <w:rPr>
                      <w:rFonts w:ascii="Arial Narrow" w:hAnsi="Arial Narrow"/>
                      <w:color w:val="FFFFFF"/>
                    </w:rPr>
                    <w:t>Исследования и разработки</w:t>
                  </w:r>
                </w:p>
              </w:txbxContent>
            </v:textbox>
          </v:shape>
        </w:pict>
      </w:r>
      <w:bookmarkStart w:id="8" w:name="_Toc350857130"/>
      <w:bookmarkStart w:id="9" w:name="_Toc350853263"/>
      <w:bookmarkStart w:id="10" w:name="_Toc350851544"/>
      <w:r w:rsidR="000B7819" w:rsidRPr="00530487">
        <w:rPr>
          <w:rFonts w:ascii="Arial Narrow" w:hAnsi="Arial Narrow" w:cs="Arial"/>
          <w:b/>
          <w:color w:val="000000"/>
        </w:rPr>
        <w:t xml:space="preserve">   </w:t>
      </w:r>
      <w:bookmarkEnd w:id="8"/>
      <w:bookmarkEnd w:id="9"/>
      <w:bookmarkEnd w:id="10"/>
    </w:p>
    <w:p w:rsidR="000B7819" w:rsidRPr="00530487" w:rsidRDefault="000B7819" w:rsidP="000B7819">
      <w:pPr>
        <w:ind w:left="-142"/>
        <w:rPr>
          <w:rFonts w:ascii="Arial Narrow" w:hAnsi="Arial Narrow" w:cs="Arial"/>
          <w:b/>
          <w:color w:val="000000"/>
        </w:rPr>
      </w:pPr>
    </w:p>
    <w:p w:rsidR="000B7819" w:rsidRDefault="00B05934" w:rsidP="000B7819">
      <w:pPr>
        <w:ind w:right="180"/>
        <w:jc w:val="center"/>
        <w:rPr>
          <w:rFonts w:ascii="Arial Narrow" w:hAnsi="Arial Narrow"/>
          <w:b/>
          <w:sz w:val="32"/>
          <w:szCs w:val="32"/>
          <w:u w:val="single"/>
        </w:rPr>
      </w:pPr>
      <w:bookmarkStart w:id="11" w:name="_Toc380412461"/>
      <w:bookmarkStart w:id="12" w:name="_Toc380413952"/>
      <w:bookmarkEnd w:id="11"/>
      <w:bookmarkEnd w:id="12"/>
      <w:r w:rsidRPr="00B05934">
        <w:rPr>
          <w:rFonts w:ascii="Arial Narrow" w:hAnsi="Arial Narrow" w:cs="Arial"/>
          <w:b/>
          <w:noProof/>
          <w:color w:val="000000"/>
          <w:lang w:eastAsia="ru-RU"/>
        </w:rPr>
        <w:pict>
          <v:shape id="Поле 30" o:spid="_x0000_s1029" type="#_x0000_t202" style="position:absolute;left:0;text-align:left;margin-left:-21.35pt;margin-top:92.8pt;width:489.7pt;height:630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" filled="f" stroked="f">
            <v:stroke joinstyle="round"/>
            <v:textbox style="mso-next-textbox:#Поле 30" inset="2.5mm,1.3mm,2.5mm,1.3mm">
              <w:txbxContent>
                <w:p w:rsidR="00130274" w:rsidRPr="00407271" w:rsidRDefault="00130274" w:rsidP="000B7819">
                  <w:pPr>
                    <w:ind w:right="283"/>
                    <w:jc w:val="center"/>
                    <w:rPr>
                      <w:rFonts w:ascii="Arial Black" w:hAnsi="Arial Black"/>
                      <w:b/>
                      <w:color w:val="5E3066"/>
                      <w:sz w:val="48"/>
                      <w:szCs w:val="48"/>
                    </w:rPr>
                  </w:pPr>
                  <w:r w:rsidRPr="00407271">
                    <w:rPr>
                      <w:rFonts w:ascii="Arial Black" w:hAnsi="Arial Black"/>
                      <w:b/>
                      <w:color w:val="5E3066"/>
                      <w:sz w:val="48"/>
                      <w:szCs w:val="48"/>
                    </w:rPr>
                    <w:t xml:space="preserve">ОТЧЕТ </w:t>
                  </w:r>
                </w:p>
                <w:p w:rsidR="00130274" w:rsidRPr="00407271" w:rsidRDefault="00130274" w:rsidP="000B7819">
                  <w:pPr>
                    <w:ind w:right="283"/>
                    <w:jc w:val="center"/>
                    <w:rPr>
                      <w:rFonts w:ascii="Arial Black" w:hAnsi="Arial Black"/>
                      <w:b/>
                      <w:color w:val="5E3066"/>
                      <w:sz w:val="48"/>
                      <w:szCs w:val="48"/>
                    </w:rPr>
                  </w:pPr>
                  <w:r w:rsidRPr="00407271">
                    <w:rPr>
                      <w:rFonts w:ascii="Arial Black" w:hAnsi="Arial Black"/>
                      <w:b/>
                      <w:color w:val="5E3066"/>
                      <w:sz w:val="48"/>
                      <w:szCs w:val="48"/>
                    </w:rPr>
                    <w:t xml:space="preserve">О ВЫПОЛНЕНИИ НАУЧНО-ИССЛЕДОВАТЕЛЬСКОЙ РАБОТЫ ПО ТЕМЕ: </w:t>
                  </w:r>
                </w:p>
                <w:p w:rsidR="00130274" w:rsidRPr="004E5A09" w:rsidRDefault="00130274" w:rsidP="000B7819">
                  <w:pPr>
                    <w:ind w:right="283"/>
                    <w:jc w:val="center"/>
                    <w:rPr>
                      <w:rFonts w:ascii="Arial Narrow" w:hAnsi="Arial Narrow"/>
                      <w:b/>
                      <w:sz w:val="32"/>
                      <w:szCs w:val="32"/>
                    </w:rPr>
                  </w:pPr>
                  <w:r w:rsidRPr="004E5A09">
                    <w:rPr>
                      <w:rFonts w:ascii="Arial Narrow" w:hAnsi="Arial Narrow"/>
                      <w:b/>
                      <w:sz w:val="32"/>
                      <w:szCs w:val="32"/>
                    </w:rPr>
                    <w:t xml:space="preserve"> «Мониторинг состояния и развития конкурентной среды на рынках товаров, работ и услуг Новосибирской области за 2016 год»</w:t>
                  </w:r>
                </w:p>
                <w:p w:rsidR="00130274" w:rsidRDefault="00130274" w:rsidP="000B7819">
                  <w:pPr>
                    <w:ind w:right="283"/>
                    <w:jc w:val="center"/>
                    <w:rPr>
                      <w:rFonts w:ascii="Arial Narrow" w:hAnsi="Arial Narrow"/>
                      <w:b/>
                      <w:color w:val="000000"/>
                      <w:sz w:val="32"/>
                      <w:szCs w:val="32"/>
                    </w:rPr>
                  </w:pPr>
                  <w:r>
                    <w:rPr>
                      <w:rFonts w:ascii="Arial Narrow" w:hAnsi="Arial Narrow"/>
                      <w:b/>
                      <w:color w:val="000000"/>
                      <w:sz w:val="32"/>
                      <w:szCs w:val="32"/>
                    </w:rPr>
                    <w:t>Часть 3</w:t>
                  </w:r>
                </w:p>
                <w:p w:rsidR="00130274" w:rsidRPr="00E974C9" w:rsidRDefault="00130274" w:rsidP="000B7819">
                  <w:pPr>
                    <w:ind w:right="283"/>
                    <w:jc w:val="center"/>
                    <w:rPr>
                      <w:rFonts w:ascii="Arial Narrow" w:hAnsi="Arial Narrow"/>
                      <w:b/>
                      <w:color w:val="000000"/>
                      <w:sz w:val="32"/>
                      <w:szCs w:val="32"/>
                    </w:rPr>
                  </w:pPr>
                </w:p>
                <w:p w:rsidR="00130274" w:rsidRPr="00E974C9" w:rsidRDefault="00130274" w:rsidP="000B7819">
                  <w:pPr>
                    <w:ind w:right="283"/>
                    <w:jc w:val="center"/>
                    <w:rPr>
                      <w:rFonts w:ascii="Arial Narrow" w:hAnsi="Arial Narrow"/>
                      <w:color w:val="000000"/>
                      <w:sz w:val="26"/>
                      <w:szCs w:val="26"/>
                    </w:rPr>
                  </w:pPr>
                  <w:r w:rsidRPr="00E974C9">
                    <w:rPr>
                      <w:rFonts w:ascii="Arial Narrow" w:hAnsi="Arial Narrow"/>
                      <w:color w:val="000000"/>
                      <w:sz w:val="26"/>
                      <w:szCs w:val="26"/>
                    </w:rPr>
                    <w:t xml:space="preserve">в рамках исполнения Государственного контракта </w:t>
                  </w:r>
                </w:p>
                <w:p w:rsidR="00130274" w:rsidRDefault="00130274" w:rsidP="000B7819">
                  <w:pPr>
                    <w:jc w:val="center"/>
                    <w:rPr>
                      <w:rFonts w:ascii="Arial Narrow" w:hAnsi="Arial Narrow"/>
                      <w:sz w:val="26"/>
                      <w:szCs w:val="26"/>
                    </w:rPr>
                  </w:pPr>
                  <w:r w:rsidRPr="008F6F79">
                    <w:rPr>
                      <w:rFonts w:ascii="Arial Narrow" w:hAnsi="Arial Narrow"/>
                      <w:sz w:val="26"/>
                      <w:szCs w:val="26"/>
                    </w:rPr>
                    <w:t>№ 31-ОК/2016 от 27.10.2016 г.</w:t>
                  </w:r>
                </w:p>
                <w:p w:rsidR="00130274" w:rsidRDefault="00130274" w:rsidP="000B7819">
                  <w:pPr>
                    <w:ind w:right="283"/>
                    <w:jc w:val="center"/>
                    <w:rPr>
                      <w:rFonts w:ascii="Arial Narrow" w:hAnsi="Arial Narrow"/>
                      <w:color w:val="000000"/>
                      <w:sz w:val="26"/>
                      <w:szCs w:val="26"/>
                    </w:rPr>
                  </w:pPr>
                  <w:r w:rsidRPr="00E974C9">
                    <w:rPr>
                      <w:rFonts w:ascii="Arial Narrow" w:hAnsi="Arial Narrow"/>
                      <w:color w:val="000000"/>
                      <w:sz w:val="26"/>
                      <w:szCs w:val="26"/>
                    </w:rPr>
                    <w:t>УДК 3.07</w:t>
                  </w:r>
                </w:p>
                <w:p w:rsidR="00130274" w:rsidRPr="00E974C9" w:rsidRDefault="00130274" w:rsidP="000B7819">
                  <w:pPr>
                    <w:ind w:right="283"/>
                    <w:jc w:val="center"/>
                    <w:rPr>
                      <w:rFonts w:ascii="Arial Narrow" w:hAnsi="Arial Narrow"/>
                      <w:color w:val="000000"/>
                      <w:sz w:val="26"/>
                      <w:szCs w:val="26"/>
                    </w:rPr>
                  </w:pPr>
                </w:p>
                <w:p w:rsidR="00130274" w:rsidRPr="00E974C9" w:rsidRDefault="00130274" w:rsidP="000B7819">
                  <w:pPr>
                    <w:spacing w:line="240" w:lineRule="auto"/>
                    <w:rPr>
                      <w:rFonts w:ascii="Arial Narrow" w:hAnsi="Arial Narrow"/>
                      <w:b/>
                      <w:color w:val="000000"/>
                      <w:sz w:val="28"/>
                    </w:rPr>
                  </w:pPr>
                  <w:r w:rsidRPr="00E974C9">
                    <w:rPr>
                      <w:rFonts w:ascii="Arial Narrow" w:hAnsi="Arial Narrow"/>
                      <w:b/>
                      <w:color w:val="000000"/>
                      <w:sz w:val="28"/>
                    </w:rPr>
                    <w:t xml:space="preserve">Заказчик: </w:t>
                  </w:r>
                </w:p>
                <w:p w:rsidR="00130274" w:rsidRPr="00E974C9" w:rsidRDefault="00130274" w:rsidP="000B7819">
                  <w:pPr>
                    <w:spacing w:after="300" w:line="240" w:lineRule="auto"/>
                    <w:rPr>
                      <w:rFonts w:ascii="Arial Narrow" w:hAnsi="Arial Narrow"/>
                      <w:color w:val="000000"/>
                      <w:sz w:val="28"/>
                    </w:rPr>
                  </w:pPr>
                  <w:r w:rsidRPr="00E974C9">
                    <w:rPr>
                      <w:rFonts w:ascii="Arial Narrow" w:hAnsi="Arial Narrow"/>
                      <w:color w:val="000000"/>
                      <w:sz w:val="28"/>
                    </w:rPr>
                    <w:t>Министерство экономического развития Новосибирской области</w:t>
                  </w:r>
                </w:p>
                <w:p w:rsidR="00130274" w:rsidRPr="00E974C9" w:rsidRDefault="00130274" w:rsidP="000B7819">
                  <w:pPr>
                    <w:spacing w:line="240" w:lineRule="auto"/>
                    <w:rPr>
                      <w:rFonts w:ascii="Arial Narrow" w:hAnsi="Arial Narrow"/>
                      <w:b/>
                      <w:color w:val="000000"/>
                      <w:sz w:val="28"/>
                    </w:rPr>
                  </w:pPr>
                  <w:r w:rsidRPr="00E974C9">
                    <w:rPr>
                      <w:rFonts w:ascii="Arial Narrow" w:hAnsi="Arial Narrow"/>
                      <w:b/>
                      <w:color w:val="000000"/>
                      <w:sz w:val="28"/>
                    </w:rPr>
                    <w:t>Исполнитель:</w:t>
                  </w:r>
                </w:p>
                <w:p w:rsidR="00130274" w:rsidRPr="00E974C9" w:rsidRDefault="00130274" w:rsidP="000B7819">
                  <w:pPr>
                    <w:spacing w:line="240" w:lineRule="auto"/>
                    <w:rPr>
                      <w:rFonts w:ascii="Arial Narrow" w:hAnsi="Arial Narrow"/>
                      <w:color w:val="000000"/>
                      <w:sz w:val="28"/>
                    </w:rPr>
                  </w:pPr>
                  <w:r w:rsidRPr="00E974C9">
                    <w:rPr>
                      <w:rFonts w:ascii="Arial Narrow" w:hAnsi="Arial Narrow"/>
                      <w:color w:val="000000"/>
                      <w:sz w:val="28"/>
                    </w:rPr>
                    <w:t>ООО «Исследовательская компания «Эс Ай Эс Корпорейшн»</w:t>
                  </w:r>
                </w:p>
                <w:p w:rsidR="00130274" w:rsidRDefault="00130274" w:rsidP="000B7819">
                  <w:pPr>
                    <w:rPr>
                      <w:rFonts w:ascii="Arial Narrow" w:hAnsi="Arial Narrow"/>
                      <w:b/>
                      <w:color w:val="000000"/>
                      <w:sz w:val="28"/>
                    </w:rPr>
                  </w:pPr>
                </w:p>
                <w:p w:rsidR="00130274" w:rsidRDefault="00130274" w:rsidP="000B7819">
                  <w:pPr>
                    <w:rPr>
                      <w:rFonts w:ascii="Arial Narrow" w:hAnsi="Arial Narrow"/>
                      <w:b/>
                      <w:color w:val="000000"/>
                      <w:sz w:val="28"/>
                    </w:rPr>
                  </w:pPr>
                </w:p>
                <w:p w:rsidR="00130274" w:rsidRPr="00E974C9" w:rsidRDefault="00130274" w:rsidP="000B7819">
                  <w:pPr>
                    <w:jc w:val="center"/>
                    <w:rPr>
                      <w:rFonts w:ascii="Arial Narrow" w:hAnsi="Arial Narrow"/>
                      <w:color w:val="000000"/>
                    </w:rPr>
                  </w:pPr>
                  <w:r w:rsidRPr="00E974C9">
                    <w:rPr>
                      <w:rFonts w:ascii="Arial Narrow" w:hAnsi="Arial Narrow"/>
                      <w:color w:val="000000"/>
                    </w:rPr>
                    <w:t>г. Новосибирск, 2017 г.</w:t>
                  </w:r>
                </w:p>
                <w:p w:rsidR="00130274" w:rsidRDefault="00130274" w:rsidP="000B7819">
                  <w:pPr>
                    <w:ind w:right="283"/>
                    <w:jc w:val="center"/>
                    <w:rPr>
                      <w:rFonts w:ascii="Arial Narrow" w:hAnsi="Arial Narrow"/>
                      <w:color w:val="000000"/>
                      <w:sz w:val="26"/>
                      <w:szCs w:val="26"/>
                    </w:rPr>
                  </w:pPr>
                </w:p>
                <w:p w:rsidR="00130274" w:rsidRDefault="00130274" w:rsidP="000B7819">
                  <w:pPr>
                    <w:ind w:right="283"/>
                    <w:jc w:val="center"/>
                    <w:rPr>
                      <w:rFonts w:ascii="Arial Narrow" w:hAnsi="Arial Narrow"/>
                      <w:color w:val="000000"/>
                      <w:sz w:val="26"/>
                      <w:szCs w:val="26"/>
                    </w:rPr>
                  </w:pPr>
                </w:p>
                <w:p w:rsidR="00130274" w:rsidRDefault="00130274" w:rsidP="000B7819">
                  <w:pPr>
                    <w:ind w:right="283"/>
                    <w:jc w:val="center"/>
                    <w:rPr>
                      <w:rFonts w:ascii="Arial Narrow" w:hAnsi="Arial Narrow"/>
                      <w:color w:val="000000"/>
                      <w:sz w:val="26"/>
                      <w:szCs w:val="26"/>
                    </w:rPr>
                  </w:pPr>
                </w:p>
                <w:p w:rsidR="00130274" w:rsidRDefault="00130274" w:rsidP="000B7819">
                  <w:pPr>
                    <w:ind w:right="283"/>
                    <w:jc w:val="center"/>
                    <w:rPr>
                      <w:rFonts w:ascii="Arial Narrow" w:hAnsi="Arial Narrow"/>
                      <w:color w:val="000000"/>
                      <w:sz w:val="26"/>
                      <w:szCs w:val="26"/>
                    </w:rPr>
                  </w:pPr>
                </w:p>
                <w:p w:rsidR="00130274" w:rsidRDefault="00130274" w:rsidP="000B7819">
                  <w:pPr>
                    <w:ind w:right="283"/>
                    <w:jc w:val="center"/>
                    <w:rPr>
                      <w:rFonts w:ascii="Arial Narrow" w:hAnsi="Arial Narrow"/>
                      <w:color w:val="000000"/>
                      <w:sz w:val="26"/>
                      <w:szCs w:val="26"/>
                    </w:rPr>
                  </w:pPr>
                </w:p>
                <w:p w:rsidR="00130274" w:rsidRDefault="00130274" w:rsidP="000B7819">
                  <w:pPr>
                    <w:ind w:right="283"/>
                    <w:jc w:val="center"/>
                    <w:rPr>
                      <w:rFonts w:ascii="Arial Narrow" w:hAnsi="Arial Narrow"/>
                      <w:color w:val="000000"/>
                      <w:sz w:val="26"/>
                      <w:szCs w:val="26"/>
                    </w:rPr>
                  </w:pPr>
                </w:p>
                <w:p w:rsidR="00130274" w:rsidRPr="00E974C9" w:rsidRDefault="00130274" w:rsidP="000B7819">
                  <w:pPr>
                    <w:ind w:right="283"/>
                    <w:jc w:val="center"/>
                    <w:rPr>
                      <w:rFonts w:ascii="Arial Narrow" w:hAnsi="Arial Narrow"/>
                      <w:color w:val="000000"/>
                      <w:sz w:val="26"/>
                      <w:szCs w:val="26"/>
                    </w:rPr>
                  </w:pPr>
                </w:p>
                <w:p w:rsidR="00130274" w:rsidRPr="00E974C9" w:rsidRDefault="00130274" w:rsidP="000B7819">
                  <w:pPr>
                    <w:rPr>
                      <w:rFonts w:ascii="Arial Narrow" w:hAnsi="Arial Narrow"/>
                      <w:b/>
                      <w:color w:val="000000"/>
                      <w:sz w:val="28"/>
                    </w:rPr>
                  </w:pPr>
                  <w:r w:rsidRPr="00E974C9">
                    <w:rPr>
                      <w:rFonts w:ascii="Arial Narrow" w:hAnsi="Arial Narrow"/>
                      <w:b/>
                      <w:color w:val="000000"/>
                      <w:sz w:val="28"/>
                    </w:rPr>
                    <w:t xml:space="preserve">Заказчик: </w:t>
                  </w:r>
                </w:p>
                <w:p w:rsidR="00130274" w:rsidRPr="00E974C9" w:rsidRDefault="00130274" w:rsidP="000B7819">
                  <w:pPr>
                    <w:spacing w:after="300"/>
                    <w:rPr>
                      <w:rFonts w:ascii="Arial Narrow" w:hAnsi="Arial Narrow"/>
                      <w:color w:val="000000"/>
                      <w:sz w:val="28"/>
                    </w:rPr>
                  </w:pPr>
                  <w:r w:rsidRPr="00E974C9">
                    <w:rPr>
                      <w:rFonts w:ascii="Arial Narrow" w:hAnsi="Arial Narrow"/>
                      <w:color w:val="000000"/>
                      <w:sz w:val="28"/>
                    </w:rPr>
                    <w:t>Министерство экономического развития Новосибирской области</w:t>
                  </w:r>
                </w:p>
                <w:p w:rsidR="00130274" w:rsidRPr="00E974C9" w:rsidRDefault="00130274" w:rsidP="000B7819">
                  <w:pPr>
                    <w:rPr>
                      <w:rFonts w:ascii="Arial Narrow" w:hAnsi="Arial Narrow"/>
                      <w:b/>
                      <w:color w:val="000000"/>
                      <w:sz w:val="28"/>
                    </w:rPr>
                  </w:pPr>
                  <w:r w:rsidRPr="00E974C9">
                    <w:rPr>
                      <w:rFonts w:ascii="Arial Narrow" w:hAnsi="Arial Narrow"/>
                      <w:b/>
                      <w:color w:val="000000"/>
                      <w:sz w:val="28"/>
                    </w:rPr>
                    <w:t>Исполнитель:</w:t>
                  </w:r>
                </w:p>
                <w:p w:rsidR="00130274" w:rsidRPr="00E974C9" w:rsidRDefault="00130274" w:rsidP="000B7819">
                  <w:pPr>
                    <w:rPr>
                      <w:rFonts w:ascii="Arial Narrow" w:hAnsi="Arial Narrow"/>
                      <w:color w:val="000000"/>
                      <w:sz w:val="28"/>
                    </w:rPr>
                  </w:pPr>
                  <w:r w:rsidRPr="00E974C9">
                    <w:rPr>
                      <w:rFonts w:ascii="Arial Narrow" w:hAnsi="Arial Narrow"/>
                      <w:color w:val="000000"/>
                      <w:sz w:val="28"/>
                    </w:rPr>
                    <w:t>ООО «Исследовательская компания «Эс Ай Эс Корпорейшн»</w:t>
                  </w:r>
                </w:p>
                <w:p w:rsidR="00130274" w:rsidRPr="00E974C9" w:rsidRDefault="00130274" w:rsidP="000B7819">
                  <w:pPr>
                    <w:rPr>
                      <w:rFonts w:ascii="Arial Narrow" w:hAnsi="Arial Narrow"/>
                      <w:b/>
                      <w:color w:val="000000"/>
                      <w:sz w:val="28"/>
                    </w:rPr>
                  </w:pPr>
                </w:p>
                <w:p w:rsidR="00130274" w:rsidRPr="00E974C9" w:rsidRDefault="00130274" w:rsidP="000B7819">
                  <w:pPr>
                    <w:jc w:val="center"/>
                    <w:rPr>
                      <w:rFonts w:ascii="Arial Narrow" w:hAnsi="Arial Narrow"/>
                      <w:b/>
                      <w:color w:val="000000"/>
                      <w:sz w:val="28"/>
                    </w:rPr>
                  </w:pPr>
                </w:p>
                <w:p w:rsidR="00130274" w:rsidRPr="00E974C9" w:rsidRDefault="00130274" w:rsidP="000B7819">
                  <w:pPr>
                    <w:jc w:val="center"/>
                    <w:rPr>
                      <w:rFonts w:ascii="Arial Narrow" w:hAnsi="Arial Narrow"/>
                      <w:color w:val="000000"/>
                    </w:rPr>
                  </w:pPr>
                  <w:r w:rsidRPr="00E974C9">
                    <w:rPr>
                      <w:rFonts w:ascii="Arial Narrow" w:hAnsi="Arial Narrow"/>
                      <w:color w:val="000000"/>
                    </w:rPr>
                    <w:t>г. Новосибирск, 2017 г.</w:t>
                  </w:r>
                </w:p>
                <w:p w:rsidR="00130274" w:rsidRPr="00E974C9" w:rsidRDefault="00130274" w:rsidP="000B7819">
                  <w:pPr>
                    <w:rPr>
                      <w:color w:val="000000"/>
                      <w:szCs w:val="44"/>
                    </w:rPr>
                  </w:pPr>
                </w:p>
              </w:txbxContent>
            </v:textbox>
          </v:shape>
        </w:pict>
      </w:r>
      <w:r w:rsidR="000B7819" w:rsidRPr="00530487">
        <w:rPr>
          <w:rFonts w:ascii="Arial Narrow" w:hAnsi="Arial Narrow"/>
          <w:b/>
          <w:color w:val="000000"/>
          <w:sz w:val="28"/>
          <w:szCs w:val="28"/>
        </w:rPr>
        <w:br w:type="page"/>
      </w:r>
      <w:bookmarkEnd w:id="0"/>
      <w:bookmarkEnd w:id="1"/>
      <w:bookmarkEnd w:id="2"/>
    </w:p>
    <w:p w:rsidR="000B7819" w:rsidRDefault="000B7819" w:rsidP="000B7819">
      <w:pPr>
        <w:spacing w:line="240" w:lineRule="auto"/>
        <w:ind w:right="180"/>
        <w:jc w:val="center"/>
        <w:rPr>
          <w:rFonts w:ascii="Arial Narrow" w:hAnsi="Arial Narrow"/>
          <w:b/>
          <w:sz w:val="32"/>
          <w:szCs w:val="32"/>
          <w:u w:val="single"/>
        </w:rPr>
      </w:pPr>
    </w:p>
    <w:p w:rsidR="000B7819" w:rsidRDefault="000B7819" w:rsidP="000B7819">
      <w:pPr>
        <w:spacing w:line="240" w:lineRule="auto"/>
        <w:ind w:right="180"/>
        <w:jc w:val="center"/>
        <w:rPr>
          <w:rFonts w:ascii="Arial Narrow" w:hAnsi="Arial Narrow"/>
          <w:b/>
          <w:sz w:val="32"/>
          <w:szCs w:val="32"/>
          <w:u w:val="single"/>
        </w:rPr>
      </w:pPr>
    </w:p>
    <w:p w:rsidR="000B7819" w:rsidRDefault="000B7819" w:rsidP="000B7819">
      <w:pPr>
        <w:spacing w:line="240" w:lineRule="auto"/>
        <w:ind w:right="283"/>
        <w:jc w:val="center"/>
        <w:rPr>
          <w:rFonts w:ascii="Arial Narrow" w:hAnsi="Arial Narrow"/>
          <w:b/>
          <w:color w:val="5E3066"/>
          <w:sz w:val="40"/>
          <w:szCs w:val="40"/>
        </w:rPr>
      </w:pPr>
      <w:r>
        <w:rPr>
          <w:rFonts w:ascii="Arial Narrow" w:hAnsi="Arial Narrow"/>
          <w:b/>
          <w:color w:val="5E3066"/>
          <w:sz w:val="40"/>
          <w:szCs w:val="40"/>
        </w:rPr>
        <w:t xml:space="preserve">ОТЧЕТ </w:t>
      </w:r>
    </w:p>
    <w:p w:rsidR="000B7819" w:rsidRDefault="000B7819" w:rsidP="000B7819">
      <w:pPr>
        <w:spacing w:line="240" w:lineRule="auto"/>
        <w:ind w:right="283"/>
        <w:jc w:val="center"/>
        <w:rPr>
          <w:rFonts w:ascii="Arial Narrow" w:hAnsi="Arial Narrow"/>
          <w:b/>
          <w:color w:val="5E3066"/>
          <w:sz w:val="40"/>
          <w:szCs w:val="40"/>
        </w:rPr>
      </w:pPr>
      <w:r>
        <w:rPr>
          <w:rFonts w:ascii="Arial Narrow" w:hAnsi="Arial Narrow"/>
          <w:b/>
          <w:color w:val="5E3066"/>
          <w:sz w:val="40"/>
          <w:szCs w:val="40"/>
        </w:rPr>
        <w:t xml:space="preserve">О ВЫПОЛНЕНИИ НАУЧНО-ИССЛЕДОВАТЕЛЬСКОЙ </w:t>
      </w:r>
    </w:p>
    <w:p w:rsidR="000B7819" w:rsidRDefault="000B7819" w:rsidP="000B7819">
      <w:pPr>
        <w:spacing w:line="240" w:lineRule="auto"/>
        <w:ind w:right="283"/>
        <w:jc w:val="center"/>
        <w:rPr>
          <w:rFonts w:ascii="Arial Narrow" w:hAnsi="Arial Narrow"/>
          <w:b/>
          <w:color w:val="5E3066"/>
          <w:sz w:val="40"/>
          <w:szCs w:val="40"/>
        </w:rPr>
      </w:pPr>
      <w:r>
        <w:rPr>
          <w:rFonts w:ascii="Arial Narrow" w:hAnsi="Arial Narrow"/>
          <w:b/>
          <w:color w:val="5E3066"/>
          <w:sz w:val="40"/>
          <w:szCs w:val="40"/>
        </w:rPr>
        <w:t>РАБОТЫ ПО ТЕМЕ:</w:t>
      </w:r>
    </w:p>
    <w:p w:rsidR="000B7819" w:rsidRDefault="000B7819" w:rsidP="000B7819">
      <w:pPr>
        <w:spacing w:line="240" w:lineRule="auto"/>
        <w:ind w:right="283"/>
        <w:jc w:val="center"/>
        <w:rPr>
          <w:rFonts w:ascii="Arial Narrow" w:hAnsi="Arial Narrow"/>
          <w:b/>
          <w:color w:val="000000"/>
          <w:sz w:val="28"/>
        </w:rPr>
      </w:pPr>
    </w:p>
    <w:p w:rsidR="000B7819" w:rsidRDefault="000B7819" w:rsidP="000B7819">
      <w:pPr>
        <w:spacing w:line="240" w:lineRule="auto"/>
        <w:ind w:right="283"/>
        <w:jc w:val="center"/>
        <w:rPr>
          <w:rFonts w:ascii="Arial Narrow" w:hAnsi="Arial Narrow"/>
          <w:b/>
          <w:color w:val="000000"/>
          <w:sz w:val="32"/>
          <w:szCs w:val="32"/>
        </w:rPr>
      </w:pPr>
      <w:r>
        <w:rPr>
          <w:rFonts w:ascii="Arial Narrow" w:hAnsi="Arial Narrow"/>
          <w:b/>
          <w:color w:val="000000"/>
          <w:sz w:val="32"/>
          <w:szCs w:val="32"/>
        </w:rPr>
        <w:t>«</w:t>
      </w:r>
      <w:r>
        <w:rPr>
          <w:rFonts w:ascii="Arial Narrow" w:hAnsi="Arial Narrow"/>
          <w:b/>
          <w:sz w:val="32"/>
          <w:szCs w:val="32"/>
        </w:rPr>
        <w:t>Мониторинг состояния и развития конкурентной среды на рынках товаров, работ и услуг Новосибирской области за 2016 год</w:t>
      </w:r>
      <w:r>
        <w:rPr>
          <w:rFonts w:ascii="Arial Narrow" w:hAnsi="Arial Narrow"/>
          <w:b/>
          <w:color w:val="000000"/>
          <w:sz w:val="32"/>
          <w:szCs w:val="32"/>
        </w:rPr>
        <w:t>»</w:t>
      </w:r>
    </w:p>
    <w:p w:rsidR="000B7819" w:rsidRDefault="000B7819" w:rsidP="000B7819">
      <w:pPr>
        <w:spacing w:line="240" w:lineRule="auto"/>
        <w:ind w:right="284"/>
        <w:jc w:val="center"/>
        <w:rPr>
          <w:rFonts w:ascii="Arial Narrow" w:hAnsi="Arial Narrow"/>
          <w:b/>
          <w:color w:val="000000"/>
          <w:sz w:val="32"/>
          <w:szCs w:val="32"/>
        </w:rPr>
      </w:pPr>
    </w:p>
    <w:p w:rsidR="000B7819" w:rsidRDefault="000B7819" w:rsidP="000B7819">
      <w:pPr>
        <w:spacing w:line="240" w:lineRule="auto"/>
        <w:ind w:right="284"/>
        <w:jc w:val="center"/>
        <w:rPr>
          <w:rFonts w:ascii="Arial Narrow" w:hAnsi="Arial Narrow"/>
          <w:b/>
          <w:color w:val="000000"/>
          <w:sz w:val="36"/>
          <w:szCs w:val="36"/>
        </w:rPr>
      </w:pPr>
      <w:r>
        <w:rPr>
          <w:rFonts w:ascii="Arial Narrow" w:hAnsi="Arial Narrow"/>
          <w:b/>
          <w:color w:val="000000"/>
          <w:sz w:val="32"/>
          <w:szCs w:val="32"/>
        </w:rPr>
        <w:t>Часть 3</w:t>
      </w:r>
    </w:p>
    <w:p w:rsidR="000B7819" w:rsidRDefault="000B7819" w:rsidP="000B7819">
      <w:pPr>
        <w:spacing w:line="240" w:lineRule="auto"/>
        <w:ind w:right="284"/>
        <w:jc w:val="center"/>
        <w:rPr>
          <w:rFonts w:ascii="Arial Narrow" w:hAnsi="Arial Narrow"/>
          <w:color w:val="000000"/>
          <w:sz w:val="26"/>
          <w:szCs w:val="26"/>
        </w:rPr>
      </w:pPr>
    </w:p>
    <w:p w:rsidR="000B7819" w:rsidRDefault="000B7819" w:rsidP="000B7819">
      <w:pPr>
        <w:spacing w:line="240" w:lineRule="auto"/>
        <w:ind w:right="283"/>
        <w:jc w:val="center"/>
        <w:rPr>
          <w:rFonts w:ascii="Arial Narrow" w:hAnsi="Arial Narrow"/>
          <w:color w:val="000000"/>
          <w:sz w:val="26"/>
          <w:szCs w:val="26"/>
        </w:rPr>
      </w:pPr>
      <w:r>
        <w:rPr>
          <w:rFonts w:ascii="Arial Narrow" w:hAnsi="Arial Narrow"/>
          <w:color w:val="000000"/>
          <w:sz w:val="26"/>
          <w:szCs w:val="26"/>
        </w:rPr>
        <w:t xml:space="preserve">в рамках исполнения Государственного контракта </w:t>
      </w:r>
    </w:p>
    <w:p w:rsidR="000B7819" w:rsidRDefault="000B7819" w:rsidP="000B7819">
      <w:pPr>
        <w:spacing w:line="240" w:lineRule="auto"/>
        <w:jc w:val="center"/>
        <w:rPr>
          <w:rFonts w:ascii="Arial Narrow" w:hAnsi="Arial Narrow"/>
          <w:sz w:val="26"/>
          <w:szCs w:val="26"/>
        </w:rPr>
      </w:pPr>
      <w:r>
        <w:rPr>
          <w:rFonts w:ascii="Arial Narrow" w:hAnsi="Arial Narrow"/>
          <w:sz w:val="26"/>
          <w:szCs w:val="26"/>
        </w:rPr>
        <w:t>№ 31-ОК/2016 от 27.10.2016 г.</w:t>
      </w:r>
    </w:p>
    <w:p w:rsidR="000B7819" w:rsidRDefault="000B7819" w:rsidP="000B7819">
      <w:pPr>
        <w:spacing w:line="240" w:lineRule="auto"/>
        <w:ind w:right="283"/>
        <w:jc w:val="center"/>
        <w:rPr>
          <w:rFonts w:ascii="Arial Narrow" w:hAnsi="Arial Narrow"/>
          <w:color w:val="000000"/>
          <w:sz w:val="26"/>
          <w:szCs w:val="26"/>
        </w:rPr>
      </w:pPr>
      <w:r>
        <w:rPr>
          <w:rFonts w:ascii="Arial Narrow" w:hAnsi="Arial Narrow"/>
          <w:color w:val="000000"/>
          <w:sz w:val="26"/>
          <w:szCs w:val="26"/>
        </w:rPr>
        <w:t>УДК 3.07</w:t>
      </w:r>
    </w:p>
    <w:p w:rsidR="000B7819" w:rsidRDefault="000B7819" w:rsidP="000B7819">
      <w:pPr>
        <w:spacing w:line="240" w:lineRule="auto"/>
        <w:jc w:val="center"/>
        <w:rPr>
          <w:rFonts w:ascii="Arial Narrow" w:hAnsi="Arial Narrow"/>
          <w:sz w:val="28"/>
          <w:szCs w:val="28"/>
        </w:rPr>
      </w:pPr>
    </w:p>
    <w:p w:rsidR="000B7819" w:rsidRDefault="000B7819" w:rsidP="000B7819">
      <w:pPr>
        <w:spacing w:line="240" w:lineRule="auto"/>
        <w:rPr>
          <w:rFonts w:ascii="Arial Narrow" w:hAnsi="Arial Narrow"/>
          <w:b/>
          <w:sz w:val="28"/>
          <w:szCs w:val="28"/>
        </w:rPr>
      </w:pPr>
      <w:r>
        <w:rPr>
          <w:rFonts w:ascii="Arial Narrow" w:hAnsi="Arial Narrow"/>
          <w:b/>
          <w:sz w:val="28"/>
          <w:szCs w:val="28"/>
        </w:rPr>
        <w:t xml:space="preserve">Заказчик: </w:t>
      </w:r>
    </w:p>
    <w:p w:rsidR="000B7819" w:rsidRDefault="000B7819" w:rsidP="000B7819">
      <w:pPr>
        <w:spacing w:line="240" w:lineRule="auto"/>
        <w:rPr>
          <w:rFonts w:ascii="Arial Narrow" w:hAnsi="Arial Narrow"/>
          <w:sz w:val="28"/>
          <w:szCs w:val="28"/>
        </w:rPr>
      </w:pPr>
      <w:r>
        <w:rPr>
          <w:rFonts w:ascii="Arial Narrow" w:hAnsi="Arial Narrow"/>
          <w:sz w:val="28"/>
        </w:rPr>
        <w:t>Министерство экономического развития Новосибирской области</w:t>
      </w:r>
    </w:p>
    <w:p w:rsidR="000B7819" w:rsidRDefault="000B7819" w:rsidP="000B7819">
      <w:pPr>
        <w:spacing w:line="240" w:lineRule="auto"/>
        <w:rPr>
          <w:rFonts w:ascii="Arial Narrow" w:hAnsi="Arial Narrow"/>
          <w:b/>
          <w:bCs/>
          <w:sz w:val="28"/>
          <w:szCs w:val="28"/>
        </w:rPr>
      </w:pPr>
      <w:r>
        <w:rPr>
          <w:rFonts w:ascii="Arial Narrow" w:hAnsi="Arial Narrow"/>
          <w:b/>
          <w:sz w:val="28"/>
          <w:szCs w:val="28"/>
        </w:rPr>
        <w:t xml:space="preserve">Исполнитель: </w:t>
      </w:r>
    </w:p>
    <w:p w:rsidR="000B7819" w:rsidRDefault="000B7819" w:rsidP="000B7819">
      <w:pPr>
        <w:spacing w:line="240" w:lineRule="auto"/>
        <w:rPr>
          <w:rFonts w:ascii="Arial Narrow" w:hAnsi="Arial Narrow"/>
          <w:sz w:val="28"/>
          <w:szCs w:val="28"/>
        </w:rPr>
      </w:pPr>
      <w:r>
        <w:rPr>
          <w:rFonts w:ascii="Arial Narrow" w:hAnsi="Arial Narrow"/>
          <w:sz w:val="28"/>
          <w:szCs w:val="28"/>
        </w:rPr>
        <w:t>ООО «Исследовательская компания «Эс Ай Эс Корпорейшн»</w:t>
      </w:r>
    </w:p>
    <w:p w:rsidR="000B7819" w:rsidRDefault="000B7819" w:rsidP="000B7819">
      <w:pPr>
        <w:jc w:val="center"/>
        <w:rPr>
          <w:rFonts w:ascii="Arial Narrow" w:hAnsi="Arial Narrow"/>
          <w:sz w:val="28"/>
          <w:szCs w:val="28"/>
        </w:rPr>
      </w:pPr>
    </w:p>
    <w:tbl>
      <w:tblPr>
        <w:tblW w:w="9660" w:type="dxa"/>
        <w:tblInd w:w="108" w:type="dxa"/>
        <w:tblLayout w:type="fixed"/>
        <w:tblLook w:val="04A0"/>
      </w:tblPr>
      <w:tblGrid>
        <w:gridCol w:w="3971"/>
        <w:gridCol w:w="3546"/>
        <w:gridCol w:w="2143"/>
      </w:tblGrid>
      <w:tr w:rsidR="000B7819" w:rsidTr="004D5720">
        <w:tc>
          <w:tcPr>
            <w:tcW w:w="3969" w:type="dxa"/>
            <w:hideMark/>
          </w:tcPr>
          <w:p w:rsidR="000B7819" w:rsidRDefault="000B7819" w:rsidP="004D5720">
            <w:pPr>
              <w:snapToGrid w:val="0"/>
              <w:spacing w:line="312" w:lineRule="auto"/>
              <w:jc w:val="both"/>
              <w:rPr>
                <w:rFonts w:ascii="Arial Narrow" w:hAnsi="Arial Narrow"/>
                <w:bCs/>
                <w:sz w:val="28"/>
                <w:szCs w:val="28"/>
              </w:rPr>
            </w:pPr>
            <w:r>
              <w:rPr>
                <w:rFonts w:ascii="Arial Narrow" w:hAnsi="Arial Narrow"/>
                <w:sz w:val="28"/>
                <w:szCs w:val="28"/>
              </w:rPr>
              <w:t xml:space="preserve">Генеральный директор </w:t>
            </w:r>
          </w:p>
          <w:p w:rsidR="000B7819" w:rsidRDefault="000B7819" w:rsidP="004D5720">
            <w:pPr>
              <w:snapToGrid w:val="0"/>
              <w:spacing w:line="312" w:lineRule="auto"/>
              <w:jc w:val="both"/>
              <w:rPr>
                <w:rFonts w:ascii="Arial Narrow" w:hAnsi="Arial Narrow"/>
                <w:bCs/>
                <w:sz w:val="28"/>
                <w:szCs w:val="28"/>
              </w:rPr>
            </w:pPr>
            <w:r>
              <w:rPr>
                <w:rFonts w:ascii="Arial Narrow" w:hAnsi="Arial Narrow"/>
                <w:sz w:val="28"/>
                <w:szCs w:val="28"/>
              </w:rPr>
              <w:t>ООО «Эс Ай Эс Корпорейшн»</w:t>
            </w:r>
          </w:p>
        </w:tc>
        <w:tc>
          <w:tcPr>
            <w:tcW w:w="3544" w:type="dxa"/>
          </w:tcPr>
          <w:p w:rsidR="000B7819" w:rsidRDefault="000B7819" w:rsidP="004D5720">
            <w:pPr>
              <w:snapToGrid w:val="0"/>
              <w:spacing w:line="312" w:lineRule="auto"/>
              <w:jc w:val="both"/>
              <w:rPr>
                <w:rFonts w:ascii="Arial Narrow" w:hAnsi="Arial Narrow"/>
                <w:bCs/>
                <w:sz w:val="28"/>
                <w:szCs w:val="28"/>
              </w:rPr>
            </w:pPr>
          </w:p>
          <w:p w:rsidR="000B7819" w:rsidRDefault="000B7819" w:rsidP="004D5720">
            <w:pPr>
              <w:snapToGrid w:val="0"/>
              <w:spacing w:line="312" w:lineRule="auto"/>
              <w:jc w:val="both"/>
              <w:rPr>
                <w:rFonts w:ascii="Arial Narrow" w:hAnsi="Arial Narrow"/>
                <w:sz w:val="28"/>
                <w:szCs w:val="28"/>
              </w:rPr>
            </w:pPr>
            <w:r>
              <w:rPr>
                <w:rFonts w:ascii="Arial Narrow" w:hAnsi="Arial Narrow"/>
                <w:sz w:val="28"/>
                <w:szCs w:val="28"/>
              </w:rPr>
              <w:t>______________________</w:t>
            </w:r>
            <w:r>
              <w:rPr>
                <w:rFonts w:ascii="Arial Narrow" w:hAnsi="Arial Narrow"/>
                <w:sz w:val="28"/>
                <w:szCs w:val="28"/>
              </w:rPr>
              <w:br/>
              <w:t xml:space="preserve">   </w:t>
            </w:r>
          </w:p>
          <w:p w:rsidR="000B7819" w:rsidRDefault="000B7819" w:rsidP="004D5720">
            <w:pPr>
              <w:snapToGrid w:val="0"/>
              <w:spacing w:line="312" w:lineRule="auto"/>
              <w:rPr>
                <w:rFonts w:ascii="Arial Narrow" w:hAnsi="Arial Narrow"/>
                <w:bCs/>
                <w:sz w:val="28"/>
                <w:szCs w:val="28"/>
              </w:rPr>
            </w:pPr>
            <w:r>
              <w:rPr>
                <w:rFonts w:ascii="Arial Narrow" w:hAnsi="Arial Narrow"/>
                <w:sz w:val="28"/>
                <w:szCs w:val="28"/>
              </w:rPr>
              <w:t>« __»____________ 2017 г.</w:t>
            </w:r>
          </w:p>
        </w:tc>
        <w:tc>
          <w:tcPr>
            <w:tcW w:w="2142" w:type="dxa"/>
            <w:hideMark/>
          </w:tcPr>
          <w:p w:rsidR="000B7819" w:rsidRDefault="000B7819" w:rsidP="004D5720">
            <w:pPr>
              <w:snapToGrid w:val="0"/>
              <w:spacing w:line="312" w:lineRule="auto"/>
              <w:jc w:val="both"/>
              <w:rPr>
                <w:rFonts w:ascii="Arial Narrow" w:hAnsi="Arial Narrow"/>
                <w:bCs/>
                <w:sz w:val="28"/>
                <w:szCs w:val="28"/>
              </w:rPr>
            </w:pPr>
            <w:r>
              <w:rPr>
                <w:rFonts w:ascii="Arial Narrow" w:hAnsi="Arial Narrow"/>
                <w:sz w:val="28"/>
                <w:szCs w:val="28"/>
              </w:rPr>
              <w:t xml:space="preserve">  </w:t>
            </w:r>
          </w:p>
          <w:p w:rsidR="000B7819" w:rsidRDefault="000B7819" w:rsidP="004D5720">
            <w:pPr>
              <w:snapToGrid w:val="0"/>
              <w:spacing w:line="312" w:lineRule="auto"/>
              <w:jc w:val="both"/>
              <w:rPr>
                <w:rFonts w:ascii="Arial Narrow" w:hAnsi="Arial Narrow"/>
                <w:bCs/>
                <w:sz w:val="28"/>
                <w:szCs w:val="28"/>
              </w:rPr>
            </w:pPr>
            <w:r>
              <w:rPr>
                <w:rFonts w:ascii="Arial Narrow" w:hAnsi="Arial Narrow"/>
                <w:sz w:val="28"/>
                <w:szCs w:val="28"/>
              </w:rPr>
              <w:t>Ферштейн А.Д.</w:t>
            </w:r>
          </w:p>
        </w:tc>
      </w:tr>
    </w:tbl>
    <w:p w:rsidR="000B7819" w:rsidRDefault="000B7819" w:rsidP="000B7819">
      <w:pPr>
        <w:jc w:val="both"/>
        <w:rPr>
          <w:rFonts w:ascii="Arial Narrow" w:hAnsi="Arial Narrow"/>
          <w:bCs/>
          <w:sz w:val="28"/>
          <w:szCs w:val="28"/>
        </w:rPr>
      </w:pPr>
    </w:p>
    <w:p w:rsidR="000B7819" w:rsidRDefault="000B7819" w:rsidP="000B7819">
      <w:pPr>
        <w:jc w:val="both"/>
        <w:rPr>
          <w:rFonts w:ascii="Arial Narrow" w:hAnsi="Arial Narrow"/>
          <w:bCs/>
          <w:sz w:val="28"/>
          <w:szCs w:val="28"/>
        </w:rPr>
      </w:pPr>
    </w:p>
    <w:p w:rsidR="000B7819" w:rsidRDefault="000B7819" w:rsidP="000B7819">
      <w:pPr>
        <w:jc w:val="center"/>
        <w:rPr>
          <w:rFonts w:ascii="Arial Narrow" w:hAnsi="Arial Narrow"/>
          <w:b/>
          <w:caps/>
          <w:kern w:val="28"/>
          <w:sz w:val="28"/>
          <w:szCs w:val="20"/>
        </w:rPr>
      </w:pPr>
      <w:r>
        <w:rPr>
          <w:rFonts w:ascii="Arial Narrow" w:hAnsi="Arial Narrow"/>
        </w:rPr>
        <w:t>г. Новосибирск, 2017</w:t>
      </w:r>
      <w:r>
        <w:rPr>
          <w:rFonts w:ascii="Arial Narrow" w:hAnsi="Arial Narrow"/>
        </w:rPr>
        <w:br w:type="page"/>
      </w:r>
    </w:p>
    <w:bookmarkEnd w:id="3"/>
    <w:p w:rsidR="00B07AB8" w:rsidRPr="00B07AB8" w:rsidRDefault="00084123" w:rsidP="00C929E4">
      <w:pPr>
        <w:jc w:val="both"/>
        <w:rPr>
          <w:rFonts w:ascii="Arial Narrow" w:hAnsi="Arial Narrow"/>
          <w:b/>
          <w:bCs/>
          <w:sz w:val="32"/>
          <w:szCs w:val="32"/>
        </w:rPr>
      </w:pPr>
      <w:r>
        <w:rPr>
          <w:rFonts w:ascii="Arial Narrow" w:hAnsi="Arial Narrow"/>
          <w:b/>
          <w:bCs/>
          <w:sz w:val="32"/>
          <w:szCs w:val="32"/>
        </w:rPr>
        <w:lastRenderedPageBreak/>
        <w:t>РАЗДЕЛ</w:t>
      </w:r>
      <w:r w:rsidR="00B07AB8" w:rsidRPr="00B07AB8">
        <w:rPr>
          <w:rFonts w:ascii="Arial Narrow" w:hAnsi="Arial Narrow"/>
          <w:b/>
          <w:bCs/>
          <w:sz w:val="32"/>
          <w:szCs w:val="32"/>
        </w:rPr>
        <w:t xml:space="preserve"> 5. Аналитический отчет о результатах мониторинга деятельности субъектов естественных монополий на территории Новосибирской области</w:t>
      </w:r>
      <w:bookmarkEnd w:id="4"/>
      <w:bookmarkEnd w:id="5"/>
    </w:p>
    <w:p w:rsidR="00B07AB8" w:rsidRPr="00B07AB8" w:rsidRDefault="00B07AB8" w:rsidP="00B07AB8">
      <w:pPr>
        <w:spacing w:after="0" w:line="360" w:lineRule="auto"/>
        <w:ind w:firstLine="284"/>
        <w:jc w:val="both"/>
        <w:rPr>
          <w:rFonts w:ascii="Arial Narrow" w:hAnsi="Arial Narrow"/>
        </w:rPr>
      </w:pPr>
    </w:p>
    <w:p w:rsidR="00B07AB8" w:rsidRPr="00B07AB8" w:rsidRDefault="00B07AB8" w:rsidP="00B07AB8">
      <w:pPr>
        <w:spacing w:after="0" w:line="360" w:lineRule="auto"/>
        <w:ind w:firstLine="284"/>
        <w:jc w:val="both"/>
        <w:rPr>
          <w:rFonts w:ascii="Arial Narrow" w:hAnsi="Arial Narrow"/>
          <w:b/>
          <w:sz w:val="24"/>
          <w:szCs w:val="24"/>
        </w:rPr>
      </w:pPr>
      <w:r w:rsidRPr="00B07AB8">
        <w:rPr>
          <w:rFonts w:ascii="Arial Narrow" w:hAnsi="Arial Narrow"/>
          <w:sz w:val="24"/>
          <w:szCs w:val="24"/>
        </w:rPr>
        <w:t>В данном аналитическом отчете представлена информация о результатах работ, выполненных в рамках проведения Мониторинга деятельности субъектов естественных монополий на территории Новосибирской области:</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 xml:space="preserve">- доработка инструментария проведения мониторинга методом опроса в форме анкетирования субъектов предпринимательской деятельности методом самозаполнения анкет и </w:t>
      </w:r>
      <w:r w:rsidRPr="00B07AB8">
        <w:rPr>
          <w:rFonts w:ascii="Arial Narrow" w:eastAsia="SimSun" w:hAnsi="Arial Narrow"/>
          <w:sz w:val="24"/>
          <w:szCs w:val="24"/>
          <w:lang w:eastAsia="ar-SA"/>
        </w:rPr>
        <w:t>потребителей</w:t>
      </w:r>
      <w:r w:rsidRPr="00B07AB8">
        <w:rPr>
          <w:rFonts w:ascii="Arial Narrow" w:hAnsi="Arial Narrow"/>
          <w:sz w:val="24"/>
          <w:szCs w:val="24"/>
        </w:rPr>
        <w:t xml:space="preserve"> товаров, работ и услуг методом телефонного опроса</w:t>
      </w:r>
      <w:r w:rsidRPr="00B07AB8">
        <w:rPr>
          <w:rFonts w:ascii="Arial Narrow" w:eastAsia="SimSun" w:hAnsi="Arial Narrow"/>
          <w:sz w:val="24"/>
          <w:szCs w:val="24"/>
          <w:lang w:eastAsia="ar-SA"/>
        </w:rPr>
        <w:t>;</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w:t>
      </w:r>
      <w:r w:rsidRPr="00B07AB8">
        <w:rPr>
          <w:rFonts w:ascii="Arial Narrow" w:eastAsia="SimSun" w:hAnsi="Arial Narrow"/>
          <w:sz w:val="24"/>
          <w:szCs w:val="24"/>
          <w:lang w:eastAsia="ar-SA"/>
        </w:rPr>
        <w:t xml:space="preserve"> </w:t>
      </w:r>
      <w:r w:rsidRPr="00B07AB8">
        <w:rPr>
          <w:rFonts w:ascii="Arial Narrow" w:hAnsi="Arial Narrow"/>
          <w:sz w:val="24"/>
          <w:szCs w:val="24"/>
        </w:rPr>
        <w:t>формирование показателей для анализа деятельности субъектов естественных монополий на территории Новосибирской области, а также подготовка выводов и предложений;</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 формирование перечня рынков, на которых присутствуют субъекты естественных монополий;</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 анализ данных об уровнях тарифов (цен) за отчетный и предшествующий отчетному периоды (годы), установленных региональным органом по регулированию тарифов на рынках присутствия субъектов естественных монополий на территории Новосибирской области;</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 xml:space="preserve">- анализ удовлетворенности качеством товаров, работ и услуг на выявленных рынках присутствия субъектов естественных монополий на территории Новосибирской области со стороны: </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а) субъектов предпринимательской деятельности, взаимодействующих прямо или косвенно в экономической деятельности с субъектами естественных монополий;</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б) потребителей товаров, работ и услуг, предоставляемых субъектами естественных монополий;</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 оценка эффективности реализации инвестиционных программ и отдельных инвестиционных проектов субъектов естественных монополий со стороны потребителей товаров, работ и услуг, задействованных в механизмах общественного контроля за деятельностью субъектов естественных монополий, в том числе информации о мероприятиях и деятельности, осуществляемой в рамках проводимой оценки, о количестве инвестиционных программ и проектов, прошедших такую оценку в отчетном периоде (году), об их доле в общем числе инвестиционных программ и проектов, реализуемых в Новосибирской области.</w:t>
      </w:r>
    </w:p>
    <w:p w:rsidR="00B07AB8" w:rsidRPr="00B07AB8" w:rsidRDefault="00B07AB8" w:rsidP="00B07AB8">
      <w:pPr>
        <w:spacing w:after="0" w:line="360" w:lineRule="auto"/>
        <w:ind w:firstLine="284"/>
        <w:rPr>
          <w:rFonts w:ascii="Arial Narrow" w:hAnsi="Arial Narrow"/>
          <w:sz w:val="24"/>
          <w:szCs w:val="24"/>
        </w:rPr>
      </w:pPr>
      <w:r w:rsidRPr="00B07AB8">
        <w:rPr>
          <w:rFonts w:ascii="Arial Narrow" w:hAnsi="Arial Narrow"/>
          <w:sz w:val="24"/>
          <w:szCs w:val="24"/>
        </w:rPr>
        <w:br w:type="page"/>
      </w:r>
    </w:p>
    <w:p w:rsidR="00B07AB8" w:rsidRPr="00B07AB8" w:rsidRDefault="00B07AB8" w:rsidP="00C54B76">
      <w:pPr>
        <w:spacing w:after="0" w:line="240" w:lineRule="auto"/>
        <w:jc w:val="both"/>
        <w:outlineLvl w:val="1"/>
        <w:rPr>
          <w:rFonts w:ascii="Arial Narrow" w:eastAsia="SimSun" w:hAnsi="Arial Narrow"/>
          <w:b/>
          <w:bCs/>
          <w:i/>
          <w:iCs/>
          <w:sz w:val="28"/>
          <w:szCs w:val="28"/>
          <w:lang w:eastAsia="ar-SA"/>
        </w:rPr>
      </w:pPr>
      <w:bookmarkStart w:id="13" w:name="_Toc470587925"/>
      <w:bookmarkStart w:id="14" w:name="_Toc475532242"/>
      <w:r w:rsidRPr="00B07AB8">
        <w:rPr>
          <w:rFonts w:ascii="Arial Narrow" w:hAnsi="Arial Narrow"/>
          <w:b/>
          <w:bCs/>
          <w:i/>
          <w:iCs/>
          <w:sz w:val="28"/>
          <w:szCs w:val="28"/>
        </w:rPr>
        <w:lastRenderedPageBreak/>
        <w:t xml:space="preserve">5.1. Доработка инструментария проведения мониторинга методом опроса в форме анкетирования субъектов предпринимательской деятельности методом самозаполнения анкет и </w:t>
      </w:r>
      <w:r w:rsidRPr="00B07AB8">
        <w:rPr>
          <w:rFonts w:ascii="Arial Narrow" w:eastAsia="SimSun" w:hAnsi="Arial Narrow"/>
          <w:b/>
          <w:bCs/>
          <w:i/>
          <w:iCs/>
          <w:sz w:val="28"/>
          <w:szCs w:val="28"/>
          <w:lang w:eastAsia="ar-SA"/>
        </w:rPr>
        <w:t>потребителей</w:t>
      </w:r>
      <w:r w:rsidRPr="00B07AB8">
        <w:rPr>
          <w:rFonts w:ascii="Arial Narrow" w:hAnsi="Arial Narrow"/>
          <w:b/>
          <w:bCs/>
          <w:i/>
          <w:iCs/>
          <w:sz w:val="28"/>
          <w:szCs w:val="28"/>
        </w:rPr>
        <w:t xml:space="preserve"> товаров, работ и услуг методом телефонного опроса</w:t>
      </w:r>
      <w:bookmarkEnd w:id="13"/>
      <w:bookmarkEnd w:id="14"/>
    </w:p>
    <w:p w:rsidR="00B07AB8" w:rsidRPr="00B07AB8" w:rsidRDefault="00B07AB8" w:rsidP="00C54B76">
      <w:pPr>
        <w:spacing w:after="0" w:line="360" w:lineRule="auto"/>
        <w:ind w:firstLine="284"/>
        <w:jc w:val="both"/>
        <w:rPr>
          <w:rFonts w:ascii="Arial Narrow" w:eastAsia="SimSun" w:hAnsi="Arial Narrow"/>
          <w:lang w:eastAsia="ar-SA"/>
        </w:rPr>
      </w:pPr>
    </w:p>
    <w:p w:rsidR="00B07AB8" w:rsidRPr="00B07AB8" w:rsidRDefault="00B07AB8" w:rsidP="00C54B76">
      <w:pPr>
        <w:spacing w:after="0" w:line="360" w:lineRule="auto"/>
        <w:ind w:right="284" w:firstLine="284"/>
        <w:jc w:val="both"/>
        <w:rPr>
          <w:rFonts w:ascii="Arial Narrow" w:eastAsia="SimSun" w:hAnsi="Arial Narrow"/>
          <w:sz w:val="24"/>
          <w:szCs w:val="24"/>
          <w:lang w:eastAsia="ar-SA"/>
        </w:rPr>
      </w:pPr>
      <w:r w:rsidRPr="00B07AB8">
        <w:rPr>
          <w:rFonts w:ascii="Arial Narrow" w:eastAsia="SimSun" w:hAnsi="Arial Narrow"/>
          <w:sz w:val="24"/>
          <w:szCs w:val="24"/>
          <w:lang w:eastAsia="ar-SA"/>
        </w:rPr>
        <w:t xml:space="preserve">Инструментарий проведения мониторинга методом опроса в форме анкетирования </w:t>
      </w:r>
      <w:r w:rsidRPr="00B07AB8">
        <w:rPr>
          <w:rFonts w:ascii="Arial Narrow" w:hAnsi="Arial Narrow"/>
          <w:sz w:val="24"/>
          <w:szCs w:val="24"/>
        </w:rPr>
        <w:t xml:space="preserve">субъектов предпринимательской деятельности методом самозаполнения анкет и </w:t>
      </w:r>
      <w:r w:rsidRPr="00B07AB8">
        <w:rPr>
          <w:rFonts w:ascii="Arial Narrow" w:eastAsia="SimSun" w:hAnsi="Arial Narrow"/>
          <w:sz w:val="24"/>
          <w:szCs w:val="24"/>
          <w:lang w:eastAsia="ar-SA"/>
        </w:rPr>
        <w:t>потребителей</w:t>
      </w:r>
      <w:r w:rsidRPr="00B07AB8">
        <w:rPr>
          <w:rFonts w:ascii="Arial Narrow" w:hAnsi="Arial Narrow"/>
          <w:sz w:val="24"/>
          <w:szCs w:val="24"/>
        </w:rPr>
        <w:t xml:space="preserve"> товаров, работ и услуг методом телефонного опроса доработан с учетом требований Описания объекта заку</w:t>
      </w:r>
      <w:r w:rsidR="004D5720">
        <w:rPr>
          <w:rFonts w:ascii="Arial Narrow" w:hAnsi="Arial Narrow"/>
          <w:sz w:val="24"/>
          <w:szCs w:val="24"/>
        </w:rPr>
        <w:t>пки и представлен в Приложении 8</w:t>
      </w:r>
      <w:r w:rsidRPr="00B07AB8">
        <w:rPr>
          <w:rFonts w:ascii="Arial Narrow" w:hAnsi="Arial Narrow"/>
          <w:sz w:val="24"/>
          <w:szCs w:val="24"/>
        </w:rPr>
        <w:t xml:space="preserve">. </w:t>
      </w:r>
      <w:r w:rsidRPr="00B07AB8">
        <w:rPr>
          <w:rFonts w:ascii="Arial Narrow" w:eastAsia="SimSun" w:hAnsi="Arial Narrow"/>
          <w:sz w:val="24"/>
          <w:szCs w:val="24"/>
          <w:lang w:eastAsia="ar-SA"/>
        </w:rPr>
        <w:t>Показатели и инструментарий научно-исследовательской работы по теме: «Мониторинг состояния и развития конкурентной среды на рынках товаров, работ и услуг Новосибирской области за 2016 год».</w:t>
      </w:r>
    </w:p>
    <w:p w:rsidR="00B07AB8" w:rsidRPr="00B07AB8" w:rsidRDefault="00B07AB8" w:rsidP="00C54B76">
      <w:pPr>
        <w:spacing w:after="0" w:line="360" w:lineRule="auto"/>
        <w:ind w:firstLine="284"/>
        <w:jc w:val="both"/>
        <w:rPr>
          <w:rFonts w:ascii="Arial Narrow" w:hAnsi="Arial Narrow"/>
          <w:b/>
          <w:sz w:val="24"/>
          <w:szCs w:val="24"/>
        </w:rPr>
      </w:pPr>
    </w:p>
    <w:p w:rsidR="00B07AB8" w:rsidRPr="00B07AB8" w:rsidRDefault="00B07AB8" w:rsidP="00C54B76">
      <w:pPr>
        <w:spacing w:after="0" w:line="240" w:lineRule="auto"/>
        <w:jc w:val="both"/>
        <w:outlineLvl w:val="1"/>
        <w:rPr>
          <w:rFonts w:ascii="Arial Narrow" w:hAnsi="Arial Narrow"/>
          <w:b/>
          <w:bCs/>
          <w:i/>
          <w:iCs/>
          <w:sz w:val="28"/>
          <w:szCs w:val="28"/>
        </w:rPr>
      </w:pPr>
      <w:bookmarkStart w:id="15" w:name="_Toc470587926"/>
      <w:bookmarkStart w:id="16" w:name="_Toc475532243"/>
      <w:r w:rsidRPr="00B07AB8">
        <w:rPr>
          <w:rFonts w:ascii="Arial Narrow" w:hAnsi="Arial Narrow"/>
          <w:b/>
          <w:bCs/>
          <w:i/>
          <w:iCs/>
          <w:sz w:val="28"/>
          <w:szCs w:val="28"/>
        </w:rPr>
        <w:t>5.2. Формирование показателей для анализа деятельности субъектов естественных монополий на территории Новосибирской области, а также подготовка выводов и предложений</w:t>
      </w:r>
      <w:bookmarkEnd w:id="15"/>
      <w:bookmarkEnd w:id="16"/>
    </w:p>
    <w:p w:rsidR="00B07AB8" w:rsidRPr="00B07AB8" w:rsidRDefault="00B07AB8" w:rsidP="00C54B76">
      <w:pPr>
        <w:spacing w:after="0" w:line="360" w:lineRule="auto"/>
        <w:ind w:firstLine="284"/>
        <w:rPr>
          <w:rFonts w:ascii="Arial Narrow" w:hAnsi="Arial Narrow"/>
        </w:rPr>
      </w:pP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Показатели, оцениваемые в рамках данного Мониторинга:</w:t>
      </w:r>
    </w:p>
    <w:p w:rsidR="00B07AB8" w:rsidRPr="00B07AB8" w:rsidRDefault="00B07AB8" w:rsidP="00C54B76">
      <w:pPr>
        <w:spacing w:after="0" w:line="360" w:lineRule="auto"/>
        <w:ind w:firstLine="284"/>
        <w:jc w:val="both"/>
        <w:rPr>
          <w:rFonts w:ascii="Arial Narrow" w:hAnsi="Arial Narrow"/>
          <w:bCs/>
          <w:sz w:val="24"/>
          <w:szCs w:val="24"/>
        </w:rPr>
      </w:pPr>
      <w:r w:rsidRPr="00B07AB8">
        <w:rPr>
          <w:rFonts w:ascii="Arial Narrow" w:hAnsi="Arial Narrow"/>
          <w:bCs/>
          <w:sz w:val="24"/>
          <w:szCs w:val="24"/>
        </w:rPr>
        <w:t>1. Перечень субъектов естественных монополий в Новосибирской области (наименования).</w:t>
      </w:r>
    </w:p>
    <w:p w:rsidR="00B07AB8" w:rsidRPr="00B07AB8" w:rsidRDefault="00B07AB8" w:rsidP="00C54B76">
      <w:pPr>
        <w:spacing w:after="0" w:line="360" w:lineRule="auto"/>
        <w:ind w:firstLine="284"/>
        <w:jc w:val="both"/>
        <w:rPr>
          <w:rFonts w:ascii="Arial Narrow" w:hAnsi="Arial Narrow"/>
          <w:bCs/>
          <w:sz w:val="24"/>
          <w:szCs w:val="24"/>
        </w:rPr>
      </w:pPr>
      <w:r w:rsidRPr="00B07AB8">
        <w:rPr>
          <w:rFonts w:ascii="Arial Narrow" w:hAnsi="Arial Narrow"/>
          <w:bCs/>
          <w:sz w:val="24"/>
          <w:szCs w:val="24"/>
        </w:rPr>
        <w:t>2. Динамика тарифов (цен) за отчетный (2016 г.) и предшествующий отчетному (2015 г.) периоды, установленных региональным органом по регулированию тарифов на рынках присутствия субъектов естественных монополий на территории Новосибирской области, % к отчетному периоду.</w:t>
      </w:r>
    </w:p>
    <w:p w:rsidR="00B07AB8" w:rsidRPr="00B07AB8" w:rsidRDefault="00B07AB8" w:rsidP="00C54B76">
      <w:pPr>
        <w:spacing w:after="0" w:line="360" w:lineRule="auto"/>
        <w:ind w:firstLine="284"/>
        <w:jc w:val="both"/>
        <w:rPr>
          <w:rFonts w:ascii="Arial Narrow" w:hAnsi="Arial Narrow"/>
          <w:bCs/>
          <w:sz w:val="24"/>
          <w:szCs w:val="24"/>
        </w:rPr>
      </w:pPr>
      <w:r w:rsidRPr="00B07AB8">
        <w:rPr>
          <w:rFonts w:ascii="Arial Narrow" w:hAnsi="Arial Narrow"/>
          <w:bCs/>
          <w:sz w:val="24"/>
          <w:szCs w:val="24"/>
        </w:rPr>
        <w:t>3. Доля субъектов предпринимательской деятельности, взаимодействующих прямо или косвенно в экономической деятельности с субъектами естественных монополий, удовлетворенных сроками получения доступа к услугам естественных монополий, сложностью процедур подключения, стоимостью подключения, качеством предоставляемых товаров/услуг субъектами естественных монополий, стоимостью предоставляемых услуг, % от числа опрошенных.</w:t>
      </w:r>
    </w:p>
    <w:p w:rsidR="00B07AB8" w:rsidRPr="00B07AB8" w:rsidRDefault="00B07AB8" w:rsidP="00C54B76">
      <w:pPr>
        <w:spacing w:after="0" w:line="360" w:lineRule="auto"/>
        <w:ind w:firstLine="284"/>
        <w:jc w:val="both"/>
        <w:rPr>
          <w:rFonts w:ascii="Arial Narrow" w:hAnsi="Arial Narrow"/>
          <w:bCs/>
          <w:sz w:val="24"/>
          <w:szCs w:val="24"/>
        </w:rPr>
      </w:pPr>
      <w:r w:rsidRPr="00B07AB8">
        <w:rPr>
          <w:rFonts w:ascii="Arial Narrow" w:hAnsi="Arial Narrow"/>
          <w:bCs/>
          <w:sz w:val="24"/>
          <w:szCs w:val="24"/>
        </w:rPr>
        <w:t>4. Доля потребителей товаров, работ и услуг, предоставляемых субъектами естественных монополий, (населения), удовлетворенных качеством предоставляемых товаров/услуг субъектами естественных монополий и стоимостью предоставляемых услуг, % от числа опрошенных.</w:t>
      </w:r>
    </w:p>
    <w:p w:rsidR="00B07AB8" w:rsidRPr="00B07AB8" w:rsidRDefault="00B07AB8" w:rsidP="00A64028">
      <w:pPr>
        <w:spacing w:after="0" w:line="360" w:lineRule="auto"/>
        <w:ind w:firstLine="284"/>
        <w:jc w:val="both"/>
        <w:rPr>
          <w:rFonts w:ascii="Arial Narrow" w:hAnsi="Arial Narrow"/>
        </w:rPr>
      </w:pPr>
      <w:r w:rsidRPr="00B07AB8">
        <w:rPr>
          <w:rFonts w:ascii="Arial Narrow" w:hAnsi="Arial Narrow"/>
          <w:bCs/>
          <w:sz w:val="24"/>
          <w:szCs w:val="24"/>
        </w:rPr>
        <w:t>5. Оценка эффективности реализации инвестиционных программ и отдельных проектов субъектов естественных монополий со стороны потребителей товаров, работ и услуг, задействованных в механизмах общественного контроля за деятельностью субъектов естественных монополий, в том числе информации о мероприятиях и деятельности, осуществляемой в рамках проводимой оценки, о количестве инвестиционных программ и проектов, прошедших такую оценку в отчетном периоде (году).</w:t>
      </w:r>
      <w:r w:rsidRPr="00B07AB8">
        <w:rPr>
          <w:rFonts w:ascii="Arial Narrow" w:hAnsi="Arial Narrow"/>
        </w:rPr>
        <w:br w:type="page"/>
      </w:r>
    </w:p>
    <w:p w:rsidR="00B07AB8" w:rsidRPr="00B07AB8" w:rsidRDefault="00B07AB8" w:rsidP="00C54B76">
      <w:pPr>
        <w:spacing w:after="0" w:line="240" w:lineRule="auto"/>
        <w:jc w:val="both"/>
        <w:outlineLvl w:val="1"/>
        <w:rPr>
          <w:rFonts w:ascii="Arial Narrow" w:hAnsi="Arial Narrow"/>
          <w:b/>
          <w:bCs/>
          <w:i/>
          <w:iCs/>
          <w:sz w:val="28"/>
          <w:szCs w:val="28"/>
        </w:rPr>
      </w:pPr>
      <w:bookmarkStart w:id="17" w:name="_Toc470587927"/>
      <w:bookmarkStart w:id="18" w:name="_Toc475532244"/>
      <w:r w:rsidRPr="00B07AB8">
        <w:rPr>
          <w:rFonts w:ascii="Arial Narrow" w:hAnsi="Arial Narrow"/>
          <w:b/>
          <w:bCs/>
          <w:i/>
          <w:iCs/>
          <w:sz w:val="28"/>
          <w:szCs w:val="28"/>
        </w:rPr>
        <w:lastRenderedPageBreak/>
        <w:t>5.3. Формирование перечня рынков, на которых присутствуют субъекты естественных монополий</w:t>
      </w:r>
      <w:bookmarkEnd w:id="17"/>
      <w:bookmarkEnd w:id="18"/>
    </w:p>
    <w:p w:rsidR="00B07AB8" w:rsidRPr="00B07AB8" w:rsidRDefault="00B07AB8" w:rsidP="00C54B76">
      <w:pPr>
        <w:spacing w:after="0"/>
        <w:rPr>
          <w:rFonts w:ascii="Arial Narrow" w:hAnsi="Arial Narrow"/>
        </w:rPr>
      </w:pP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Перечень рынков, на которых присутствуют субъекты естественных монополий в Новосибирской области, составлен на основе Реестра субъектов естественных монополий, в отношении которых осуществляется государственное регулирование и контроль, размещенного на официальном интернет-сайте Федеральной антимонопольной службы (</w:t>
      </w:r>
      <w:hyperlink r:id="rId10" w:history="1">
        <w:r w:rsidRPr="00B07AB8">
          <w:rPr>
            <w:rFonts w:ascii="Arial Narrow" w:hAnsi="Arial Narrow"/>
            <w:color w:val="0000FF"/>
            <w:sz w:val="24"/>
            <w:szCs w:val="24"/>
            <w:u w:val="single"/>
          </w:rPr>
          <w:t>http://fas.gov.ru/activity/tariffregulation/reestr-subektov-estestvennyix-monopolij.html</w:t>
        </w:r>
      </w:hyperlink>
      <w:hyperlink r:id="rId11" w:history="1"/>
      <w:r w:rsidRPr="00B07AB8">
        <w:rPr>
          <w:rFonts w:ascii="Arial Narrow" w:hAnsi="Arial Narrow"/>
          <w:sz w:val="24"/>
          <w:szCs w:val="24"/>
        </w:rPr>
        <w:t>).</w:t>
      </w:r>
      <w:r w:rsidRPr="00B07AB8">
        <w:rPr>
          <w:rFonts w:ascii="Arial Narrow" w:hAnsi="Arial Narrow"/>
          <w:bCs/>
          <w:sz w:val="24"/>
          <w:szCs w:val="24"/>
        </w:rPr>
        <w:t xml:space="preserve"> Реестр субъектов естественных монополий по отдельным рынкам представлен в Приложении 6. Реестр субъектов естественных монополий в Новосибирской области.</w:t>
      </w: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Всего в Реестре субъектов естественных монополий содержится 125 организаций на шести рынках.</w:t>
      </w:r>
    </w:p>
    <w:p w:rsidR="00B07AB8" w:rsidRPr="00B07AB8" w:rsidRDefault="00B07AB8" w:rsidP="00C54B76">
      <w:pPr>
        <w:spacing w:after="0" w:line="360" w:lineRule="auto"/>
        <w:ind w:firstLine="284"/>
        <w:jc w:val="both"/>
        <w:rPr>
          <w:rFonts w:ascii="Arial Narrow" w:hAnsi="Arial Narrow"/>
          <w:sz w:val="24"/>
          <w:szCs w:val="24"/>
          <w:u w:val="single"/>
        </w:rPr>
      </w:pPr>
      <w:r w:rsidRPr="00B07AB8">
        <w:rPr>
          <w:rFonts w:ascii="Arial Narrow" w:hAnsi="Arial Narrow"/>
          <w:sz w:val="24"/>
          <w:szCs w:val="24"/>
          <w:u w:val="single"/>
        </w:rPr>
        <w:t>Перечень рынков, на которых присутствуют субъекты естественных монополий (Новосибирская область), и количество организаций, относящихся к каждому из рынков:</w:t>
      </w: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 xml:space="preserve">1. Услуги по передаче электрической и (или) тепловой энергии – 48 организаций. </w:t>
      </w: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2. Водоснабжение и водоотведение с использованием централизованных систем, систем коммунальной инфраструктуры – 52 организации.</w:t>
      </w: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3. Транспортировка газа по трубопроводам – 16 организаций.</w:t>
      </w: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4. Железнодорожные перевозки – 1 организация.</w:t>
      </w: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5. Услуги аэропортов – 5 организаций.</w:t>
      </w: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6. Услуги в портах и (или) транспортных терминалах, услуги по использованию инфраструктуры внутренних водных путей – 3 организации.</w:t>
      </w:r>
    </w:p>
    <w:p w:rsidR="00B07AB8" w:rsidRPr="00B07AB8" w:rsidRDefault="00B07AB8" w:rsidP="00C54B76">
      <w:pPr>
        <w:spacing w:after="0" w:line="360" w:lineRule="auto"/>
        <w:ind w:firstLine="567"/>
        <w:jc w:val="both"/>
        <w:rPr>
          <w:rFonts w:ascii="Arial Narrow" w:hAnsi="Arial Narrow"/>
          <w:sz w:val="24"/>
          <w:szCs w:val="24"/>
        </w:rPr>
      </w:pPr>
    </w:p>
    <w:p w:rsidR="00B07AB8" w:rsidRPr="00B07AB8" w:rsidRDefault="00B07AB8" w:rsidP="00C54B76">
      <w:pPr>
        <w:spacing w:after="0"/>
        <w:jc w:val="both"/>
        <w:outlineLvl w:val="1"/>
        <w:rPr>
          <w:rFonts w:ascii="Arial Narrow" w:hAnsi="Arial Narrow"/>
          <w:b/>
          <w:bCs/>
          <w:i/>
          <w:iCs/>
          <w:sz w:val="28"/>
          <w:szCs w:val="28"/>
        </w:rPr>
      </w:pPr>
      <w:bookmarkStart w:id="19" w:name="_Toc470587928"/>
      <w:bookmarkStart w:id="20" w:name="_Toc475532245"/>
      <w:r w:rsidRPr="00B07AB8">
        <w:rPr>
          <w:rFonts w:ascii="Arial Narrow" w:hAnsi="Arial Narrow"/>
          <w:b/>
          <w:bCs/>
          <w:i/>
          <w:iCs/>
          <w:sz w:val="28"/>
          <w:szCs w:val="28"/>
        </w:rPr>
        <w:t>5.4. Анализ данных об уровнях тарифов (цен) за отчетный и предшествующий отчетному периоды (годы), установленных региональным органом по регулированию тарифов на рынках присутствия субъектов естественных монополий на территории Новосибирской области</w:t>
      </w:r>
      <w:bookmarkEnd w:id="19"/>
      <w:bookmarkEnd w:id="20"/>
    </w:p>
    <w:p w:rsidR="00B07AB8" w:rsidRPr="00B07AB8" w:rsidRDefault="00B07AB8" w:rsidP="00C54B76">
      <w:pPr>
        <w:spacing w:after="0"/>
        <w:rPr>
          <w:rFonts w:ascii="Arial Narrow" w:hAnsi="Arial Narrow"/>
        </w:rPr>
      </w:pP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Региональным органом по регулированию тарифов на рынках присутствия субъектов естественных монополий на территории Новосибирской области является Департамент по тарифам Новосибирской области. Источники информации настоящего раздела Мониторинга: Положение о Департаменте по тарифам Новосибирской области № 74-п от 25.02.2013 в ред. от 30.09.2015, приказы Департамента по тарифам Новосибирской области, устанавливающие тарифы на услуги субъектов естественных монополий (https://www.nso.ru/page/2397), Анализ данных об уровнях тарифов за период 2014–2016 годы в разрезе рынков присутствия субъектов естественных монополий (</w:t>
      </w:r>
      <w:hyperlink r:id="rId12" w:history="1">
        <w:r w:rsidRPr="00B07AB8">
          <w:rPr>
            <w:rFonts w:ascii="Arial Narrow" w:hAnsi="Arial Narrow"/>
            <w:sz w:val="24"/>
            <w:szCs w:val="24"/>
          </w:rPr>
          <w:t>http://tarif.nso.ru/page/60</w:t>
        </w:r>
      </w:hyperlink>
      <w:r w:rsidRPr="00B07AB8">
        <w:rPr>
          <w:rFonts w:ascii="Arial Narrow" w:hAnsi="Arial Narrow"/>
          <w:sz w:val="24"/>
          <w:szCs w:val="24"/>
        </w:rPr>
        <w:t xml:space="preserve">), Отчет о результатах деятельности Департамента по тарифам Новосибирской области за 2015 год и задачах на среднесрочную </w:t>
      </w:r>
      <w:r w:rsidRPr="00B07AB8">
        <w:rPr>
          <w:rFonts w:ascii="Arial Narrow" w:hAnsi="Arial Narrow"/>
          <w:sz w:val="24"/>
          <w:szCs w:val="24"/>
        </w:rPr>
        <w:lastRenderedPageBreak/>
        <w:t>перспективу (</w:t>
      </w:r>
      <w:hyperlink r:id="rId13" w:history="1">
        <w:r w:rsidRPr="00B07AB8">
          <w:rPr>
            <w:rFonts w:ascii="Arial Narrow" w:hAnsi="Arial Narrow"/>
            <w:sz w:val="24"/>
            <w:szCs w:val="24"/>
          </w:rPr>
          <w:t>http://www.tarif.nso.ru/page/144</w:t>
        </w:r>
      </w:hyperlink>
      <w:r w:rsidRPr="00B07AB8">
        <w:rPr>
          <w:rFonts w:ascii="Arial Narrow" w:hAnsi="Arial Narrow"/>
          <w:sz w:val="24"/>
          <w:szCs w:val="24"/>
        </w:rPr>
        <w:t>), Отчет о результатах деятельности Департамента по тарифам Новосибирской области за 2014 год и задачах  на среднесрочную перспективу (</w:t>
      </w:r>
      <w:hyperlink r:id="rId14" w:history="1">
        <w:r w:rsidRPr="00B07AB8">
          <w:rPr>
            <w:rFonts w:ascii="Arial Narrow" w:hAnsi="Arial Narrow"/>
            <w:sz w:val="24"/>
            <w:szCs w:val="24"/>
          </w:rPr>
          <w:t>http://www.tarif.nso.ru/page/144</w:t>
        </w:r>
      </w:hyperlink>
      <w:r w:rsidRPr="00B07AB8">
        <w:rPr>
          <w:rFonts w:ascii="Arial Narrow" w:hAnsi="Arial Narrow"/>
          <w:sz w:val="24"/>
          <w:szCs w:val="24"/>
        </w:rPr>
        <w:t xml:space="preserve">). </w:t>
      </w: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Департамент по тарифам Новосибирской области устанавливает тарифы на следующих рынках присутствия субъектов естественных монополий, согласно Положению о департаменте по тарифам Новосибирской области № 74-п от 25.02.2013 в ред. от 30.09.2015 (далее – Положение):</w:t>
      </w: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1. Услуги по передаче электрической и (или) тепловой энергии;</w:t>
      </w: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2. Водоснабжение и водоотведение с использованием централизованных систем, систем коммунальной инфраструктуры;</w:t>
      </w: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3. Транспортировка газа по трубопроводам;</w:t>
      </w: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 xml:space="preserve">4. Железнодорожные перевозки (перевозки пассажиров в пригородном сообщении). </w:t>
      </w: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 xml:space="preserve">На остальных рынках присутствия естественных монополий в Новосибирской области, а именно рынке услуг аэропортов и рынке услуг в портах и (или) транспортных терминалах, услуг по использованию инфраструктуры внутренних водных путей, тарифное регулирование осуществляется Федеральной антимонопольной службой, согласно п. 2, п. 4, п. 5 Положения о государственном регулировании цен (тарифов, сборов) на услуги субъектов естественных монополий в транспортных терминалах, портах, аэропортах и услуги по использованию </w:t>
      </w:r>
      <w:r w:rsidRPr="00B07AB8">
        <w:rPr>
          <w:rFonts w:ascii="Arial Narrow" w:hAnsi="Arial Narrow"/>
          <w:bCs/>
          <w:sz w:val="24"/>
          <w:szCs w:val="24"/>
        </w:rPr>
        <w:t xml:space="preserve">инфраструктуры внутренних водных путей (утв. </w:t>
      </w:r>
      <w:r w:rsidRPr="00B07AB8">
        <w:rPr>
          <w:rFonts w:ascii="Arial Narrow" w:hAnsi="Arial Narrow"/>
          <w:sz w:val="24"/>
          <w:szCs w:val="24"/>
        </w:rPr>
        <w:t xml:space="preserve">Постановлением Правительства Российской Федерации от 23.04.2008 № 293), п. 5.3.21.24, п. 5.3.21.35 Положения о Федеральной антимонопольной службе (утв. постановлением Правительства РФ от 30.06.2004 № 331). </w:t>
      </w: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В Таблице 1 представлены результаты анализа данных об уровнях тарифов (цен) за отчетный и предшествующий отчетному периоды (годы), установленных региональным органом по регулированию тарифов на рынках присутствия субъектов естественных монополий на территории Новосибирской области.</w:t>
      </w:r>
    </w:p>
    <w:p w:rsidR="00B07AB8" w:rsidRPr="00B07AB8" w:rsidRDefault="00B07AB8" w:rsidP="00C54B76">
      <w:pPr>
        <w:spacing w:after="0"/>
        <w:rPr>
          <w:rFonts w:ascii="Arial Narrow" w:hAnsi="Arial Narrow"/>
        </w:rPr>
      </w:pPr>
    </w:p>
    <w:p w:rsidR="00B07AB8" w:rsidRPr="00B07AB8" w:rsidRDefault="00B07AB8" w:rsidP="00C54B76">
      <w:pPr>
        <w:spacing w:after="0"/>
        <w:rPr>
          <w:rFonts w:ascii="Arial Narrow" w:hAnsi="Arial Narrow"/>
        </w:rPr>
      </w:pPr>
      <w:r w:rsidRPr="00B07AB8">
        <w:rPr>
          <w:rFonts w:ascii="Arial Narrow" w:hAnsi="Arial Narrow"/>
        </w:rPr>
        <w:br w:type="page"/>
      </w:r>
    </w:p>
    <w:p w:rsidR="00B07AB8" w:rsidRPr="00B07AB8" w:rsidRDefault="00B07AB8" w:rsidP="00C54B76">
      <w:pPr>
        <w:spacing w:after="0"/>
        <w:rPr>
          <w:rFonts w:ascii="Arial Narrow" w:hAnsi="Arial Narrow"/>
          <w:b/>
          <w:sz w:val="24"/>
          <w:szCs w:val="24"/>
        </w:rPr>
      </w:pPr>
      <w:r w:rsidRPr="00B07AB8">
        <w:rPr>
          <w:rFonts w:ascii="Arial Narrow" w:hAnsi="Arial Narrow"/>
          <w:sz w:val="24"/>
          <w:szCs w:val="24"/>
        </w:rPr>
        <w:lastRenderedPageBreak/>
        <w:t xml:space="preserve">Таблица </w:t>
      </w:r>
      <w:r w:rsidR="00A43AC6">
        <w:rPr>
          <w:rFonts w:ascii="Arial Narrow" w:hAnsi="Arial Narrow"/>
          <w:sz w:val="24"/>
          <w:szCs w:val="24"/>
        </w:rPr>
        <w:t>5.1</w:t>
      </w:r>
      <w:r w:rsidRPr="00B07AB8">
        <w:rPr>
          <w:rFonts w:ascii="Arial Narrow" w:hAnsi="Arial Narrow"/>
          <w:sz w:val="24"/>
          <w:szCs w:val="24"/>
        </w:rPr>
        <w:t xml:space="preserve">– </w:t>
      </w:r>
      <w:r w:rsidRPr="00B07AB8">
        <w:rPr>
          <w:rFonts w:ascii="Arial Narrow" w:hAnsi="Arial Narrow"/>
          <w:b/>
          <w:sz w:val="24"/>
          <w:szCs w:val="24"/>
        </w:rPr>
        <w:t>Анализ данных об уровнях тарифов</w:t>
      </w:r>
    </w:p>
    <w:tbl>
      <w:tblPr>
        <w:tblW w:w="1035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284"/>
        <w:gridCol w:w="1281"/>
        <w:gridCol w:w="8793"/>
      </w:tblGrid>
      <w:tr w:rsidR="00B07AB8" w:rsidRPr="004E1F15" w:rsidTr="000D69F3">
        <w:tc>
          <w:tcPr>
            <w:tcW w:w="284" w:type="dxa"/>
          </w:tcPr>
          <w:p w:rsidR="00B07AB8" w:rsidRPr="004E1F15" w:rsidRDefault="00B07AB8" w:rsidP="00C54B76">
            <w:pPr>
              <w:spacing w:after="0" w:line="240" w:lineRule="auto"/>
              <w:jc w:val="center"/>
              <w:rPr>
                <w:rFonts w:ascii="Arial Narrow" w:hAnsi="Arial Narrow"/>
                <w:sz w:val="20"/>
                <w:szCs w:val="20"/>
              </w:rPr>
            </w:pPr>
            <w:r w:rsidRPr="004E1F15">
              <w:rPr>
                <w:rFonts w:ascii="Arial Narrow" w:hAnsi="Arial Narrow"/>
                <w:sz w:val="20"/>
                <w:szCs w:val="20"/>
              </w:rPr>
              <w:t>№</w:t>
            </w:r>
          </w:p>
        </w:tc>
        <w:tc>
          <w:tcPr>
            <w:tcW w:w="1281" w:type="dxa"/>
          </w:tcPr>
          <w:p w:rsidR="00B07AB8" w:rsidRPr="004E1F15" w:rsidRDefault="00B07AB8" w:rsidP="00C54B76">
            <w:pPr>
              <w:spacing w:after="0" w:line="240" w:lineRule="auto"/>
              <w:jc w:val="center"/>
              <w:rPr>
                <w:rFonts w:ascii="Arial Narrow" w:hAnsi="Arial Narrow"/>
                <w:sz w:val="20"/>
                <w:szCs w:val="20"/>
              </w:rPr>
            </w:pPr>
            <w:r w:rsidRPr="004E1F15">
              <w:rPr>
                <w:rFonts w:ascii="Arial Narrow" w:hAnsi="Arial Narrow"/>
                <w:sz w:val="20"/>
                <w:szCs w:val="20"/>
              </w:rPr>
              <w:t>Наименование рынка</w:t>
            </w:r>
          </w:p>
        </w:tc>
        <w:tc>
          <w:tcPr>
            <w:tcW w:w="8793" w:type="dxa"/>
          </w:tcPr>
          <w:p w:rsidR="00B07AB8" w:rsidRPr="004E1F15" w:rsidRDefault="00B07AB8" w:rsidP="00C54B76">
            <w:pPr>
              <w:spacing w:after="0" w:line="240" w:lineRule="auto"/>
              <w:jc w:val="center"/>
              <w:rPr>
                <w:rFonts w:ascii="Arial Narrow" w:hAnsi="Arial Narrow"/>
                <w:sz w:val="20"/>
                <w:szCs w:val="20"/>
              </w:rPr>
            </w:pPr>
            <w:r w:rsidRPr="004E1F15">
              <w:rPr>
                <w:rFonts w:ascii="Arial Narrow" w:hAnsi="Arial Narrow"/>
                <w:sz w:val="20"/>
                <w:szCs w:val="20"/>
              </w:rPr>
              <w:t>Анализ данных об уровнях тарифов</w:t>
            </w:r>
          </w:p>
        </w:tc>
      </w:tr>
      <w:tr w:rsidR="00B07AB8" w:rsidRPr="004E1F15" w:rsidTr="000D69F3">
        <w:tc>
          <w:tcPr>
            <w:tcW w:w="284" w:type="dxa"/>
          </w:tcPr>
          <w:p w:rsidR="00B07AB8" w:rsidRPr="004E1F15" w:rsidRDefault="00B07AB8" w:rsidP="00C54B76">
            <w:pPr>
              <w:spacing w:after="0" w:line="240" w:lineRule="auto"/>
              <w:jc w:val="center"/>
              <w:rPr>
                <w:rFonts w:ascii="Arial Narrow" w:hAnsi="Arial Narrow"/>
                <w:sz w:val="20"/>
                <w:szCs w:val="20"/>
              </w:rPr>
            </w:pPr>
            <w:r w:rsidRPr="004E1F15">
              <w:rPr>
                <w:rFonts w:ascii="Arial Narrow" w:hAnsi="Arial Narrow"/>
                <w:sz w:val="20"/>
                <w:szCs w:val="20"/>
              </w:rPr>
              <w:t>1</w:t>
            </w:r>
          </w:p>
        </w:tc>
        <w:tc>
          <w:tcPr>
            <w:tcW w:w="10074" w:type="dxa"/>
            <w:gridSpan w:val="2"/>
          </w:tcPr>
          <w:p w:rsidR="00B07AB8" w:rsidRPr="004E1F15" w:rsidRDefault="00B07AB8" w:rsidP="004E1F15">
            <w:pPr>
              <w:spacing w:after="0" w:line="240" w:lineRule="auto"/>
              <w:ind w:left="152"/>
              <w:rPr>
                <w:rFonts w:ascii="Arial Narrow" w:hAnsi="Arial Narrow"/>
                <w:sz w:val="20"/>
                <w:szCs w:val="20"/>
              </w:rPr>
            </w:pPr>
            <w:r w:rsidRPr="004E1F15">
              <w:rPr>
                <w:rFonts w:ascii="Arial Narrow" w:hAnsi="Arial Narrow"/>
                <w:sz w:val="20"/>
                <w:szCs w:val="20"/>
              </w:rPr>
              <w:t>Услуги по передаче электрической и (или) тепловой энергии</w:t>
            </w:r>
          </w:p>
        </w:tc>
      </w:tr>
      <w:tr w:rsidR="00B07AB8" w:rsidRPr="004E1F15" w:rsidTr="000D69F3">
        <w:tc>
          <w:tcPr>
            <w:tcW w:w="284" w:type="dxa"/>
            <w:vAlign w:val="center"/>
          </w:tcPr>
          <w:p w:rsidR="00B07AB8" w:rsidRPr="004E1F15" w:rsidRDefault="00B07AB8" w:rsidP="00C54B76">
            <w:pPr>
              <w:spacing w:after="0" w:line="240" w:lineRule="auto"/>
              <w:jc w:val="both"/>
              <w:rPr>
                <w:rFonts w:ascii="Arial Narrow" w:hAnsi="Arial Narrow"/>
                <w:sz w:val="20"/>
                <w:szCs w:val="20"/>
              </w:rPr>
            </w:pPr>
            <w:r w:rsidRPr="004E1F15">
              <w:rPr>
                <w:rFonts w:ascii="Arial Narrow" w:hAnsi="Arial Narrow"/>
                <w:sz w:val="20"/>
                <w:szCs w:val="20"/>
              </w:rPr>
              <w:t>1.1.</w:t>
            </w:r>
          </w:p>
        </w:tc>
        <w:tc>
          <w:tcPr>
            <w:tcW w:w="1281" w:type="dxa"/>
            <w:vAlign w:val="center"/>
          </w:tcPr>
          <w:p w:rsidR="00B07AB8" w:rsidRPr="004E1F15" w:rsidRDefault="00B07AB8" w:rsidP="00B40EE4">
            <w:pPr>
              <w:spacing w:after="0" w:line="240" w:lineRule="auto"/>
              <w:ind w:left="152"/>
              <w:rPr>
                <w:rFonts w:ascii="Arial Narrow" w:hAnsi="Arial Narrow"/>
                <w:sz w:val="20"/>
                <w:szCs w:val="20"/>
              </w:rPr>
            </w:pPr>
            <w:r w:rsidRPr="004E1F15">
              <w:rPr>
                <w:rFonts w:ascii="Arial Narrow" w:hAnsi="Arial Narrow"/>
                <w:sz w:val="20"/>
                <w:szCs w:val="20"/>
              </w:rPr>
              <w:t>Услуги по передаче электрической энергии</w:t>
            </w:r>
          </w:p>
        </w:tc>
        <w:tc>
          <w:tcPr>
            <w:tcW w:w="8793" w:type="dxa"/>
          </w:tcPr>
          <w:p w:rsidR="00B07AB8" w:rsidRPr="004E1F15" w:rsidRDefault="00B07AB8" w:rsidP="004E1F15">
            <w:pPr>
              <w:spacing w:after="0" w:line="240" w:lineRule="auto"/>
              <w:ind w:left="152" w:right="131"/>
              <w:jc w:val="both"/>
              <w:rPr>
                <w:rFonts w:ascii="Arial Narrow" w:hAnsi="Arial Narrow"/>
                <w:sz w:val="20"/>
                <w:szCs w:val="20"/>
              </w:rPr>
            </w:pPr>
            <w:r w:rsidRPr="004E1F15">
              <w:rPr>
                <w:rFonts w:ascii="Arial Narrow" w:hAnsi="Arial Narrow"/>
                <w:b/>
                <w:sz w:val="20"/>
                <w:szCs w:val="20"/>
              </w:rPr>
              <w:t xml:space="preserve">Информация о ценах (тарифах) на услуги электроснабжения для населения и приравненных к нему категорий потребителей на территории Новосибирской области (источник: Анализ данных об уровнях тарифов за период 2014–2016 годы в разрезе рынков присутствия субъектов естественных монополий, </w:t>
            </w:r>
            <w:hyperlink r:id="rId15" w:history="1">
              <w:r w:rsidRPr="004E1F15">
                <w:rPr>
                  <w:rFonts w:ascii="Arial Narrow" w:hAnsi="Arial Narrow"/>
                  <w:sz w:val="20"/>
                  <w:szCs w:val="20"/>
                </w:rPr>
                <w:t>http://tarif.nso.ru/page/60</w:t>
              </w:r>
            </w:hyperlink>
            <w:r w:rsidRPr="004E1F15">
              <w:rPr>
                <w:rFonts w:ascii="Arial Narrow" w:hAnsi="Arial Narrow"/>
                <w:sz w:val="20"/>
                <w:szCs w:val="20"/>
              </w:rPr>
              <w:t>)</w:t>
            </w:r>
          </w:p>
          <w:tbl>
            <w:tblPr>
              <w:tblW w:w="8363" w:type="dxa"/>
              <w:tblInd w:w="142" w:type="dxa"/>
              <w:tblLayout w:type="fixed"/>
              <w:tblLook w:val="04A0"/>
            </w:tblPr>
            <w:tblGrid>
              <w:gridCol w:w="3822"/>
              <w:gridCol w:w="1134"/>
              <w:gridCol w:w="850"/>
              <w:gridCol w:w="1134"/>
              <w:gridCol w:w="1423"/>
            </w:tblGrid>
            <w:tr w:rsidR="00B07AB8" w:rsidRPr="004E1F15" w:rsidTr="00B40EE4">
              <w:tc>
                <w:tcPr>
                  <w:tcW w:w="38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7AB8" w:rsidRPr="004E1F15" w:rsidRDefault="00B07AB8" w:rsidP="00B40EE4">
                  <w:pPr>
                    <w:spacing w:after="0" w:line="240" w:lineRule="auto"/>
                    <w:ind w:left="152" w:right="131"/>
                    <w:rPr>
                      <w:rFonts w:ascii="Arial Narrow" w:hAnsi="Arial Narrow"/>
                      <w:sz w:val="20"/>
                      <w:szCs w:val="20"/>
                    </w:rPr>
                  </w:pPr>
                  <w:r w:rsidRPr="004E1F15">
                    <w:rPr>
                      <w:rFonts w:ascii="Arial Narrow" w:hAnsi="Arial Narrow"/>
                      <w:sz w:val="20"/>
                      <w:szCs w:val="20"/>
                    </w:rPr>
                    <w:t> </w:t>
                  </w:r>
                </w:p>
              </w:tc>
              <w:tc>
                <w:tcPr>
                  <w:tcW w:w="1134" w:type="dxa"/>
                  <w:tcBorders>
                    <w:top w:val="single" w:sz="4" w:space="0" w:color="auto"/>
                    <w:left w:val="nil"/>
                    <w:bottom w:val="single" w:sz="4" w:space="0" w:color="auto"/>
                    <w:right w:val="single" w:sz="4" w:space="0" w:color="auto"/>
                  </w:tcBorders>
                  <w:shd w:val="clear" w:color="auto" w:fill="auto"/>
                  <w:vAlign w:val="bottom"/>
                  <w:hideMark/>
                </w:tcPr>
                <w:p w:rsidR="00B07AB8" w:rsidRPr="004E1F15" w:rsidRDefault="00B07AB8" w:rsidP="00B40EE4">
                  <w:pPr>
                    <w:spacing w:after="0" w:line="240" w:lineRule="auto"/>
                    <w:ind w:left="152" w:right="131"/>
                    <w:rPr>
                      <w:rFonts w:ascii="Arial Narrow" w:hAnsi="Arial Narrow"/>
                      <w:sz w:val="20"/>
                      <w:szCs w:val="20"/>
                    </w:rPr>
                  </w:pPr>
                  <w:r w:rsidRPr="004E1F15">
                    <w:rPr>
                      <w:rFonts w:ascii="Arial Narrow" w:hAnsi="Arial Narrow"/>
                      <w:sz w:val="20"/>
                      <w:szCs w:val="20"/>
                    </w:rPr>
                    <w:t>тариф с НДС 01.07.2015*</w:t>
                  </w:r>
                </w:p>
              </w:tc>
              <w:tc>
                <w:tcPr>
                  <w:tcW w:w="850" w:type="dxa"/>
                  <w:tcBorders>
                    <w:top w:val="single" w:sz="4" w:space="0" w:color="auto"/>
                    <w:left w:val="nil"/>
                    <w:bottom w:val="single" w:sz="4" w:space="0" w:color="auto"/>
                    <w:right w:val="single" w:sz="4" w:space="0" w:color="auto"/>
                  </w:tcBorders>
                  <w:shd w:val="clear" w:color="auto" w:fill="auto"/>
                  <w:vAlign w:val="bottom"/>
                  <w:hideMark/>
                </w:tcPr>
                <w:p w:rsidR="00B07AB8" w:rsidRPr="004E1F15" w:rsidRDefault="00B07AB8" w:rsidP="00B40EE4">
                  <w:pPr>
                    <w:spacing w:after="0" w:line="240" w:lineRule="auto"/>
                    <w:ind w:left="152" w:right="131"/>
                    <w:rPr>
                      <w:rFonts w:ascii="Arial Narrow" w:hAnsi="Arial Narrow"/>
                      <w:sz w:val="20"/>
                      <w:szCs w:val="20"/>
                    </w:rPr>
                  </w:pPr>
                  <w:r w:rsidRPr="004E1F15">
                    <w:rPr>
                      <w:rFonts w:ascii="Arial Narrow" w:hAnsi="Arial Narrow"/>
                      <w:sz w:val="20"/>
                      <w:szCs w:val="20"/>
                    </w:rPr>
                    <w:t xml:space="preserve">темп роста, % </w:t>
                  </w:r>
                </w:p>
              </w:tc>
              <w:tc>
                <w:tcPr>
                  <w:tcW w:w="1134" w:type="dxa"/>
                  <w:tcBorders>
                    <w:top w:val="single" w:sz="4" w:space="0" w:color="auto"/>
                    <w:left w:val="nil"/>
                    <w:bottom w:val="single" w:sz="4" w:space="0" w:color="auto"/>
                    <w:right w:val="single" w:sz="4" w:space="0" w:color="auto"/>
                  </w:tcBorders>
                  <w:shd w:val="clear" w:color="auto" w:fill="auto"/>
                  <w:vAlign w:val="bottom"/>
                  <w:hideMark/>
                </w:tcPr>
                <w:p w:rsidR="00B07AB8" w:rsidRPr="004E1F15" w:rsidRDefault="00B07AB8" w:rsidP="00B40EE4">
                  <w:pPr>
                    <w:spacing w:after="0" w:line="240" w:lineRule="auto"/>
                    <w:ind w:left="152" w:right="131"/>
                    <w:rPr>
                      <w:rFonts w:ascii="Arial Narrow" w:hAnsi="Arial Narrow"/>
                      <w:sz w:val="20"/>
                      <w:szCs w:val="20"/>
                    </w:rPr>
                  </w:pPr>
                  <w:r w:rsidRPr="004E1F15">
                    <w:rPr>
                      <w:rFonts w:ascii="Arial Narrow" w:hAnsi="Arial Narrow"/>
                      <w:sz w:val="20"/>
                      <w:szCs w:val="20"/>
                    </w:rPr>
                    <w:t>тариф с НДС 01.07.2016*</w:t>
                  </w:r>
                </w:p>
              </w:tc>
              <w:tc>
                <w:tcPr>
                  <w:tcW w:w="1423" w:type="dxa"/>
                  <w:tcBorders>
                    <w:top w:val="single" w:sz="4" w:space="0" w:color="auto"/>
                    <w:left w:val="nil"/>
                    <w:bottom w:val="single" w:sz="4" w:space="0" w:color="auto"/>
                    <w:right w:val="single" w:sz="4" w:space="0" w:color="auto"/>
                  </w:tcBorders>
                  <w:shd w:val="clear" w:color="auto" w:fill="auto"/>
                  <w:vAlign w:val="bottom"/>
                  <w:hideMark/>
                </w:tcPr>
                <w:p w:rsidR="00B07AB8" w:rsidRPr="004E1F15" w:rsidRDefault="00B07AB8" w:rsidP="00B40EE4">
                  <w:pPr>
                    <w:spacing w:after="0" w:line="240" w:lineRule="auto"/>
                    <w:ind w:left="152" w:right="131"/>
                    <w:rPr>
                      <w:rFonts w:ascii="Arial Narrow" w:hAnsi="Arial Narrow"/>
                      <w:sz w:val="20"/>
                      <w:szCs w:val="20"/>
                    </w:rPr>
                  </w:pPr>
                  <w:r w:rsidRPr="004E1F15">
                    <w:rPr>
                      <w:rFonts w:ascii="Arial Narrow" w:hAnsi="Arial Narrow"/>
                      <w:sz w:val="20"/>
                      <w:szCs w:val="20"/>
                    </w:rPr>
                    <w:t xml:space="preserve">темп роста, % </w:t>
                  </w:r>
                </w:p>
              </w:tc>
            </w:tr>
            <w:tr w:rsidR="00B07AB8" w:rsidRPr="004E1F15" w:rsidTr="00B40EE4">
              <w:tc>
                <w:tcPr>
                  <w:tcW w:w="3822" w:type="dxa"/>
                  <w:tcBorders>
                    <w:top w:val="nil"/>
                    <w:left w:val="single" w:sz="4" w:space="0" w:color="auto"/>
                    <w:bottom w:val="single" w:sz="4" w:space="0" w:color="auto"/>
                    <w:right w:val="single" w:sz="4" w:space="0" w:color="auto"/>
                  </w:tcBorders>
                  <w:shd w:val="clear" w:color="auto" w:fill="auto"/>
                  <w:vAlign w:val="bottom"/>
                  <w:hideMark/>
                </w:tcPr>
                <w:p w:rsidR="00B07AB8" w:rsidRPr="004E1F15" w:rsidRDefault="00B07AB8" w:rsidP="00B40EE4">
                  <w:pPr>
                    <w:spacing w:after="0" w:line="240" w:lineRule="auto"/>
                    <w:ind w:left="152" w:right="131"/>
                    <w:rPr>
                      <w:rFonts w:ascii="Arial Narrow" w:hAnsi="Arial Narrow"/>
                      <w:bCs/>
                      <w:sz w:val="20"/>
                      <w:szCs w:val="20"/>
                    </w:rPr>
                  </w:pPr>
                  <w:r w:rsidRPr="004E1F15">
                    <w:rPr>
                      <w:rFonts w:ascii="Arial Narrow" w:hAnsi="Arial Narrow"/>
                      <w:bCs/>
                      <w:sz w:val="20"/>
                      <w:szCs w:val="20"/>
                    </w:rPr>
                    <w:t>Электроснабжение для населения (руб. за кВт*ч.)</w:t>
                  </w:r>
                </w:p>
              </w:tc>
              <w:tc>
                <w:tcPr>
                  <w:tcW w:w="1134" w:type="dxa"/>
                  <w:tcBorders>
                    <w:top w:val="nil"/>
                    <w:left w:val="nil"/>
                    <w:bottom w:val="single" w:sz="4" w:space="0" w:color="auto"/>
                    <w:right w:val="single" w:sz="4" w:space="0" w:color="auto"/>
                  </w:tcBorders>
                  <w:shd w:val="clear" w:color="auto" w:fill="auto"/>
                  <w:noWrap/>
                  <w:vAlign w:val="bottom"/>
                  <w:hideMark/>
                </w:tcPr>
                <w:p w:rsidR="00B07AB8" w:rsidRPr="004E1F15" w:rsidRDefault="00B07AB8" w:rsidP="00B40EE4">
                  <w:pPr>
                    <w:spacing w:after="0" w:line="240" w:lineRule="auto"/>
                    <w:ind w:left="152" w:right="131"/>
                    <w:rPr>
                      <w:rFonts w:ascii="Arial Narrow" w:hAnsi="Arial Narrow"/>
                      <w:sz w:val="20"/>
                      <w:szCs w:val="20"/>
                    </w:rPr>
                  </w:pPr>
                  <w:r w:rsidRPr="004E1F15">
                    <w:rPr>
                      <w:rFonts w:ascii="Arial Narrow" w:hAnsi="Arial Narrow"/>
                      <w:sz w:val="20"/>
                      <w:szCs w:val="20"/>
                    </w:rPr>
                    <w:t> </w:t>
                  </w:r>
                </w:p>
              </w:tc>
              <w:tc>
                <w:tcPr>
                  <w:tcW w:w="850" w:type="dxa"/>
                  <w:tcBorders>
                    <w:top w:val="nil"/>
                    <w:left w:val="nil"/>
                    <w:bottom w:val="single" w:sz="4" w:space="0" w:color="auto"/>
                    <w:right w:val="single" w:sz="4" w:space="0" w:color="auto"/>
                  </w:tcBorders>
                  <w:shd w:val="clear" w:color="auto" w:fill="auto"/>
                  <w:noWrap/>
                  <w:vAlign w:val="bottom"/>
                  <w:hideMark/>
                </w:tcPr>
                <w:p w:rsidR="00B07AB8" w:rsidRPr="004E1F15" w:rsidRDefault="00B07AB8" w:rsidP="00B40EE4">
                  <w:pPr>
                    <w:spacing w:after="0" w:line="240" w:lineRule="auto"/>
                    <w:ind w:left="152" w:right="131"/>
                    <w:rPr>
                      <w:rFonts w:ascii="Arial Narrow" w:hAnsi="Arial Narrow"/>
                      <w:sz w:val="20"/>
                      <w:szCs w:val="20"/>
                    </w:rPr>
                  </w:pPr>
                  <w:r w:rsidRPr="004E1F15">
                    <w:rPr>
                      <w:rFonts w:ascii="Arial Narrow" w:hAnsi="Arial Narrow"/>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B07AB8" w:rsidRPr="004E1F15" w:rsidRDefault="00B07AB8" w:rsidP="00B40EE4">
                  <w:pPr>
                    <w:spacing w:after="0" w:line="240" w:lineRule="auto"/>
                    <w:ind w:left="152" w:right="131"/>
                    <w:rPr>
                      <w:rFonts w:ascii="Arial Narrow" w:hAnsi="Arial Narrow"/>
                      <w:sz w:val="20"/>
                      <w:szCs w:val="20"/>
                    </w:rPr>
                  </w:pPr>
                  <w:r w:rsidRPr="004E1F15">
                    <w:rPr>
                      <w:rFonts w:ascii="Arial Narrow" w:hAnsi="Arial Narrow"/>
                      <w:sz w:val="20"/>
                      <w:szCs w:val="20"/>
                    </w:rPr>
                    <w:t> </w:t>
                  </w:r>
                </w:p>
              </w:tc>
              <w:tc>
                <w:tcPr>
                  <w:tcW w:w="1423" w:type="dxa"/>
                  <w:tcBorders>
                    <w:top w:val="nil"/>
                    <w:left w:val="nil"/>
                    <w:bottom w:val="single" w:sz="4" w:space="0" w:color="auto"/>
                    <w:right w:val="single" w:sz="4" w:space="0" w:color="auto"/>
                  </w:tcBorders>
                  <w:shd w:val="clear" w:color="auto" w:fill="auto"/>
                  <w:noWrap/>
                  <w:vAlign w:val="bottom"/>
                  <w:hideMark/>
                </w:tcPr>
                <w:p w:rsidR="00B07AB8" w:rsidRPr="004E1F15" w:rsidRDefault="00B07AB8" w:rsidP="00B40EE4">
                  <w:pPr>
                    <w:spacing w:after="0" w:line="240" w:lineRule="auto"/>
                    <w:ind w:left="152" w:right="131"/>
                    <w:rPr>
                      <w:rFonts w:ascii="Arial Narrow" w:hAnsi="Arial Narrow"/>
                      <w:sz w:val="20"/>
                      <w:szCs w:val="20"/>
                    </w:rPr>
                  </w:pPr>
                  <w:r w:rsidRPr="004E1F15">
                    <w:rPr>
                      <w:rFonts w:ascii="Arial Narrow" w:hAnsi="Arial Narrow"/>
                      <w:sz w:val="20"/>
                      <w:szCs w:val="20"/>
                    </w:rPr>
                    <w:t> </w:t>
                  </w:r>
                </w:p>
              </w:tc>
            </w:tr>
            <w:tr w:rsidR="00B07AB8" w:rsidRPr="004E1F15" w:rsidTr="00B40EE4">
              <w:tc>
                <w:tcPr>
                  <w:tcW w:w="3822" w:type="dxa"/>
                  <w:tcBorders>
                    <w:top w:val="nil"/>
                    <w:left w:val="single" w:sz="4" w:space="0" w:color="auto"/>
                    <w:bottom w:val="single" w:sz="4" w:space="0" w:color="auto"/>
                    <w:right w:val="single" w:sz="4" w:space="0" w:color="auto"/>
                  </w:tcBorders>
                  <w:shd w:val="clear" w:color="auto" w:fill="auto"/>
                  <w:vAlign w:val="bottom"/>
                  <w:hideMark/>
                </w:tcPr>
                <w:p w:rsidR="00B07AB8" w:rsidRPr="004E1F15" w:rsidRDefault="00B07AB8" w:rsidP="00B40EE4">
                  <w:pPr>
                    <w:spacing w:after="0" w:line="240" w:lineRule="auto"/>
                    <w:ind w:left="152" w:right="131"/>
                    <w:rPr>
                      <w:rFonts w:ascii="Arial Narrow" w:hAnsi="Arial Narrow"/>
                      <w:sz w:val="20"/>
                      <w:szCs w:val="20"/>
                    </w:rPr>
                  </w:pPr>
                  <w:r w:rsidRPr="004E1F15">
                    <w:rPr>
                      <w:rFonts w:ascii="Arial Narrow" w:hAnsi="Arial Narrow"/>
                      <w:sz w:val="20"/>
                      <w:szCs w:val="20"/>
                    </w:rPr>
                    <w:t xml:space="preserve">проживающего в городской местности </w:t>
                  </w:r>
                </w:p>
              </w:tc>
              <w:tc>
                <w:tcPr>
                  <w:tcW w:w="1134" w:type="dxa"/>
                  <w:tcBorders>
                    <w:top w:val="nil"/>
                    <w:left w:val="nil"/>
                    <w:bottom w:val="single" w:sz="4" w:space="0" w:color="auto"/>
                    <w:right w:val="single" w:sz="4" w:space="0" w:color="auto"/>
                  </w:tcBorders>
                  <w:shd w:val="clear" w:color="auto" w:fill="auto"/>
                  <w:noWrap/>
                  <w:vAlign w:val="bottom"/>
                  <w:hideMark/>
                </w:tcPr>
                <w:p w:rsidR="00B07AB8" w:rsidRPr="004E1F15" w:rsidRDefault="00B07AB8" w:rsidP="00B40EE4">
                  <w:pPr>
                    <w:spacing w:after="0" w:line="240" w:lineRule="auto"/>
                    <w:ind w:left="152" w:right="131"/>
                    <w:rPr>
                      <w:rFonts w:ascii="Arial Narrow" w:hAnsi="Arial Narrow"/>
                      <w:sz w:val="20"/>
                      <w:szCs w:val="20"/>
                    </w:rPr>
                  </w:pPr>
                  <w:r w:rsidRPr="004E1F15">
                    <w:rPr>
                      <w:rFonts w:ascii="Arial Narrow" w:hAnsi="Arial Narrow"/>
                      <w:sz w:val="20"/>
                      <w:szCs w:val="20"/>
                    </w:rPr>
                    <w:t>2,34</w:t>
                  </w:r>
                </w:p>
              </w:tc>
              <w:tc>
                <w:tcPr>
                  <w:tcW w:w="850" w:type="dxa"/>
                  <w:tcBorders>
                    <w:top w:val="nil"/>
                    <w:left w:val="nil"/>
                    <w:bottom w:val="single" w:sz="4" w:space="0" w:color="auto"/>
                    <w:right w:val="single" w:sz="4" w:space="0" w:color="auto"/>
                  </w:tcBorders>
                  <w:shd w:val="clear" w:color="auto" w:fill="auto"/>
                  <w:noWrap/>
                  <w:vAlign w:val="bottom"/>
                  <w:hideMark/>
                </w:tcPr>
                <w:p w:rsidR="00B07AB8" w:rsidRPr="004E1F15" w:rsidRDefault="00B07AB8" w:rsidP="00B40EE4">
                  <w:pPr>
                    <w:spacing w:after="0" w:line="240" w:lineRule="auto"/>
                    <w:ind w:left="152" w:right="131"/>
                    <w:rPr>
                      <w:rFonts w:ascii="Arial Narrow" w:hAnsi="Arial Narrow"/>
                      <w:sz w:val="20"/>
                      <w:szCs w:val="20"/>
                    </w:rPr>
                  </w:pPr>
                  <w:r w:rsidRPr="004E1F15">
                    <w:rPr>
                      <w:rFonts w:ascii="Arial Narrow" w:hAnsi="Arial Narrow"/>
                      <w:sz w:val="20"/>
                      <w:szCs w:val="20"/>
                    </w:rPr>
                    <w:t>107,34</w:t>
                  </w:r>
                </w:p>
              </w:tc>
              <w:tc>
                <w:tcPr>
                  <w:tcW w:w="1134" w:type="dxa"/>
                  <w:tcBorders>
                    <w:top w:val="nil"/>
                    <w:left w:val="nil"/>
                    <w:bottom w:val="single" w:sz="4" w:space="0" w:color="auto"/>
                    <w:right w:val="single" w:sz="4" w:space="0" w:color="auto"/>
                  </w:tcBorders>
                  <w:shd w:val="clear" w:color="auto" w:fill="auto"/>
                  <w:noWrap/>
                  <w:vAlign w:val="bottom"/>
                  <w:hideMark/>
                </w:tcPr>
                <w:p w:rsidR="00B07AB8" w:rsidRPr="004E1F15" w:rsidRDefault="00B07AB8" w:rsidP="00B40EE4">
                  <w:pPr>
                    <w:spacing w:after="0" w:line="240" w:lineRule="auto"/>
                    <w:ind w:left="152" w:right="131"/>
                    <w:rPr>
                      <w:rFonts w:ascii="Arial Narrow" w:hAnsi="Arial Narrow"/>
                      <w:sz w:val="20"/>
                      <w:szCs w:val="20"/>
                    </w:rPr>
                  </w:pPr>
                  <w:r w:rsidRPr="004E1F15">
                    <w:rPr>
                      <w:rFonts w:ascii="Arial Narrow" w:hAnsi="Arial Narrow"/>
                      <w:sz w:val="20"/>
                      <w:szCs w:val="20"/>
                    </w:rPr>
                    <w:t>2,42</w:t>
                  </w:r>
                </w:p>
              </w:tc>
              <w:tc>
                <w:tcPr>
                  <w:tcW w:w="1423" w:type="dxa"/>
                  <w:tcBorders>
                    <w:top w:val="nil"/>
                    <w:left w:val="nil"/>
                    <w:bottom w:val="single" w:sz="4" w:space="0" w:color="auto"/>
                    <w:right w:val="single" w:sz="4" w:space="0" w:color="auto"/>
                  </w:tcBorders>
                  <w:shd w:val="clear" w:color="auto" w:fill="auto"/>
                  <w:noWrap/>
                  <w:vAlign w:val="bottom"/>
                  <w:hideMark/>
                </w:tcPr>
                <w:p w:rsidR="00B07AB8" w:rsidRPr="004E1F15" w:rsidRDefault="00B07AB8" w:rsidP="00B40EE4">
                  <w:pPr>
                    <w:spacing w:after="0" w:line="240" w:lineRule="auto"/>
                    <w:ind w:left="152" w:right="131"/>
                    <w:rPr>
                      <w:rFonts w:ascii="Arial Narrow" w:hAnsi="Arial Narrow"/>
                      <w:sz w:val="20"/>
                      <w:szCs w:val="20"/>
                    </w:rPr>
                  </w:pPr>
                  <w:r w:rsidRPr="004E1F15">
                    <w:rPr>
                      <w:rFonts w:ascii="Arial Narrow" w:hAnsi="Arial Narrow"/>
                      <w:sz w:val="20"/>
                      <w:szCs w:val="20"/>
                    </w:rPr>
                    <w:t>103,42</w:t>
                  </w:r>
                </w:p>
              </w:tc>
            </w:tr>
            <w:tr w:rsidR="00B07AB8" w:rsidRPr="004E1F15" w:rsidTr="00B40EE4">
              <w:tc>
                <w:tcPr>
                  <w:tcW w:w="3822" w:type="dxa"/>
                  <w:tcBorders>
                    <w:top w:val="nil"/>
                    <w:left w:val="single" w:sz="4" w:space="0" w:color="auto"/>
                    <w:bottom w:val="single" w:sz="4" w:space="0" w:color="auto"/>
                    <w:right w:val="single" w:sz="4" w:space="0" w:color="auto"/>
                  </w:tcBorders>
                  <w:shd w:val="clear" w:color="auto" w:fill="auto"/>
                  <w:vAlign w:val="bottom"/>
                  <w:hideMark/>
                </w:tcPr>
                <w:p w:rsidR="00B07AB8" w:rsidRPr="004E1F15" w:rsidRDefault="00B07AB8" w:rsidP="00B40EE4">
                  <w:pPr>
                    <w:spacing w:after="0" w:line="240" w:lineRule="auto"/>
                    <w:ind w:left="152" w:right="131"/>
                    <w:rPr>
                      <w:rFonts w:ascii="Arial Narrow" w:hAnsi="Arial Narrow"/>
                      <w:sz w:val="20"/>
                      <w:szCs w:val="20"/>
                    </w:rPr>
                  </w:pPr>
                  <w:r w:rsidRPr="004E1F15">
                    <w:rPr>
                      <w:rFonts w:ascii="Arial Narrow" w:hAnsi="Arial Narrow"/>
                      <w:sz w:val="20"/>
                      <w:szCs w:val="20"/>
                    </w:rPr>
                    <w:t xml:space="preserve"> проживающего в сельской местности </w:t>
                  </w:r>
                </w:p>
              </w:tc>
              <w:tc>
                <w:tcPr>
                  <w:tcW w:w="1134" w:type="dxa"/>
                  <w:tcBorders>
                    <w:top w:val="nil"/>
                    <w:left w:val="nil"/>
                    <w:bottom w:val="single" w:sz="4" w:space="0" w:color="auto"/>
                    <w:right w:val="single" w:sz="4" w:space="0" w:color="auto"/>
                  </w:tcBorders>
                  <w:shd w:val="clear" w:color="auto" w:fill="auto"/>
                  <w:noWrap/>
                  <w:vAlign w:val="bottom"/>
                  <w:hideMark/>
                </w:tcPr>
                <w:p w:rsidR="00B07AB8" w:rsidRPr="004E1F15" w:rsidRDefault="00B07AB8" w:rsidP="00B40EE4">
                  <w:pPr>
                    <w:spacing w:after="0" w:line="240" w:lineRule="auto"/>
                    <w:ind w:left="152" w:right="131"/>
                    <w:rPr>
                      <w:rFonts w:ascii="Arial Narrow" w:hAnsi="Arial Narrow"/>
                      <w:sz w:val="20"/>
                      <w:szCs w:val="20"/>
                    </w:rPr>
                  </w:pPr>
                  <w:r w:rsidRPr="004E1F15">
                    <w:rPr>
                      <w:rFonts w:ascii="Arial Narrow" w:hAnsi="Arial Narrow"/>
                      <w:sz w:val="20"/>
                      <w:szCs w:val="20"/>
                    </w:rPr>
                    <w:t>1,87</w:t>
                  </w:r>
                </w:p>
              </w:tc>
              <w:tc>
                <w:tcPr>
                  <w:tcW w:w="850" w:type="dxa"/>
                  <w:tcBorders>
                    <w:top w:val="nil"/>
                    <w:left w:val="nil"/>
                    <w:bottom w:val="single" w:sz="4" w:space="0" w:color="auto"/>
                    <w:right w:val="single" w:sz="4" w:space="0" w:color="auto"/>
                  </w:tcBorders>
                  <w:shd w:val="clear" w:color="auto" w:fill="auto"/>
                  <w:noWrap/>
                  <w:vAlign w:val="bottom"/>
                  <w:hideMark/>
                </w:tcPr>
                <w:p w:rsidR="00B07AB8" w:rsidRPr="004E1F15" w:rsidRDefault="00B07AB8" w:rsidP="00B40EE4">
                  <w:pPr>
                    <w:spacing w:after="0" w:line="240" w:lineRule="auto"/>
                    <w:ind w:left="152" w:right="131"/>
                    <w:rPr>
                      <w:rFonts w:ascii="Arial Narrow" w:hAnsi="Arial Narrow"/>
                      <w:sz w:val="20"/>
                      <w:szCs w:val="20"/>
                    </w:rPr>
                  </w:pPr>
                  <w:r w:rsidRPr="004E1F15">
                    <w:rPr>
                      <w:rFonts w:ascii="Arial Narrow" w:hAnsi="Arial Narrow"/>
                      <w:sz w:val="20"/>
                      <w:szCs w:val="20"/>
                    </w:rPr>
                    <w:t>107,47</w:t>
                  </w:r>
                </w:p>
              </w:tc>
              <w:tc>
                <w:tcPr>
                  <w:tcW w:w="1134" w:type="dxa"/>
                  <w:tcBorders>
                    <w:top w:val="nil"/>
                    <w:left w:val="nil"/>
                    <w:bottom w:val="single" w:sz="4" w:space="0" w:color="auto"/>
                    <w:right w:val="single" w:sz="4" w:space="0" w:color="auto"/>
                  </w:tcBorders>
                  <w:shd w:val="clear" w:color="auto" w:fill="auto"/>
                  <w:noWrap/>
                  <w:vAlign w:val="bottom"/>
                  <w:hideMark/>
                </w:tcPr>
                <w:p w:rsidR="00B07AB8" w:rsidRPr="004E1F15" w:rsidRDefault="00B07AB8" w:rsidP="00B40EE4">
                  <w:pPr>
                    <w:spacing w:after="0" w:line="240" w:lineRule="auto"/>
                    <w:ind w:left="152" w:right="131"/>
                    <w:rPr>
                      <w:rFonts w:ascii="Arial Narrow" w:hAnsi="Arial Narrow"/>
                      <w:sz w:val="20"/>
                      <w:szCs w:val="20"/>
                    </w:rPr>
                  </w:pPr>
                  <w:r w:rsidRPr="004E1F15">
                    <w:rPr>
                      <w:rFonts w:ascii="Arial Narrow" w:hAnsi="Arial Narrow"/>
                      <w:sz w:val="20"/>
                      <w:szCs w:val="20"/>
                    </w:rPr>
                    <w:t>1,94</w:t>
                  </w:r>
                </w:p>
              </w:tc>
              <w:tc>
                <w:tcPr>
                  <w:tcW w:w="1423" w:type="dxa"/>
                  <w:tcBorders>
                    <w:top w:val="nil"/>
                    <w:left w:val="nil"/>
                    <w:bottom w:val="single" w:sz="4" w:space="0" w:color="auto"/>
                    <w:right w:val="single" w:sz="4" w:space="0" w:color="auto"/>
                  </w:tcBorders>
                  <w:shd w:val="clear" w:color="auto" w:fill="auto"/>
                  <w:noWrap/>
                  <w:vAlign w:val="bottom"/>
                  <w:hideMark/>
                </w:tcPr>
                <w:p w:rsidR="00B07AB8" w:rsidRPr="004E1F15" w:rsidRDefault="00B07AB8" w:rsidP="00B40EE4">
                  <w:pPr>
                    <w:spacing w:after="0" w:line="240" w:lineRule="auto"/>
                    <w:ind w:left="152" w:right="131"/>
                    <w:rPr>
                      <w:rFonts w:ascii="Arial Narrow" w:hAnsi="Arial Narrow"/>
                      <w:sz w:val="20"/>
                      <w:szCs w:val="20"/>
                    </w:rPr>
                  </w:pPr>
                  <w:r w:rsidRPr="004E1F15">
                    <w:rPr>
                      <w:rFonts w:ascii="Arial Narrow" w:hAnsi="Arial Narrow"/>
                      <w:sz w:val="20"/>
                      <w:szCs w:val="20"/>
                    </w:rPr>
                    <w:t>103,74</w:t>
                  </w:r>
                </w:p>
              </w:tc>
            </w:tr>
          </w:tbl>
          <w:p w:rsidR="00B07AB8" w:rsidRPr="004E1F15" w:rsidRDefault="00B07AB8" w:rsidP="004E1F15">
            <w:pPr>
              <w:spacing w:after="0" w:line="240" w:lineRule="auto"/>
              <w:ind w:left="152" w:right="131"/>
              <w:rPr>
                <w:rFonts w:ascii="Arial Narrow" w:hAnsi="Arial Narrow"/>
                <w:sz w:val="20"/>
                <w:szCs w:val="20"/>
              </w:rPr>
            </w:pPr>
            <w:r w:rsidRPr="004E1F15">
              <w:rPr>
                <w:rFonts w:ascii="Arial Narrow" w:hAnsi="Arial Narrow"/>
                <w:sz w:val="20"/>
                <w:szCs w:val="20"/>
              </w:rPr>
              <w:t>* величина тарифов первого полугодия (в соответствии с действующим законодательством РФ в сфере государственного регулирования цен (тарифов)) равна величине тарифов, действующих во втором полугодии предыдущего года.</w:t>
            </w:r>
          </w:p>
          <w:p w:rsidR="00B07AB8" w:rsidRPr="004E1F15" w:rsidRDefault="00B07AB8" w:rsidP="004E1F15">
            <w:pPr>
              <w:spacing w:after="0" w:line="240" w:lineRule="auto"/>
              <w:ind w:left="152" w:right="131"/>
              <w:jc w:val="both"/>
              <w:rPr>
                <w:rFonts w:ascii="Arial Narrow" w:hAnsi="Arial Narrow"/>
                <w:sz w:val="20"/>
                <w:szCs w:val="20"/>
              </w:rPr>
            </w:pPr>
          </w:p>
          <w:p w:rsidR="00B07AB8" w:rsidRPr="004E1F15" w:rsidRDefault="00B07AB8" w:rsidP="004E1F15">
            <w:pPr>
              <w:spacing w:after="0" w:line="240" w:lineRule="auto"/>
              <w:ind w:left="152" w:right="131"/>
              <w:jc w:val="both"/>
              <w:rPr>
                <w:rFonts w:ascii="Arial Narrow" w:hAnsi="Arial Narrow"/>
                <w:sz w:val="20"/>
                <w:szCs w:val="20"/>
              </w:rPr>
            </w:pPr>
            <w:r w:rsidRPr="004E1F15">
              <w:rPr>
                <w:rFonts w:ascii="Arial Narrow" w:hAnsi="Arial Narrow"/>
                <w:sz w:val="20"/>
                <w:szCs w:val="20"/>
              </w:rPr>
              <w:t>Рост тарифов на электроэнергию для населения и приравненных к нему категорий во втором полугодии 2016 г. составил 103,42 % для городского населения и 103,74 % для сельского населения, что не превышает индекса роста цен на электрическую энергию, поставляемую населению и приравненных к нему категориям потребителей по данным Минэкономразвития России на второе полугодие 2016 г. (107,5 %), а также индекса изменения размера вносимой гражданами платы за коммунальные услуги в среднем по субъекту Российской Федерации на 2016 год, утвержденного распоряжением Правительства Российской Федерации от 28.10.2015 № 2182-р для Новосибирской области в размере 3,5 % (источник – Отчет о результатах деятельности Департамента по тарифам Новосибирской области за 2015 год и задачах на среднесрочную перспективу (</w:t>
            </w:r>
            <w:hyperlink r:id="rId16" w:history="1">
              <w:r w:rsidRPr="004E1F15">
                <w:rPr>
                  <w:rFonts w:ascii="Arial Narrow" w:hAnsi="Arial Narrow"/>
                  <w:sz w:val="20"/>
                  <w:szCs w:val="20"/>
                </w:rPr>
                <w:t>http://www.tarif.nso.ru/page/144</w:t>
              </w:r>
            </w:hyperlink>
            <w:r w:rsidRPr="004E1F15">
              <w:rPr>
                <w:rFonts w:ascii="Arial Narrow" w:hAnsi="Arial Narrow"/>
                <w:sz w:val="20"/>
                <w:szCs w:val="20"/>
              </w:rPr>
              <w:t>).</w:t>
            </w:r>
          </w:p>
        </w:tc>
      </w:tr>
      <w:tr w:rsidR="00B07AB8" w:rsidRPr="004E1F15" w:rsidTr="000D69F3">
        <w:tc>
          <w:tcPr>
            <w:tcW w:w="284" w:type="dxa"/>
            <w:vAlign w:val="center"/>
          </w:tcPr>
          <w:p w:rsidR="00B07AB8" w:rsidRPr="004E1F15" w:rsidRDefault="00B07AB8" w:rsidP="00C54B76">
            <w:pPr>
              <w:spacing w:after="0" w:line="240" w:lineRule="auto"/>
              <w:jc w:val="both"/>
              <w:rPr>
                <w:rFonts w:ascii="Arial Narrow" w:hAnsi="Arial Narrow"/>
                <w:sz w:val="20"/>
                <w:szCs w:val="20"/>
              </w:rPr>
            </w:pPr>
            <w:r w:rsidRPr="004E1F15">
              <w:rPr>
                <w:rFonts w:ascii="Arial Narrow" w:hAnsi="Arial Narrow"/>
                <w:sz w:val="20"/>
                <w:szCs w:val="20"/>
              </w:rPr>
              <w:t>1.2.</w:t>
            </w:r>
          </w:p>
        </w:tc>
        <w:tc>
          <w:tcPr>
            <w:tcW w:w="1281" w:type="dxa"/>
            <w:vAlign w:val="center"/>
          </w:tcPr>
          <w:p w:rsidR="00B07AB8" w:rsidRPr="004E1F15" w:rsidRDefault="00B07AB8" w:rsidP="00B40EE4">
            <w:pPr>
              <w:spacing w:after="0" w:line="240" w:lineRule="auto"/>
              <w:ind w:left="152"/>
              <w:rPr>
                <w:rFonts w:ascii="Arial Narrow" w:hAnsi="Arial Narrow"/>
                <w:sz w:val="20"/>
                <w:szCs w:val="20"/>
              </w:rPr>
            </w:pPr>
            <w:r w:rsidRPr="004E1F15">
              <w:rPr>
                <w:rFonts w:ascii="Arial Narrow" w:hAnsi="Arial Narrow"/>
                <w:sz w:val="20"/>
                <w:szCs w:val="20"/>
              </w:rPr>
              <w:t>Услуги по передаче тепловой энергии</w:t>
            </w:r>
          </w:p>
        </w:tc>
        <w:tc>
          <w:tcPr>
            <w:tcW w:w="8793" w:type="dxa"/>
          </w:tcPr>
          <w:p w:rsidR="00B07AB8" w:rsidRPr="004E1F15" w:rsidRDefault="00B07AB8" w:rsidP="004E1F15">
            <w:pPr>
              <w:spacing w:after="0" w:line="240" w:lineRule="auto"/>
              <w:ind w:left="152" w:right="131"/>
              <w:jc w:val="both"/>
              <w:rPr>
                <w:rFonts w:ascii="Arial Narrow" w:hAnsi="Arial Narrow"/>
                <w:sz w:val="20"/>
                <w:szCs w:val="20"/>
              </w:rPr>
            </w:pPr>
            <w:r w:rsidRPr="004E1F15">
              <w:rPr>
                <w:rFonts w:ascii="Arial Narrow" w:hAnsi="Arial Narrow"/>
                <w:b/>
                <w:sz w:val="20"/>
                <w:szCs w:val="20"/>
              </w:rPr>
              <w:t xml:space="preserve">Информация о ценах (тарифах) на услуги передачи тепловой энергии для населения и приравненных к нему категорий потребителей на территории Новосибирской области (источник: Анализ данных об уровнях тарифов за период 2014–2016 годы в разрезе рынков присутствия субъектов естественных монополий, </w:t>
            </w:r>
            <w:hyperlink r:id="rId17" w:history="1">
              <w:r w:rsidRPr="004E1F15">
                <w:rPr>
                  <w:rFonts w:ascii="Arial Narrow" w:hAnsi="Arial Narrow"/>
                  <w:sz w:val="20"/>
                  <w:szCs w:val="20"/>
                </w:rPr>
                <w:t>http://tarif.nso.ru/page/60</w:t>
              </w:r>
            </w:hyperlink>
            <w:r w:rsidRPr="004E1F15">
              <w:rPr>
                <w:rFonts w:ascii="Arial Narrow" w:hAnsi="Arial Narrow"/>
                <w:sz w:val="20"/>
                <w:szCs w:val="20"/>
              </w:rPr>
              <w:t xml:space="preserve">, </w:t>
            </w:r>
            <w:r w:rsidRPr="004E1F15">
              <w:rPr>
                <w:rFonts w:ascii="Arial Narrow" w:hAnsi="Arial Narrow"/>
                <w:b/>
                <w:bCs/>
                <w:sz w:val="20"/>
                <w:szCs w:val="20"/>
              </w:rPr>
              <w:t>Приказ департамента по тарифам Новосибирской области от 30.11.2015 №400-ЭЭ</w:t>
            </w:r>
            <w:r w:rsidRPr="004E1F15">
              <w:rPr>
                <w:rFonts w:ascii="Arial Narrow" w:hAnsi="Arial Narrow"/>
                <w:sz w:val="20"/>
                <w:szCs w:val="20"/>
              </w:rPr>
              <w:t>)</w:t>
            </w:r>
          </w:p>
          <w:tbl>
            <w:tblPr>
              <w:tblW w:w="8363" w:type="dxa"/>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4532"/>
              <w:gridCol w:w="993"/>
              <w:gridCol w:w="709"/>
              <w:gridCol w:w="992"/>
              <w:gridCol w:w="1137"/>
            </w:tblGrid>
            <w:tr w:rsidR="00B07AB8" w:rsidRPr="004E1F15" w:rsidTr="00B40EE4">
              <w:tc>
                <w:tcPr>
                  <w:tcW w:w="4532" w:type="dxa"/>
                  <w:shd w:val="clear" w:color="auto" w:fill="auto"/>
                  <w:noWrap/>
                  <w:vAlign w:val="bottom"/>
                  <w:hideMark/>
                </w:tcPr>
                <w:p w:rsidR="00B07AB8" w:rsidRPr="004E1F15" w:rsidRDefault="00B07AB8" w:rsidP="00B40EE4">
                  <w:pPr>
                    <w:spacing w:after="0" w:line="240" w:lineRule="auto"/>
                    <w:ind w:left="152" w:right="131"/>
                    <w:rPr>
                      <w:rFonts w:ascii="Arial Narrow" w:hAnsi="Arial Narrow"/>
                      <w:sz w:val="20"/>
                      <w:szCs w:val="20"/>
                    </w:rPr>
                  </w:pPr>
                  <w:r w:rsidRPr="004E1F15">
                    <w:rPr>
                      <w:rFonts w:ascii="Arial Narrow" w:hAnsi="Arial Narrow"/>
                      <w:sz w:val="20"/>
                      <w:szCs w:val="20"/>
                    </w:rPr>
                    <w:t> </w:t>
                  </w:r>
                </w:p>
              </w:tc>
              <w:tc>
                <w:tcPr>
                  <w:tcW w:w="993" w:type="dxa"/>
                  <w:shd w:val="clear" w:color="auto" w:fill="auto"/>
                  <w:vAlign w:val="bottom"/>
                  <w:hideMark/>
                </w:tcPr>
                <w:p w:rsidR="00B07AB8" w:rsidRPr="004E1F15" w:rsidRDefault="00B07AB8" w:rsidP="00B40EE4">
                  <w:pPr>
                    <w:spacing w:after="0" w:line="240" w:lineRule="auto"/>
                    <w:ind w:left="152" w:right="131"/>
                    <w:rPr>
                      <w:rFonts w:ascii="Arial Narrow" w:hAnsi="Arial Narrow"/>
                      <w:sz w:val="20"/>
                      <w:szCs w:val="20"/>
                    </w:rPr>
                  </w:pPr>
                  <w:r w:rsidRPr="004E1F15">
                    <w:rPr>
                      <w:rFonts w:ascii="Arial Narrow" w:hAnsi="Arial Narrow"/>
                      <w:sz w:val="20"/>
                      <w:szCs w:val="20"/>
                    </w:rPr>
                    <w:t>тариф с НДС 01.07.2015*</w:t>
                  </w:r>
                </w:p>
              </w:tc>
              <w:tc>
                <w:tcPr>
                  <w:tcW w:w="709" w:type="dxa"/>
                  <w:shd w:val="clear" w:color="auto" w:fill="auto"/>
                  <w:vAlign w:val="bottom"/>
                  <w:hideMark/>
                </w:tcPr>
                <w:p w:rsidR="00B07AB8" w:rsidRPr="004E1F15" w:rsidRDefault="00B07AB8" w:rsidP="00B40EE4">
                  <w:pPr>
                    <w:spacing w:after="0" w:line="240" w:lineRule="auto"/>
                    <w:ind w:left="152" w:right="131"/>
                    <w:rPr>
                      <w:rFonts w:ascii="Arial Narrow" w:hAnsi="Arial Narrow"/>
                      <w:sz w:val="20"/>
                      <w:szCs w:val="20"/>
                    </w:rPr>
                  </w:pPr>
                  <w:r w:rsidRPr="004E1F15">
                    <w:rPr>
                      <w:rFonts w:ascii="Arial Narrow" w:hAnsi="Arial Narrow"/>
                      <w:sz w:val="20"/>
                      <w:szCs w:val="20"/>
                    </w:rPr>
                    <w:t xml:space="preserve">темп роста, % </w:t>
                  </w:r>
                </w:p>
              </w:tc>
              <w:tc>
                <w:tcPr>
                  <w:tcW w:w="992" w:type="dxa"/>
                  <w:shd w:val="clear" w:color="auto" w:fill="auto"/>
                  <w:vAlign w:val="bottom"/>
                  <w:hideMark/>
                </w:tcPr>
                <w:p w:rsidR="00B07AB8" w:rsidRPr="004E1F15" w:rsidRDefault="00B07AB8" w:rsidP="00B40EE4">
                  <w:pPr>
                    <w:spacing w:after="0" w:line="240" w:lineRule="auto"/>
                    <w:ind w:left="152" w:right="131"/>
                    <w:rPr>
                      <w:rFonts w:ascii="Arial Narrow" w:hAnsi="Arial Narrow"/>
                      <w:sz w:val="20"/>
                      <w:szCs w:val="20"/>
                    </w:rPr>
                  </w:pPr>
                  <w:r w:rsidRPr="004E1F15">
                    <w:rPr>
                      <w:rFonts w:ascii="Arial Narrow" w:hAnsi="Arial Narrow"/>
                      <w:sz w:val="20"/>
                      <w:szCs w:val="20"/>
                    </w:rPr>
                    <w:t>тариф с НДС 01.07.2016*</w:t>
                  </w:r>
                </w:p>
              </w:tc>
              <w:tc>
                <w:tcPr>
                  <w:tcW w:w="1137" w:type="dxa"/>
                  <w:shd w:val="clear" w:color="auto" w:fill="auto"/>
                  <w:vAlign w:val="bottom"/>
                  <w:hideMark/>
                </w:tcPr>
                <w:p w:rsidR="00B07AB8" w:rsidRPr="004E1F15" w:rsidRDefault="00B07AB8" w:rsidP="00B40EE4">
                  <w:pPr>
                    <w:spacing w:after="0" w:line="240" w:lineRule="auto"/>
                    <w:ind w:left="152" w:right="131"/>
                    <w:rPr>
                      <w:rFonts w:ascii="Arial Narrow" w:hAnsi="Arial Narrow"/>
                      <w:sz w:val="20"/>
                      <w:szCs w:val="20"/>
                    </w:rPr>
                  </w:pPr>
                  <w:r w:rsidRPr="004E1F15">
                    <w:rPr>
                      <w:rFonts w:ascii="Arial Narrow" w:hAnsi="Arial Narrow"/>
                      <w:sz w:val="20"/>
                      <w:szCs w:val="20"/>
                    </w:rPr>
                    <w:t xml:space="preserve">темп роста, % </w:t>
                  </w:r>
                </w:p>
              </w:tc>
            </w:tr>
            <w:tr w:rsidR="00B07AB8" w:rsidRPr="004E1F15" w:rsidTr="00B40EE4">
              <w:tc>
                <w:tcPr>
                  <w:tcW w:w="4532" w:type="dxa"/>
                  <w:shd w:val="clear" w:color="auto" w:fill="auto"/>
                  <w:noWrap/>
                  <w:vAlign w:val="bottom"/>
                  <w:hideMark/>
                </w:tcPr>
                <w:p w:rsidR="00B07AB8" w:rsidRPr="004E1F15" w:rsidRDefault="00B07AB8" w:rsidP="00B40EE4">
                  <w:pPr>
                    <w:spacing w:after="0" w:line="240" w:lineRule="auto"/>
                    <w:ind w:left="152" w:right="131"/>
                    <w:rPr>
                      <w:rFonts w:ascii="Arial Narrow" w:hAnsi="Arial Narrow"/>
                      <w:bCs/>
                      <w:sz w:val="20"/>
                      <w:szCs w:val="20"/>
                    </w:rPr>
                  </w:pPr>
                  <w:r w:rsidRPr="004E1F15">
                    <w:rPr>
                      <w:rFonts w:ascii="Arial Narrow" w:hAnsi="Arial Narrow"/>
                      <w:bCs/>
                      <w:sz w:val="20"/>
                      <w:szCs w:val="20"/>
                    </w:rPr>
                    <w:t>Тепловая энергия (руб. за 1 Гкал)</w:t>
                  </w:r>
                </w:p>
              </w:tc>
              <w:tc>
                <w:tcPr>
                  <w:tcW w:w="993" w:type="dxa"/>
                  <w:shd w:val="clear" w:color="auto" w:fill="auto"/>
                  <w:noWrap/>
                  <w:vAlign w:val="bottom"/>
                  <w:hideMark/>
                </w:tcPr>
                <w:p w:rsidR="00B07AB8" w:rsidRPr="004E1F15" w:rsidRDefault="00B07AB8" w:rsidP="00B40EE4">
                  <w:pPr>
                    <w:spacing w:after="0" w:line="240" w:lineRule="auto"/>
                    <w:ind w:left="152" w:right="131"/>
                    <w:rPr>
                      <w:rFonts w:ascii="Arial Narrow" w:hAnsi="Arial Narrow"/>
                      <w:sz w:val="20"/>
                      <w:szCs w:val="20"/>
                    </w:rPr>
                  </w:pPr>
                  <w:r w:rsidRPr="004E1F15">
                    <w:rPr>
                      <w:rFonts w:ascii="Arial Narrow" w:hAnsi="Arial Narrow"/>
                      <w:sz w:val="20"/>
                      <w:szCs w:val="20"/>
                    </w:rPr>
                    <w:t> </w:t>
                  </w:r>
                </w:p>
              </w:tc>
              <w:tc>
                <w:tcPr>
                  <w:tcW w:w="709" w:type="dxa"/>
                  <w:shd w:val="clear" w:color="auto" w:fill="auto"/>
                  <w:noWrap/>
                  <w:vAlign w:val="bottom"/>
                  <w:hideMark/>
                </w:tcPr>
                <w:p w:rsidR="00B07AB8" w:rsidRPr="004E1F15" w:rsidRDefault="00B07AB8" w:rsidP="00B40EE4">
                  <w:pPr>
                    <w:spacing w:after="0" w:line="240" w:lineRule="auto"/>
                    <w:ind w:left="152" w:right="131"/>
                    <w:rPr>
                      <w:rFonts w:ascii="Arial Narrow" w:hAnsi="Arial Narrow"/>
                      <w:sz w:val="20"/>
                      <w:szCs w:val="20"/>
                    </w:rPr>
                  </w:pPr>
                  <w:r w:rsidRPr="004E1F15">
                    <w:rPr>
                      <w:rFonts w:ascii="Arial Narrow" w:hAnsi="Arial Narrow"/>
                      <w:sz w:val="20"/>
                      <w:szCs w:val="20"/>
                    </w:rPr>
                    <w:t> </w:t>
                  </w:r>
                </w:p>
              </w:tc>
              <w:tc>
                <w:tcPr>
                  <w:tcW w:w="992" w:type="dxa"/>
                  <w:shd w:val="clear" w:color="auto" w:fill="auto"/>
                  <w:noWrap/>
                  <w:vAlign w:val="bottom"/>
                  <w:hideMark/>
                </w:tcPr>
                <w:p w:rsidR="00B07AB8" w:rsidRPr="004E1F15" w:rsidRDefault="00B07AB8" w:rsidP="00B40EE4">
                  <w:pPr>
                    <w:spacing w:after="0" w:line="240" w:lineRule="auto"/>
                    <w:ind w:left="152" w:right="131"/>
                    <w:rPr>
                      <w:rFonts w:ascii="Arial Narrow" w:hAnsi="Arial Narrow"/>
                      <w:sz w:val="20"/>
                      <w:szCs w:val="20"/>
                    </w:rPr>
                  </w:pPr>
                  <w:r w:rsidRPr="004E1F15">
                    <w:rPr>
                      <w:rFonts w:ascii="Arial Narrow" w:hAnsi="Arial Narrow"/>
                      <w:sz w:val="20"/>
                      <w:szCs w:val="20"/>
                    </w:rPr>
                    <w:t> </w:t>
                  </w:r>
                </w:p>
              </w:tc>
              <w:tc>
                <w:tcPr>
                  <w:tcW w:w="1137" w:type="dxa"/>
                  <w:shd w:val="clear" w:color="auto" w:fill="auto"/>
                  <w:noWrap/>
                  <w:vAlign w:val="bottom"/>
                  <w:hideMark/>
                </w:tcPr>
                <w:p w:rsidR="00B07AB8" w:rsidRPr="004E1F15" w:rsidRDefault="00B07AB8" w:rsidP="00B40EE4">
                  <w:pPr>
                    <w:spacing w:after="0" w:line="240" w:lineRule="auto"/>
                    <w:ind w:left="152" w:right="131"/>
                    <w:rPr>
                      <w:rFonts w:ascii="Arial Narrow" w:hAnsi="Arial Narrow"/>
                      <w:sz w:val="20"/>
                      <w:szCs w:val="20"/>
                    </w:rPr>
                  </w:pPr>
                  <w:r w:rsidRPr="004E1F15">
                    <w:rPr>
                      <w:rFonts w:ascii="Arial Narrow" w:hAnsi="Arial Narrow"/>
                      <w:sz w:val="20"/>
                      <w:szCs w:val="20"/>
                    </w:rPr>
                    <w:t> </w:t>
                  </w:r>
                </w:p>
              </w:tc>
            </w:tr>
            <w:tr w:rsidR="00B07AB8" w:rsidRPr="004E1F15" w:rsidTr="00B40EE4">
              <w:tc>
                <w:tcPr>
                  <w:tcW w:w="4532" w:type="dxa"/>
                  <w:shd w:val="clear" w:color="auto" w:fill="auto"/>
                  <w:vAlign w:val="bottom"/>
                  <w:hideMark/>
                </w:tcPr>
                <w:p w:rsidR="00B07AB8" w:rsidRPr="004E1F15" w:rsidRDefault="00B07AB8" w:rsidP="00B40EE4">
                  <w:pPr>
                    <w:spacing w:after="0" w:line="240" w:lineRule="auto"/>
                    <w:ind w:left="152" w:right="131"/>
                    <w:rPr>
                      <w:rFonts w:ascii="Arial Narrow" w:hAnsi="Arial Narrow"/>
                      <w:sz w:val="20"/>
                      <w:szCs w:val="20"/>
                    </w:rPr>
                  </w:pPr>
                  <w:r w:rsidRPr="004E1F15">
                    <w:rPr>
                      <w:rFonts w:ascii="Arial Narrow" w:hAnsi="Arial Narrow"/>
                      <w:sz w:val="20"/>
                      <w:szCs w:val="20"/>
                    </w:rPr>
                    <w:t>средневзвешенный тариф по Новосибирской области</w:t>
                  </w:r>
                </w:p>
              </w:tc>
              <w:tc>
                <w:tcPr>
                  <w:tcW w:w="993" w:type="dxa"/>
                  <w:shd w:val="clear" w:color="auto" w:fill="auto"/>
                  <w:noWrap/>
                  <w:vAlign w:val="bottom"/>
                  <w:hideMark/>
                </w:tcPr>
                <w:p w:rsidR="00B07AB8" w:rsidRPr="004E1F15" w:rsidRDefault="00B07AB8" w:rsidP="00B40EE4">
                  <w:pPr>
                    <w:spacing w:after="0" w:line="240" w:lineRule="auto"/>
                    <w:ind w:left="152" w:right="131"/>
                    <w:rPr>
                      <w:rFonts w:ascii="Arial Narrow" w:hAnsi="Arial Narrow"/>
                      <w:sz w:val="20"/>
                      <w:szCs w:val="20"/>
                    </w:rPr>
                  </w:pPr>
                  <w:r w:rsidRPr="004E1F15">
                    <w:rPr>
                      <w:rFonts w:ascii="Arial Narrow" w:hAnsi="Arial Narrow"/>
                      <w:sz w:val="20"/>
                      <w:szCs w:val="20"/>
                    </w:rPr>
                    <w:t>1246,63</w:t>
                  </w:r>
                </w:p>
              </w:tc>
              <w:tc>
                <w:tcPr>
                  <w:tcW w:w="709" w:type="dxa"/>
                  <w:shd w:val="clear" w:color="auto" w:fill="auto"/>
                  <w:noWrap/>
                  <w:vAlign w:val="bottom"/>
                  <w:hideMark/>
                </w:tcPr>
                <w:p w:rsidR="00B07AB8" w:rsidRPr="004E1F15" w:rsidRDefault="00B07AB8" w:rsidP="00B40EE4">
                  <w:pPr>
                    <w:spacing w:after="0" w:line="240" w:lineRule="auto"/>
                    <w:ind w:left="152" w:right="131"/>
                    <w:rPr>
                      <w:rFonts w:ascii="Arial Narrow" w:hAnsi="Arial Narrow"/>
                      <w:sz w:val="20"/>
                      <w:szCs w:val="20"/>
                    </w:rPr>
                  </w:pPr>
                  <w:r w:rsidRPr="004E1F15">
                    <w:rPr>
                      <w:rFonts w:ascii="Arial Narrow" w:hAnsi="Arial Narrow"/>
                      <w:sz w:val="20"/>
                      <w:szCs w:val="20"/>
                    </w:rPr>
                    <w:t>106,88</w:t>
                  </w:r>
                </w:p>
              </w:tc>
              <w:tc>
                <w:tcPr>
                  <w:tcW w:w="992" w:type="dxa"/>
                  <w:shd w:val="clear" w:color="auto" w:fill="auto"/>
                  <w:noWrap/>
                  <w:vAlign w:val="bottom"/>
                  <w:hideMark/>
                </w:tcPr>
                <w:p w:rsidR="00B07AB8" w:rsidRPr="004E1F15" w:rsidRDefault="00B07AB8" w:rsidP="00B40EE4">
                  <w:pPr>
                    <w:spacing w:after="0" w:line="240" w:lineRule="auto"/>
                    <w:ind w:left="152" w:right="131"/>
                    <w:rPr>
                      <w:rFonts w:ascii="Arial Narrow" w:hAnsi="Arial Narrow"/>
                      <w:sz w:val="20"/>
                      <w:szCs w:val="20"/>
                    </w:rPr>
                  </w:pPr>
                  <w:r w:rsidRPr="004E1F15">
                    <w:rPr>
                      <w:rFonts w:ascii="Arial Narrow" w:hAnsi="Arial Narrow"/>
                      <w:sz w:val="20"/>
                      <w:szCs w:val="20"/>
                    </w:rPr>
                    <w:t>1290,26</w:t>
                  </w:r>
                </w:p>
              </w:tc>
              <w:tc>
                <w:tcPr>
                  <w:tcW w:w="1137" w:type="dxa"/>
                  <w:shd w:val="clear" w:color="auto" w:fill="auto"/>
                  <w:noWrap/>
                  <w:vAlign w:val="bottom"/>
                  <w:hideMark/>
                </w:tcPr>
                <w:p w:rsidR="00B07AB8" w:rsidRPr="004E1F15" w:rsidRDefault="00B07AB8" w:rsidP="00B40EE4">
                  <w:pPr>
                    <w:spacing w:after="0" w:line="240" w:lineRule="auto"/>
                    <w:ind w:left="152" w:right="131"/>
                    <w:rPr>
                      <w:rFonts w:ascii="Arial Narrow" w:hAnsi="Arial Narrow"/>
                      <w:sz w:val="20"/>
                      <w:szCs w:val="20"/>
                    </w:rPr>
                  </w:pPr>
                  <w:r w:rsidRPr="004E1F15">
                    <w:rPr>
                      <w:rFonts w:ascii="Arial Narrow" w:hAnsi="Arial Narrow"/>
                      <w:sz w:val="20"/>
                      <w:szCs w:val="20"/>
                    </w:rPr>
                    <w:t>103,5</w:t>
                  </w:r>
                </w:p>
              </w:tc>
            </w:tr>
            <w:tr w:rsidR="00B07AB8" w:rsidRPr="004E1F15" w:rsidTr="00B40EE4">
              <w:tc>
                <w:tcPr>
                  <w:tcW w:w="4532" w:type="dxa"/>
                  <w:shd w:val="clear" w:color="auto" w:fill="auto"/>
                  <w:noWrap/>
                  <w:vAlign w:val="bottom"/>
                  <w:hideMark/>
                </w:tcPr>
                <w:p w:rsidR="00B07AB8" w:rsidRPr="004E1F15" w:rsidRDefault="00B07AB8" w:rsidP="00B40EE4">
                  <w:pPr>
                    <w:spacing w:after="0" w:line="240" w:lineRule="auto"/>
                    <w:ind w:left="152" w:right="131"/>
                    <w:rPr>
                      <w:rFonts w:ascii="Arial Narrow" w:hAnsi="Arial Narrow"/>
                      <w:sz w:val="20"/>
                      <w:szCs w:val="20"/>
                    </w:rPr>
                  </w:pPr>
                  <w:r w:rsidRPr="004E1F15">
                    <w:rPr>
                      <w:rFonts w:ascii="Arial Narrow" w:hAnsi="Arial Narrow"/>
                      <w:sz w:val="20"/>
                      <w:szCs w:val="20"/>
                    </w:rPr>
                    <w:t xml:space="preserve">В т.ч. АО «СИБЭКО», согласно </w:t>
                  </w:r>
                  <w:r w:rsidRPr="004E1F15">
                    <w:rPr>
                      <w:rFonts w:ascii="Arial Narrow" w:hAnsi="Arial Narrow" w:cs="Tahoma"/>
                      <w:sz w:val="20"/>
                      <w:szCs w:val="20"/>
                    </w:rPr>
                    <w:t>Приказу департамента по тарифам Новосибирской области от 30.11.2015 № 400-ЭЭ</w:t>
                  </w:r>
                </w:p>
              </w:tc>
              <w:tc>
                <w:tcPr>
                  <w:tcW w:w="993" w:type="dxa"/>
                  <w:shd w:val="clear" w:color="auto" w:fill="auto"/>
                  <w:noWrap/>
                  <w:vAlign w:val="bottom"/>
                  <w:hideMark/>
                </w:tcPr>
                <w:p w:rsidR="00B07AB8" w:rsidRPr="004E1F15" w:rsidRDefault="00B07AB8" w:rsidP="00B40EE4">
                  <w:pPr>
                    <w:spacing w:after="0" w:line="240" w:lineRule="auto"/>
                    <w:ind w:left="152" w:right="131"/>
                    <w:rPr>
                      <w:rFonts w:ascii="Arial Narrow" w:hAnsi="Arial Narrow"/>
                      <w:sz w:val="20"/>
                      <w:szCs w:val="20"/>
                    </w:rPr>
                  </w:pPr>
                  <w:r w:rsidRPr="004E1F15">
                    <w:rPr>
                      <w:rFonts w:ascii="Arial Narrow" w:hAnsi="Arial Narrow"/>
                      <w:sz w:val="20"/>
                      <w:szCs w:val="20"/>
                    </w:rPr>
                    <w:t>1144,34</w:t>
                  </w:r>
                </w:p>
              </w:tc>
              <w:tc>
                <w:tcPr>
                  <w:tcW w:w="709" w:type="dxa"/>
                  <w:shd w:val="clear" w:color="auto" w:fill="auto"/>
                  <w:noWrap/>
                  <w:vAlign w:val="bottom"/>
                  <w:hideMark/>
                </w:tcPr>
                <w:p w:rsidR="00B07AB8" w:rsidRPr="004E1F15" w:rsidRDefault="00B07AB8" w:rsidP="00B40EE4">
                  <w:pPr>
                    <w:spacing w:after="0" w:line="240" w:lineRule="auto"/>
                    <w:ind w:left="152" w:right="131"/>
                    <w:rPr>
                      <w:rFonts w:ascii="Arial Narrow" w:hAnsi="Arial Narrow"/>
                      <w:sz w:val="20"/>
                      <w:szCs w:val="20"/>
                    </w:rPr>
                  </w:pPr>
                  <w:r w:rsidRPr="004E1F15">
                    <w:rPr>
                      <w:rFonts w:ascii="Arial Narrow" w:hAnsi="Arial Narrow"/>
                      <w:sz w:val="20"/>
                      <w:szCs w:val="20"/>
                    </w:rPr>
                    <w:t>107,99</w:t>
                  </w:r>
                </w:p>
              </w:tc>
              <w:tc>
                <w:tcPr>
                  <w:tcW w:w="992" w:type="dxa"/>
                  <w:shd w:val="clear" w:color="auto" w:fill="auto"/>
                  <w:noWrap/>
                  <w:vAlign w:val="bottom"/>
                  <w:hideMark/>
                </w:tcPr>
                <w:p w:rsidR="00B07AB8" w:rsidRPr="004E1F15" w:rsidRDefault="00B07AB8" w:rsidP="00B40EE4">
                  <w:pPr>
                    <w:spacing w:after="0" w:line="240" w:lineRule="auto"/>
                    <w:ind w:left="152" w:right="131"/>
                    <w:rPr>
                      <w:rFonts w:ascii="Arial Narrow" w:hAnsi="Arial Narrow"/>
                      <w:sz w:val="20"/>
                      <w:szCs w:val="20"/>
                    </w:rPr>
                  </w:pPr>
                  <w:r w:rsidRPr="004E1F15">
                    <w:rPr>
                      <w:rFonts w:ascii="Arial Narrow" w:hAnsi="Arial Narrow"/>
                      <w:sz w:val="20"/>
                      <w:szCs w:val="20"/>
                    </w:rPr>
                    <w:t>1184,39</w:t>
                  </w:r>
                </w:p>
              </w:tc>
              <w:tc>
                <w:tcPr>
                  <w:tcW w:w="1137" w:type="dxa"/>
                  <w:shd w:val="clear" w:color="auto" w:fill="auto"/>
                  <w:noWrap/>
                  <w:vAlign w:val="bottom"/>
                  <w:hideMark/>
                </w:tcPr>
                <w:p w:rsidR="00B07AB8" w:rsidRPr="004E1F15" w:rsidRDefault="00B07AB8" w:rsidP="00B40EE4">
                  <w:pPr>
                    <w:spacing w:after="0" w:line="240" w:lineRule="auto"/>
                    <w:ind w:left="152" w:right="131"/>
                    <w:rPr>
                      <w:rFonts w:ascii="Arial Narrow" w:hAnsi="Arial Narrow"/>
                      <w:sz w:val="20"/>
                      <w:szCs w:val="20"/>
                    </w:rPr>
                  </w:pPr>
                  <w:r w:rsidRPr="004E1F15">
                    <w:rPr>
                      <w:rFonts w:ascii="Arial Narrow" w:hAnsi="Arial Narrow"/>
                      <w:sz w:val="20"/>
                      <w:szCs w:val="20"/>
                    </w:rPr>
                    <w:t>103,5</w:t>
                  </w:r>
                </w:p>
              </w:tc>
            </w:tr>
          </w:tbl>
          <w:p w:rsidR="00B07AB8" w:rsidRPr="004E1F15" w:rsidRDefault="00B07AB8" w:rsidP="004E1F15">
            <w:pPr>
              <w:spacing w:after="0" w:line="240" w:lineRule="auto"/>
              <w:ind w:left="152" w:right="131"/>
              <w:jc w:val="both"/>
              <w:rPr>
                <w:rFonts w:ascii="Arial Narrow" w:hAnsi="Arial Narrow"/>
                <w:sz w:val="20"/>
                <w:szCs w:val="20"/>
              </w:rPr>
            </w:pPr>
            <w:r w:rsidRPr="004E1F15">
              <w:rPr>
                <w:rFonts w:ascii="Arial Narrow" w:hAnsi="Arial Narrow"/>
                <w:sz w:val="20"/>
                <w:szCs w:val="20"/>
              </w:rPr>
              <w:t>* величина тарифов первого полугодия (в соответствии с действующим законодательством РФ в сфере государственного регулирования цен (тарифов)) равна величине тарифов, действующих во втором полугодии предыдущего года.</w:t>
            </w:r>
          </w:p>
          <w:p w:rsidR="00B07AB8" w:rsidRPr="004E1F15" w:rsidRDefault="00B07AB8" w:rsidP="004E1F15">
            <w:pPr>
              <w:spacing w:after="0" w:line="240" w:lineRule="auto"/>
              <w:ind w:left="152" w:right="131"/>
              <w:jc w:val="both"/>
              <w:rPr>
                <w:rFonts w:ascii="Arial Narrow" w:hAnsi="Arial Narrow"/>
                <w:sz w:val="20"/>
                <w:szCs w:val="20"/>
              </w:rPr>
            </w:pPr>
          </w:p>
          <w:p w:rsidR="00B07AB8" w:rsidRPr="004E1F15" w:rsidRDefault="00B07AB8" w:rsidP="004E1F15">
            <w:pPr>
              <w:spacing w:after="0" w:line="240" w:lineRule="auto"/>
              <w:ind w:left="152" w:right="131"/>
              <w:jc w:val="both"/>
              <w:rPr>
                <w:rFonts w:ascii="Arial Narrow" w:hAnsi="Arial Narrow"/>
                <w:sz w:val="20"/>
                <w:szCs w:val="20"/>
              </w:rPr>
            </w:pPr>
            <w:r w:rsidRPr="004E1F15">
              <w:rPr>
                <w:rFonts w:ascii="Arial Narrow" w:hAnsi="Arial Narrow"/>
                <w:sz w:val="20"/>
                <w:szCs w:val="20"/>
              </w:rPr>
              <w:t>Рост средневзвешенных тарифов на тепловую энергию для населения Новосибирской области и приравненных к нему категорий, составляет 103,5 % (во 2 полугодии 2016 г. по сравнению с аналогичным периодом прошлого года). Аналогичный рост тарифов зафиксирован для тепловой энергии, поставляемой АО «СИБЭКО» населению и приравненных к нему категорий г. Новосибирска (103,5 %).</w:t>
            </w:r>
          </w:p>
          <w:p w:rsidR="00B07AB8" w:rsidRPr="004E1F15" w:rsidRDefault="00B07AB8" w:rsidP="004E1F15">
            <w:pPr>
              <w:spacing w:after="0" w:line="240" w:lineRule="auto"/>
              <w:ind w:left="152" w:right="131"/>
              <w:jc w:val="both"/>
              <w:rPr>
                <w:rFonts w:ascii="Arial Narrow" w:hAnsi="Arial Narrow"/>
                <w:iCs/>
                <w:sz w:val="20"/>
                <w:szCs w:val="20"/>
              </w:rPr>
            </w:pPr>
          </w:p>
        </w:tc>
      </w:tr>
    </w:tbl>
    <w:p w:rsidR="00B07AB8" w:rsidRPr="00B07AB8" w:rsidRDefault="00B07AB8" w:rsidP="00C54B76">
      <w:pPr>
        <w:spacing w:after="0"/>
        <w:rPr>
          <w:rFonts w:ascii="Arial Narrow" w:hAnsi="Arial Narrow"/>
        </w:rPr>
      </w:pPr>
    </w:p>
    <w:p w:rsidR="00B07AB8" w:rsidRPr="00B07AB8" w:rsidRDefault="00B07AB8" w:rsidP="00C54B76">
      <w:pPr>
        <w:spacing w:after="0"/>
        <w:rPr>
          <w:rFonts w:ascii="Arial Narrow" w:hAnsi="Arial Narrow"/>
        </w:rPr>
      </w:pPr>
      <w:r w:rsidRPr="00B07AB8">
        <w:rPr>
          <w:rFonts w:ascii="Arial Narrow" w:hAnsi="Arial Narrow"/>
        </w:rPr>
        <w:br w:type="page"/>
      </w:r>
    </w:p>
    <w:p w:rsidR="00B07AB8" w:rsidRPr="00B07AB8" w:rsidRDefault="00A43AC6" w:rsidP="00C54B76">
      <w:pPr>
        <w:spacing w:after="0" w:line="240" w:lineRule="auto"/>
        <w:jc w:val="right"/>
        <w:rPr>
          <w:rFonts w:ascii="Arial Narrow" w:hAnsi="Arial Narrow"/>
          <w:sz w:val="24"/>
          <w:szCs w:val="24"/>
        </w:rPr>
      </w:pPr>
      <w:r>
        <w:rPr>
          <w:rFonts w:ascii="Arial Narrow" w:hAnsi="Arial Narrow"/>
          <w:sz w:val="24"/>
          <w:szCs w:val="24"/>
        </w:rPr>
        <w:lastRenderedPageBreak/>
        <w:t>Продолжение Таблицы 5.1</w:t>
      </w:r>
    </w:p>
    <w:tbl>
      <w:tblPr>
        <w:tblW w:w="1035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284"/>
        <w:gridCol w:w="1281"/>
        <w:gridCol w:w="8793"/>
      </w:tblGrid>
      <w:tr w:rsidR="00B07AB8" w:rsidRPr="00B07AB8" w:rsidTr="000D69F3">
        <w:trPr>
          <w:trHeight w:val="395"/>
        </w:trPr>
        <w:tc>
          <w:tcPr>
            <w:tcW w:w="284" w:type="dxa"/>
            <w:vAlign w:val="center"/>
          </w:tcPr>
          <w:p w:rsidR="00B07AB8" w:rsidRPr="00B07AB8" w:rsidRDefault="00B07AB8" w:rsidP="004E1F15">
            <w:pPr>
              <w:spacing w:after="0" w:line="240" w:lineRule="auto"/>
              <w:jc w:val="center"/>
              <w:rPr>
                <w:rFonts w:ascii="Arial Narrow" w:hAnsi="Arial Narrow"/>
                <w:sz w:val="20"/>
                <w:szCs w:val="20"/>
              </w:rPr>
            </w:pPr>
            <w:r w:rsidRPr="00B07AB8">
              <w:rPr>
                <w:rFonts w:ascii="Arial Narrow" w:hAnsi="Arial Narrow"/>
                <w:sz w:val="20"/>
                <w:szCs w:val="20"/>
              </w:rPr>
              <w:t>2</w:t>
            </w:r>
          </w:p>
        </w:tc>
        <w:tc>
          <w:tcPr>
            <w:tcW w:w="1281" w:type="dxa"/>
            <w:vAlign w:val="center"/>
          </w:tcPr>
          <w:p w:rsidR="00B07AB8" w:rsidRPr="004E1F15" w:rsidRDefault="00B07AB8" w:rsidP="00B40EE4">
            <w:pPr>
              <w:spacing w:after="0" w:line="240" w:lineRule="auto"/>
              <w:ind w:left="152" w:right="137"/>
              <w:rPr>
                <w:rFonts w:ascii="Arial Narrow" w:hAnsi="Arial Narrow"/>
                <w:sz w:val="20"/>
                <w:szCs w:val="20"/>
              </w:rPr>
            </w:pPr>
            <w:r w:rsidRPr="004E1F15">
              <w:rPr>
                <w:rFonts w:ascii="Arial Narrow" w:hAnsi="Arial Narrow"/>
                <w:sz w:val="20"/>
                <w:szCs w:val="20"/>
              </w:rPr>
              <w:t>Водоснабжение и водоотведение с использованием централизованных систем, систем коммунальной инфраструктуры</w:t>
            </w:r>
          </w:p>
        </w:tc>
        <w:tc>
          <w:tcPr>
            <w:tcW w:w="8793" w:type="dxa"/>
          </w:tcPr>
          <w:tbl>
            <w:tblPr>
              <w:tblW w:w="8491" w:type="dxa"/>
              <w:tblInd w:w="147" w:type="dxa"/>
              <w:tblLayout w:type="fixed"/>
              <w:tblLook w:val="04A0"/>
            </w:tblPr>
            <w:tblGrid>
              <w:gridCol w:w="2537"/>
              <w:gridCol w:w="1701"/>
              <w:gridCol w:w="2127"/>
              <w:gridCol w:w="2126"/>
            </w:tblGrid>
            <w:tr w:rsidR="00B07AB8" w:rsidRPr="004E1F15" w:rsidTr="00A64028">
              <w:tc>
                <w:tcPr>
                  <w:tcW w:w="2537" w:type="dxa"/>
                  <w:tcBorders>
                    <w:left w:val="single" w:sz="4" w:space="0" w:color="auto"/>
                    <w:bottom w:val="single" w:sz="4" w:space="0" w:color="auto"/>
                    <w:right w:val="single" w:sz="4" w:space="0" w:color="auto"/>
                  </w:tcBorders>
                </w:tcPr>
                <w:p w:rsidR="00B07AB8" w:rsidRPr="004E1F15" w:rsidRDefault="00B07AB8" w:rsidP="00B40EE4">
                  <w:pPr>
                    <w:spacing w:after="0" w:line="240" w:lineRule="auto"/>
                    <w:ind w:left="152" w:right="137"/>
                    <w:outlineLvl w:val="0"/>
                    <w:rPr>
                      <w:rFonts w:ascii="Arial Narrow" w:hAnsi="Arial Narrow"/>
                      <w:sz w:val="20"/>
                      <w:szCs w:val="20"/>
                    </w:rPr>
                  </w:pPr>
                  <w:bookmarkStart w:id="21" w:name="_Toc475532246"/>
                  <w:r w:rsidRPr="004E1F15">
                    <w:rPr>
                      <w:rFonts w:ascii="Arial Narrow" w:hAnsi="Arial Narrow"/>
                      <w:b/>
                      <w:sz w:val="20"/>
                      <w:szCs w:val="20"/>
                    </w:rPr>
                    <w:t>Общее количество тарифов, установленных департаментом по тарифам Новосибирской области в 2016 г. по сравнению с 2015 г. на холодное водоснабжение и водоотведение (источник – Отчет о результатах деятельности Департамента по тарифам Новосибирской области за 2015 год и задачах на среднесрочную перспективу (</w:t>
                  </w:r>
                  <w:hyperlink r:id="rId18" w:history="1">
                    <w:r w:rsidRPr="004E1F15">
                      <w:rPr>
                        <w:rFonts w:ascii="Arial Narrow" w:hAnsi="Arial Narrow"/>
                        <w:b/>
                        <w:sz w:val="20"/>
                        <w:szCs w:val="20"/>
                      </w:rPr>
                      <w:t>http://www.tarif.nso.ru/page/144</w:t>
                    </w:r>
                  </w:hyperlink>
                  <w:r w:rsidRPr="004E1F15">
                    <w:rPr>
                      <w:rFonts w:ascii="Arial Narrow" w:hAnsi="Arial Narrow"/>
                      <w:b/>
                      <w:sz w:val="20"/>
                      <w:szCs w:val="20"/>
                    </w:rPr>
                    <w:t>)).</w:t>
                  </w:r>
                  <w:bookmarkEnd w:id="21"/>
                </w:p>
              </w:tc>
              <w:tc>
                <w:tcPr>
                  <w:tcW w:w="1701" w:type="dxa"/>
                  <w:tcBorders>
                    <w:top w:val="single" w:sz="4" w:space="0" w:color="auto"/>
                    <w:left w:val="single" w:sz="4" w:space="0" w:color="auto"/>
                    <w:bottom w:val="single" w:sz="4" w:space="0" w:color="auto"/>
                    <w:right w:val="single" w:sz="4" w:space="0" w:color="auto"/>
                  </w:tcBorders>
                </w:tcPr>
                <w:p w:rsidR="00B07AB8" w:rsidRPr="004E1F15" w:rsidRDefault="00B07AB8" w:rsidP="00B40EE4">
                  <w:pPr>
                    <w:spacing w:after="0" w:line="240" w:lineRule="auto"/>
                    <w:ind w:left="152" w:right="137"/>
                    <w:rPr>
                      <w:rFonts w:ascii="Arial Narrow" w:hAnsi="Arial Narrow"/>
                      <w:sz w:val="20"/>
                      <w:szCs w:val="20"/>
                    </w:rPr>
                  </w:pPr>
                  <w:r w:rsidRPr="004E1F15">
                    <w:rPr>
                      <w:rFonts w:ascii="Arial Narrow" w:hAnsi="Arial Narrow"/>
                      <w:sz w:val="20"/>
                      <w:szCs w:val="20"/>
                    </w:rPr>
                    <w:t>На 2015 г.</w:t>
                  </w:r>
                </w:p>
              </w:tc>
              <w:tc>
                <w:tcPr>
                  <w:tcW w:w="2127" w:type="dxa"/>
                  <w:tcBorders>
                    <w:top w:val="single" w:sz="4" w:space="0" w:color="auto"/>
                    <w:left w:val="single" w:sz="4" w:space="0" w:color="auto"/>
                    <w:bottom w:val="single" w:sz="4" w:space="0" w:color="auto"/>
                    <w:right w:val="single" w:sz="4" w:space="0" w:color="auto"/>
                  </w:tcBorders>
                </w:tcPr>
                <w:p w:rsidR="00B07AB8" w:rsidRPr="004E1F15" w:rsidRDefault="00B07AB8" w:rsidP="00B40EE4">
                  <w:pPr>
                    <w:spacing w:after="0" w:line="240" w:lineRule="auto"/>
                    <w:ind w:left="152" w:right="137"/>
                    <w:rPr>
                      <w:rFonts w:ascii="Arial Narrow" w:hAnsi="Arial Narrow"/>
                      <w:sz w:val="20"/>
                      <w:szCs w:val="20"/>
                    </w:rPr>
                  </w:pPr>
                  <w:r w:rsidRPr="004E1F15">
                    <w:rPr>
                      <w:rFonts w:ascii="Arial Narrow" w:hAnsi="Arial Narrow"/>
                      <w:sz w:val="20"/>
                      <w:szCs w:val="20"/>
                    </w:rPr>
                    <w:t>На 2016 г.</w:t>
                  </w:r>
                </w:p>
              </w:tc>
              <w:tc>
                <w:tcPr>
                  <w:tcW w:w="2126" w:type="dxa"/>
                  <w:tcBorders>
                    <w:top w:val="single" w:sz="4" w:space="0" w:color="auto"/>
                    <w:left w:val="single" w:sz="4" w:space="0" w:color="auto"/>
                    <w:bottom w:val="single" w:sz="4" w:space="0" w:color="auto"/>
                    <w:right w:val="single" w:sz="4" w:space="0" w:color="auto"/>
                  </w:tcBorders>
                </w:tcPr>
                <w:p w:rsidR="00B07AB8" w:rsidRPr="004E1F15" w:rsidRDefault="00B07AB8" w:rsidP="00B40EE4">
                  <w:pPr>
                    <w:spacing w:after="0" w:line="240" w:lineRule="auto"/>
                    <w:ind w:left="152" w:right="137"/>
                    <w:rPr>
                      <w:rFonts w:ascii="Arial Narrow" w:hAnsi="Arial Narrow"/>
                      <w:sz w:val="20"/>
                      <w:szCs w:val="20"/>
                    </w:rPr>
                  </w:pPr>
                  <w:r w:rsidRPr="004E1F15">
                    <w:rPr>
                      <w:rFonts w:ascii="Arial Narrow" w:hAnsi="Arial Narrow"/>
                      <w:sz w:val="20"/>
                      <w:szCs w:val="20"/>
                    </w:rPr>
                    <w:t>Динамика по сравнению с прошлым годом</w:t>
                  </w:r>
                </w:p>
              </w:tc>
            </w:tr>
            <w:tr w:rsidR="00B07AB8" w:rsidRPr="004E1F15" w:rsidTr="00A64028">
              <w:tc>
                <w:tcPr>
                  <w:tcW w:w="2537" w:type="dxa"/>
                  <w:tcBorders>
                    <w:top w:val="single" w:sz="4" w:space="0" w:color="auto"/>
                    <w:left w:val="single" w:sz="4" w:space="0" w:color="auto"/>
                    <w:bottom w:val="single" w:sz="4" w:space="0" w:color="auto"/>
                    <w:right w:val="single" w:sz="4" w:space="0" w:color="auto"/>
                  </w:tcBorders>
                </w:tcPr>
                <w:p w:rsidR="00B07AB8" w:rsidRPr="004E1F15" w:rsidRDefault="00B07AB8" w:rsidP="00B40EE4">
                  <w:pPr>
                    <w:spacing w:after="0" w:line="240" w:lineRule="auto"/>
                    <w:ind w:left="152" w:right="137"/>
                    <w:rPr>
                      <w:rFonts w:ascii="Arial Narrow" w:hAnsi="Arial Narrow"/>
                      <w:sz w:val="20"/>
                      <w:szCs w:val="20"/>
                    </w:rPr>
                  </w:pPr>
                  <w:r w:rsidRPr="004E1F15">
                    <w:rPr>
                      <w:rFonts w:ascii="Arial Narrow" w:hAnsi="Arial Narrow"/>
                      <w:sz w:val="20"/>
                      <w:szCs w:val="20"/>
                    </w:rPr>
                    <w:t>Всего</w:t>
                  </w:r>
                </w:p>
              </w:tc>
              <w:tc>
                <w:tcPr>
                  <w:tcW w:w="1701" w:type="dxa"/>
                  <w:tcBorders>
                    <w:top w:val="single" w:sz="4" w:space="0" w:color="auto"/>
                    <w:left w:val="single" w:sz="4" w:space="0" w:color="auto"/>
                    <w:bottom w:val="single" w:sz="4" w:space="0" w:color="auto"/>
                    <w:right w:val="single" w:sz="4" w:space="0" w:color="auto"/>
                  </w:tcBorders>
                </w:tcPr>
                <w:p w:rsidR="00B07AB8" w:rsidRPr="004E1F15" w:rsidRDefault="00B07AB8" w:rsidP="00B40EE4">
                  <w:pPr>
                    <w:spacing w:after="0" w:line="240" w:lineRule="auto"/>
                    <w:ind w:left="152" w:right="137"/>
                    <w:rPr>
                      <w:rFonts w:ascii="Arial Narrow" w:hAnsi="Arial Narrow"/>
                      <w:sz w:val="20"/>
                      <w:szCs w:val="20"/>
                    </w:rPr>
                  </w:pPr>
                  <w:r w:rsidRPr="004E1F15">
                    <w:rPr>
                      <w:rFonts w:ascii="Arial Narrow" w:hAnsi="Arial Narrow"/>
                      <w:sz w:val="20"/>
                      <w:szCs w:val="20"/>
                    </w:rPr>
                    <w:t>596</w:t>
                  </w:r>
                </w:p>
              </w:tc>
              <w:tc>
                <w:tcPr>
                  <w:tcW w:w="2127" w:type="dxa"/>
                  <w:tcBorders>
                    <w:top w:val="single" w:sz="4" w:space="0" w:color="auto"/>
                    <w:left w:val="single" w:sz="4" w:space="0" w:color="auto"/>
                    <w:bottom w:val="single" w:sz="4" w:space="0" w:color="auto"/>
                    <w:right w:val="single" w:sz="4" w:space="0" w:color="auto"/>
                  </w:tcBorders>
                </w:tcPr>
                <w:p w:rsidR="00B07AB8" w:rsidRPr="004E1F15" w:rsidRDefault="00B07AB8" w:rsidP="00B40EE4">
                  <w:pPr>
                    <w:spacing w:after="0" w:line="240" w:lineRule="auto"/>
                    <w:ind w:left="152" w:right="137"/>
                    <w:rPr>
                      <w:rFonts w:ascii="Arial Narrow" w:hAnsi="Arial Narrow"/>
                      <w:sz w:val="20"/>
                      <w:szCs w:val="20"/>
                    </w:rPr>
                  </w:pPr>
                  <w:r w:rsidRPr="004E1F15">
                    <w:rPr>
                      <w:rFonts w:ascii="Arial Narrow" w:hAnsi="Arial Narrow"/>
                      <w:sz w:val="20"/>
                      <w:szCs w:val="20"/>
                    </w:rPr>
                    <w:t>588</w:t>
                  </w:r>
                </w:p>
              </w:tc>
              <w:tc>
                <w:tcPr>
                  <w:tcW w:w="2126" w:type="dxa"/>
                  <w:tcBorders>
                    <w:top w:val="single" w:sz="4" w:space="0" w:color="auto"/>
                    <w:left w:val="single" w:sz="4" w:space="0" w:color="auto"/>
                    <w:bottom w:val="single" w:sz="4" w:space="0" w:color="auto"/>
                    <w:right w:val="single" w:sz="4" w:space="0" w:color="auto"/>
                  </w:tcBorders>
                </w:tcPr>
                <w:p w:rsidR="00B07AB8" w:rsidRPr="004E1F15" w:rsidRDefault="00B07AB8" w:rsidP="00B40EE4">
                  <w:pPr>
                    <w:spacing w:after="0" w:line="240" w:lineRule="auto"/>
                    <w:ind w:left="152" w:right="137"/>
                    <w:rPr>
                      <w:rFonts w:ascii="Arial Narrow" w:hAnsi="Arial Narrow"/>
                      <w:sz w:val="20"/>
                      <w:szCs w:val="20"/>
                    </w:rPr>
                  </w:pPr>
                  <w:r w:rsidRPr="004E1F15">
                    <w:rPr>
                      <w:rFonts w:ascii="Arial Narrow" w:hAnsi="Arial Narrow"/>
                      <w:sz w:val="20"/>
                      <w:szCs w:val="20"/>
                    </w:rPr>
                    <w:t>98,6%</w:t>
                  </w:r>
                </w:p>
              </w:tc>
            </w:tr>
            <w:tr w:rsidR="00B07AB8" w:rsidRPr="004E1F15" w:rsidTr="00A64028">
              <w:tc>
                <w:tcPr>
                  <w:tcW w:w="2537" w:type="dxa"/>
                  <w:tcBorders>
                    <w:top w:val="single" w:sz="4" w:space="0" w:color="auto"/>
                    <w:left w:val="single" w:sz="4" w:space="0" w:color="auto"/>
                    <w:bottom w:val="single" w:sz="4" w:space="0" w:color="auto"/>
                    <w:right w:val="single" w:sz="4" w:space="0" w:color="auto"/>
                  </w:tcBorders>
                </w:tcPr>
                <w:p w:rsidR="00B07AB8" w:rsidRPr="004E1F15" w:rsidRDefault="00B07AB8" w:rsidP="00B40EE4">
                  <w:pPr>
                    <w:spacing w:after="0" w:line="240" w:lineRule="auto"/>
                    <w:ind w:left="152" w:right="137"/>
                    <w:rPr>
                      <w:rFonts w:ascii="Arial Narrow" w:hAnsi="Arial Narrow"/>
                      <w:sz w:val="20"/>
                      <w:szCs w:val="20"/>
                    </w:rPr>
                  </w:pPr>
                  <w:r w:rsidRPr="004E1F15">
                    <w:rPr>
                      <w:rFonts w:ascii="Arial Narrow" w:hAnsi="Arial Narrow"/>
                      <w:sz w:val="20"/>
                      <w:szCs w:val="20"/>
                    </w:rPr>
                    <w:t>Тарифов со снижением</w:t>
                  </w:r>
                </w:p>
              </w:tc>
              <w:tc>
                <w:tcPr>
                  <w:tcW w:w="1701" w:type="dxa"/>
                  <w:tcBorders>
                    <w:top w:val="single" w:sz="4" w:space="0" w:color="auto"/>
                    <w:left w:val="single" w:sz="4" w:space="0" w:color="auto"/>
                    <w:bottom w:val="single" w:sz="4" w:space="0" w:color="auto"/>
                    <w:right w:val="single" w:sz="4" w:space="0" w:color="auto"/>
                  </w:tcBorders>
                </w:tcPr>
                <w:p w:rsidR="00B07AB8" w:rsidRPr="004E1F15" w:rsidRDefault="00B07AB8" w:rsidP="00B40EE4">
                  <w:pPr>
                    <w:spacing w:after="0" w:line="240" w:lineRule="auto"/>
                    <w:ind w:left="152" w:right="137"/>
                    <w:rPr>
                      <w:rFonts w:ascii="Arial Narrow" w:hAnsi="Arial Narrow"/>
                      <w:sz w:val="20"/>
                      <w:szCs w:val="20"/>
                    </w:rPr>
                  </w:pPr>
                  <w:r w:rsidRPr="004E1F15">
                    <w:rPr>
                      <w:rFonts w:ascii="Arial Narrow" w:hAnsi="Arial Narrow"/>
                      <w:sz w:val="20"/>
                      <w:szCs w:val="20"/>
                    </w:rPr>
                    <w:t>С 01.01.2015 – 16</w:t>
                  </w:r>
                </w:p>
              </w:tc>
              <w:tc>
                <w:tcPr>
                  <w:tcW w:w="2127" w:type="dxa"/>
                  <w:tcBorders>
                    <w:top w:val="single" w:sz="4" w:space="0" w:color="auto"/>
                    <w:left w:val="single" w:sz="4" w:space="0" w:color="auto"/>
                    <w:bottom w:val="single" w:sz="4" w:space="0" w:color="auto"/>
                    <w:right w:val="single" w:sz="4" w:space="0" w:color="auto"/>
                  </w:tcBorders>
                </w:tcPr>
                <w:p w:rsidR="00B07AB8" w:rsidRPr="004E1F15" w:rsidRDefault="00B07AB8" w:rsidP="00B40EE4">
                  <w:pPr>
                    <w:spacing w:after="0" w:line="240" w:lineRule="auto"/>
                    <w:ind w:left="152" w:right="137"/>
                    <w:rPr>
                      <w:rFonts w:ascii="Arial Narrow" w:hAnsi="Arial Narrow"/>
                      <w:sz w:val="20"/>
                      <w:szCs w:val="20"/>
                    </w:rPr>
                  </w:pPr>
                  <w:r w:rsidRPr="004E1F15">
                    <w:rPr>
                      <w:rFonts w:ascii="Arial Narrow" w:hAnsi="Arial Narrow"/>
                      <w:sz w:val="20"/>
                      <w:szCs w:val="20"/>
                    </w:rPr>
                    <w:t>С 01.01.2016 – 6 (1%)</w:t>
                  </w:r>
                </w:p>
              </w:tc>
              <w:tc>
                <w:tcPr>
                  <w:tcW w:w="2126" w:type="dxa"/>
                  <w:tcBorders>
                    <w:top w:val="single" w:sz="4" w:space="0" w:color="auto"/>
                    <w:left w:val="single" w:sz="4" w:space="0" w:color="auto"/>
                    <w:bottom w:val="single" w:sz="4" w:space="0" w:color="auto"/>
                    <w:right w:val="single" w:sz="4" w:space="0" w:color="auto"/>
                  </w:tcBorders>
                </w:tcPr>
                <w:p w:rsidR="00B07AB8" w:rsidRPr="004E1F15" w:rsidRDefault="00B07AB8" w:rsidP="00B40EE4">
                  <w:pPr>
                    <w:spacing w:after="0" w:line="240" w:lineRule="auto"/>
                    <w:ind w:left="152" w:right="137"/>
                    <w:rPr>
                      <w:rFonts w:ascii="Arial Narrow" w:hAnsi="Arial Narrow"/>
                      <w:sz w:val="20"/>
                      <w:szCs w:val="20"/>
                    </w:rPr>
                  </w:pPr>
                  <w:r w:rsidRPr="004E1F15">
                    <w:rPr>
                      <w:rFonts w:ascii="Arial Narrow" w:hAnsi="Arial Narrow"/>
                      <w:sz w:val="20"/>
                      <w:szCs w:val="20"/>
                    </w:rPr>
                    <w:t>37,5%</w:t>
                  </w:r>
                </w:p>
              </w:tc>
            </w:tr>
            <w:tr w:rsidR="00B07AB8" w:rsidRPr="004E1F15" w:rsidTr="00A64028">
              <w:tc>
                <w:tcPr>
                  <w:tcW w:w="2537" w:type="dxa"/>
                  <w:tcBorders>
                    <w:top w:val="single" w:sz="4" w:space="0" w:color="auto"/>
                    <w:left w:val="single" w:sz="4" w:space="0" w:color="auto"/>
                    <w:bottom w:val="single" w:sz="4" w:space="0" w:color="auto"/>
                    <w:right w:val="single" w:sz="4" w:space="0" w:color="auto"/>
                  </w:tcBorders>
                </w:tcPr>
                <w:p w:rsidR="00B07AB8" w:rsidRPr="004E1F15" w:rsidRDefault="00B07AB8" w:rsidP="00B40EE4">
                  <w:pPr>
                    <w:spacing w:after="0" w:line="240" w:lineRule="auto"/>
                    <w:ind w:left="152" w:right="137"/>
                    <w:rPr>
                      <w:rFonts w:ascii="Arial Narrow" w:hAnsi="Arial Narrow"/>
                      <w:sz w:val="20"/>
                      <w:szCs w:val="20"/>
                    </w:rPr>
                  </w:pPr>
                  <w:r w:rsidRPr="004E1F15">
                    <w:rPr>
                      <w:rFonts w:ascii="Arial Narrow" w:hAnsi="Arial Narrow"/>
                      <w:sz w:val="20"/>
                      <w:szCs w:val="20"/>
                    </w:rPr>
                    <w:t>Тарифов на прежнем уровне</w:t>
                  </w:r>
                </w:p>
              </w:tc>
              <w:tc>
                <w:tcPr>
                  <w:tcW w:w="1701" w:type="dxa"/>
                  <w:tcBorders>
                    <w:top w:val="single" w:sz="4" w:space="0" w:color="auto"/>
                    <w:left w:val="single" w:sz="4" w:space="0" w:color="auto"/>
                    <w:bottom w:val="single" w:sz="4" w:space="0" w:color="auto"/>
                    <w:right w:val="single" w:sz="4" w:space="0" w:color="auto"/>
                  </w:tcBorders>
                </w:tcPr>
                <w:p w:rsidR="00B07AB8" w:rsidRPr="004E1F15" w:rsidRDefault="00B07AB8" w:rsidP="00B40EE4">
                  <w:pPr>
                    <w:spacing w:after="0" w:line="240" w:lineRule="auto"/>
                    <w:ind w:left="152" w:right="137"/>
                    <w:rPr>
                      <w:rFonts w:ascii="Arial Narrow" w:hAnsi="Arial Narrow"/>
                      <w:sz w:val="20"/>
                      <w:szCs w:val="20"/>
                    </w:rPr>
                  </w:pPr>
                  <w:r w:rsidRPr="004E1F15">
                    <w:rPr>
                      <w:rFonts w:ascii="Arial Narrow" w:hAnsi="Arial Narrow"/>
                      <w:sz w:val="20"/>
                      <w:szCs w:val="20"/>
                    </w:rPr>
                    <w:t>На уровне 01.07.2014 – 119</w:t>
                  </w:r>
                </w:p>
              </w:tc>
              <w:tc>
                <w:tcPr>
                  <w:tcW w:w="2127" w:type="dxa"/>
                  <w:tcBorders>
                    <w:top w:val="single" w:sz="4" w:space="0" w:color="auto"/>
                    <w:left w:val="single" w:sz="4" w:space="0" w:color="auto"/>
                    <w:bottom w:val="single" w:sz="4" w:space="0" w:color="auto"/>
                    <w:right w:val="single" w:sz="4" w:space="0" w:color="auto"/>
                  </w:tcBorders>
                </w:tcPr>
                <w:p w:rsidR="00B07AB8" w:rsidRPr="004E1F15" w:rsidRDefault="00B07AB8" w:rsidP="00B40EE4">
                  <w:pPr>
                    <w:spacing w:after="0" w:line="240" w:lineRule="auto"/>
                    <w:ind w:left="152" w:right="137"/>
                    <w:rPr>
                      <w:rFonts w:ascii="Arial Narrow" w:hAnsi="Arial Narrow"/>
                      <w:sz w:val="20"/>
                      <w:szCs w:val="20"/>
                    </w:rPr>
                  </w:pPr>
                  <w:r w:rsidRPr="004E1F15">
                    <w:rPr>
                      <w:rFonts w:ascii="Arial Narrow" w:hAnsi="Arial Narrow"/>
                      <w:sz w:val="20"/>
                      <w:szCs w:val="20"/>
                    </w:rPr>
                    <w:t>С 01.07.2016 – 77 (12,8%)</w:t>
                  </w:r>
                </w:p>
              </w:tc>
              <w:tc>
                <w:tcPr>
                  <w:tcW w:w="2126" w:type="dxa"/>
                  <w:tcBorders>
                    <w:top w:val="single" w:sz="4" w:space="0" w:color="auto"/>
                    <w:left w:val="single" w:sz="4" w:space="0" w:color="auto"/>
                    <w:bottom w:val="single" w:sz="4" w:space="0" w:color="auto"/>
                    <w:right w:val="single" w:sz="4" w:space="0" w:color="auto"/>
                  </w:tcBorders>
                </w:tcPr>
                <w:p w:rsidR="00B07AB8" w:rsidRPr="004E1F15" w:rsidRDefault="00B07AB8" w:rsidP="00B40EE4">
                  <w:pPr>
                    <w:spacing w:after="0" w:line="240" w:lineRule="auto"/>
                    <w:ind w:left="152" w:right="137"/>
                    <w:rPr>
                      <w:rFonts w:ascii="Arial Narrow" w:hAnsi="Arial Narrow"/>
                      <w:sz w:val="20"/>
                      <w:szCs w:val="20"/>
                    </w:rPr>
                  </w:pPr>
                  <w:r w:rsidRPr="004E1F15">
                    <w:rPr>
                      <w:rFonts w:ascii="Arial Narrow" w:hAnsi="Arial Narrow"/>
                      <w:sz w:val="20"/>
                      <w:szCs w:val="20"/>
                    </w:rPr>
                    <w:t>64,7%</w:t>
                  </w:r>
                </w:p>
              </w:tc>
            </w:tr>
            <w:tr w:rsidR="00B07AB8" w:rsidRPr="004E1F15" w:rsidTr="00A64028">
              <w:tc>
                <w:tcPr>
                  <w:tcW w:w="2537" w:type="dxa"/>
                  <w:tcBorders>
                    <w:top w:val="single" w:sz="4" w:space="0" w:color="auto"/>
                    <w:left w:val="single" w:sz="4" w:space="0" w:color="auto"/>
                    <w:bottom w:val="single" w:sz="4" w:space="0" w:color="auto"/>
                    <w:right w:val="single" w:sz="4" w:space="0" w:color="auto"/>
                  </w:tcBorders>
                </w:tcPr>
                <w:p w:rsidR="00B07AB8" w:rsidRPr="004E1F15" w:rsidRDefault="00B07AB8" w:rsidP="00B40EE4">
                  <w:pPr>
                    <w:spacing w:after="0" w:line="240" w:lineRule="auto"/>
                    <w:ind w:left="152" w:right="137"/>
                    <w:rPr>
                      <w:rFonts w:ascii="Arial Narrow" w:hAnsi="Arial Narrow"/>
                      <w:sz w:val="20"/>
                      <w:szCs w:val="20"/>
                    </w:rPr>
                  </w:pPr>
                  <w:r w:rsidRPr="004E1F15">
                    <w:rPr>
                      <w:rFonts w:ascii="Arial Narrow" w:hAnsi="Arial Narrow"/>
                      <w:sz w:val="20"/>
                      <w:szCs w:val="20"/>
                    </w:rPr>
                    <w:t>Тарифов с ростом</w:t>
                  </w:r>
                </w:p>
              </w:tc>
              <w:tc>
                <w:tcPr>
                  <w:tcW w:w="1701" w:type="dxa"/>
                  <w:tcBorders>
                    <w:top w:val="single" w:sz="4" w:space="0" w:color="auto"/>
                    <w:left w:val="single" w:sz="4" w:space="0" w:color="auto"/>
                    <w:bottom w:val="single" w:sz="4" w:space="0" w:color="auto"/>
                    <w:right w:val="single" w:sz="4" w:space="0" w:color="auto"/>
                  </w:tcBorders>
                </w:tcPr>
                <w:p w:rsidR="00B07AB8" w:rsidRPr="004E1F15" w:rsidRDefault="00B07AB8" w:rsidP="00B40EE4">
                  <w:pPr>
                    <w:spacing w:after="0" w:line="240" w:lineRule="auto"/>
                    <w:ind w:left="152" w:right="137"/>
                    <w:rPr>
                      <w:rFonts w:ascii="Arial Narrow" w:hAnsi="Arial Narrow"/>
                      <w:sz w:val="20"/>
                      <w:szCs w:val="20"/>
                    </w:rPr>
                  </w:pPr>
                  <w:r w:rsidRPr="004E1F15">
                    <w:rPr>
                      <w:rFonts w:ascii="Arial Narrow" w:hAnsi="Arial Narrow"/>
                      <w:sz w:val="20"/>
                      <w:szCs w:val="20"/>
                    </w:rPr>
                    <w:t>С 01.07.2015 – 461</w:t>
                  </w:r>
                </w:p>
              </w:tc>
              <w:tc>
                <w:tcPr>
                  <w:tcW w:w="2127" w:type="dxa"/>
                  <w:tcBorders>
                    <w:top w:val="single" w:sz="4" w:space="0" w:color="auto"/>
                    <w:left w:val="single" w:sz="4" w:space="0" w:color="auto"/>
                    <w:bottom w:val="single" w:sz="4" w:space="0" w:color="auto"/>
                    <w:right w:val="single" w:sz="4" w:space="0" w:color="auto"/>
                  </w:tcBorders>
                </w:tcPr>
                <w:p w:rsidR="00B07AB8" w:rsidRPr="004E1F15" w:rsidRDefault="00B07AB8" w:rsidP="00B40EE4">
                  <w:pPr>
                    <w:spacing w:after="0" w:line="240" w:lineRule="auto"/>
                    <w:ind w:left="152" w:right="137"/>
                    <w:rPr>
                      <w:rFonts w:ascii="Arial Narrow" w:hAnsi="Arial Narrow"/>
                      <w:sz w:val="20"/>
                      <w:szCs w:val="20"/>
                    </w:rPr>
                  </w:pPr>
                  <w:r w:rsidRPr="004E1F15">
                    <w:rPr>
                      <w:rFonts w:ascii="Arial Narrow" w:hAnsi="Arial Narrow"/>
                      <w:sz w:val="20"/>
                      <w:szCs w:val="20"/>
                    </w:rPr>
                    <w:t>С 01.07.2016 – 520 (86,6%)</w:t>
                  </w:r>
                </w:p>
              </w:tc>
              <w:tc>
                <w:tcPr>
                  <w:tcW w:w="2126" w:type="dxa"/>
                  <w:tcBorders>
                    <w:top w:val="single" w:sz="4" w:space="0" w:color="auto"/>
                    <w:left w:val="single" w:sz="4" w:space="0" w:color="auto"/>
                    <w:bottom w:val="single" w:sz="4" w:space="0" w:color="auto"/>
                    <w:right w:val="single" w:sz="4" w:space="0" w:color="auto"/>
                  </w:tcBorders>
                </w:tcPr>
                <w:p w:rsidR="00B07AB8" w:rsidRPr="004E1F15" w:rsidRDefault="00B07AB8" w:rsidP="00B40EE4">
                  <w:pPr>
                    <w:spacing w:after="0" w:line="240" w:lineRule="auto"/>
                    <w:ind w:left="152" w:right="137"/>
                    <w:rPr>
                      <w:rFonts w:ascii="Arial Narrow" w:hAnsi="Arial Narrow"/>
                      <w:sz w:val="20"/>
                      <w:szCs w:val="20"/>
                    </w:rPr>
                  </w:pPr>
                  <w:r w:rsidRPr="004E1F15">
                    <w:rPr>
                      <w:rFonts w:ascii="Arial Narrow" w:hAnsi="Arial Narrow"/>
                      <w:sz w:val="20"/>
                      <w:szCs w:val="20"/>
                    </w:rPr>
                    <w:t>112,8%</w:t>
                  </w:r>
                </w:p>
              </w:tc>
            </w:tr>
          </w:tbl>
          <w:p w:rsidR="00B07AB8" w:rsidRPr="004E1F15" w:rsidRDefault="00B07AB8" w:rsidP="004E1F15">
            <w:pPr>
              <w:spacing w:after="0" w:line="240" w:lineRule="auto"/>
              <w:ind w:left="152" w:right="137"/>
              <w:jc w:val="both"/>
              <w:rPr>
                <w:rFonts w:ascii="Arial Narrow" w:hAnsi="Arial Narrow"/>
                <w:sz w:val="20"/>
                <w:szCs w:val="20"/>
              </w:rPr>
            </w:pPr>
            <w:r w:rsidRPr="004E1F15" w:rsidDel="005B00CA">
              <w:rPr>
                <w:rFonts w:ascii="Arial Narrow" w:hAnsi="Arial Narrow"/>
                <w:sz w:val="20"/>
                <w:szCs w:val="20"/>
              </w:rPr>
              <w:t>Тарифы на водоснабжение и водоотведение меняются в 2015 и 2016 гг. с 1 июля. Динамика изменения тарифов на 01.01.2016 по сравнению с аналогичным периодом прошлого года (АППГ) составляет 112,15</w:t>
            </w:r>
            <w:r w:rsidRPr="004E1F15">
              <w:rPr>
                <w:rFonts w:ascii="Arial Narrow" w:hAnsi="Arial Narrow"/>
                <w:sz w:val="20"/>
                <w:szCs w:val="20"/>
              </w:rPr>
              <w:t> </w:t>
            </w:r>
            <w:r w:rsidRPr="004E1F15" w:rsidDel="005B00CA">
              <w:rPr>
                <w:rFonts w:ascii="Arial Narrow" w:hAnsi="Arial Narrow"/>
                <w:sz w:val="20"/>
                <w:szCs w:val="20"/>
              </w:rPr>
              <w:t>%, на 01.07.2016 г. – 103,55</w:t>
            </w:r>
            <w:r w:rsidRPr="004E1F15">
              <w:rPr>
                <w:rFonts w:ascii="Arial Narrow" w:hAnsi="Arial Narrow"/>
                <w:sz w:val="20"/>
                <w:szCs w:val="20"/>
              </w:rPr>
              <w:t xml:space="preserve"> </w:t>
            </w:r>
            <w:r w:rsidRPr="004E1F15" w:rsidDel="005B00CA">
              <w:rPr>
                <w:rFonts w:ascii="Arial Narrow" w:hAnsi="Arial Narrow"/>
                <w:sz w:val="20"/>
                <w:szCs w:val="20"/>
              </w:rPr>
              <w:t>%.</w:t>
            </w:r>
            <w:r w:rsidRPr="004E1F15">
              <w:rPr>
                <w:rFonts w:ascii="Arial Narrow" w:hAnsi="Arial Narrow"/>
                <w:sz w:val="20"/>
                <w:szCs w:val="20"/>
              </w:rPr>
              <w:t xml:space="preserve"> </w:t>
            </w:r>
            <w:r w:rsidRPr="004E1F15">
              <w:rPr>
                <w:rFonts w:ascii="Arial Narrow" w:hAnsi="Arial Narrow"/>
                <w:b/>
                <w:sz w:val="20"/>
                <w:szCs w:val="20"/>
              </w:rPr>
              <w:t xml:space="preserve">Информация о ценах (тарифах) на услуги водоснабжения и водоотведения для населения и приравненных к нему категорий потребителей на территории Новосибирской области (источник: Анализ данных об уровнях тарифов за период 2014–2016 годы в разрезе рынков присутствия субъектов естественных монополий, </w:t>
            </w:r>
            <w:hyperlink r:id="rId19" w:history="1">
              <w:r w:rsidRPr="004E1F15">
                <w:rPr>
                  <w:rFonts w:ascii="Arial Narrow" w:hAnsi="Arial Narrow"/>
                  <w:sz w:val="20"/>
                  <w:szCs w:val="20"/>
                </w:rPr>
                <w:t>http://tarif.nso.ru/page/60</w:t>
              </w:r>
            </w:hyperlink>
            <w:r w:rsidRPr="004E1F15">
              <w:rPr>
                <w:rFonts w:ascii="Arial Narrow" w:hAnsi="Arial Narrow"/>
                <w:sz w:val="20"/>
                <w:szCs w:val="20"/>
              </w:rPr>
              <w:t>)</w:t>
            </w:r>
          </w:p>
          <w:tbl>
            <w:tblPr>
              <w:tblW w:w="8627" w:type="dxa"/>
              <w:tblInd w:w="142" w:type="dxa"/>
              <w:tblLayout w:type="fixed"/>
              <w:tblCellMar>
                <w:left w:w="0" w:type="dxa"/>
                <w:right w:w="0" w:type="dxa"/>
              </w:tblCellMar>
              <w:tblLook w:val="04A0"/>
            </w:tblPr>
            <w:tblGrid>
              <w:gridCol w:w="3823"/>
              <w:gridCol w:w="1270"/>
              <w:gridCol w:w="1134"/>
              <w:gridCol w:w="1266"/>
              <w:gridCol w:w="1134"/>
            </w:tblGrid>
            <w:tr w:rsidR="00B07AB8" w:rsidRPr="004E1F15" w:rsidTr="00A64028">
              <w:tc>
                <w:tcPr>
                  <w:tcW w:w="382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7AB8" w:rsidRPr="004E1F15" w:rsidRDefault="00B07AB8" w:rsidP="00B40EE4">
                  <w:pPr>
                    <w:spacing w:after="0" w:line="240" w:lineRule="auto"/>
                    <w:ind w:left="152" w:right="137"/>
                    <w:rPr>
                      <w:rFonts w:ascii="Arial Narrow" w:hAnsi="Arial Narrow"/>
                      <w:sz w:val="20"/>
                      <w:szCs w:val="20"/>
                    </w:rPr>
                  </w:pPr>
                  <w:r w:rsidRPr="004E1F15">
                    <w:rPr>
                      <w:rFonts w:ascii="Arial Narrow" w:hAnsi="Arial Narrow"/>
                      <w:sz w:val="20"/>
                      <w:szCs w:val="20"/>
                    </w:rPr>
                    <w:t> </w:t>
                  </w:r>
                </w:p>
              </w:tc>
              <w:tc>
                <w:tcPr>
                  <w:tcW w:w="1270" w:type="dxa"/>
                  <w:tcBorders>
                    <w:top w:val="single" w:sz="4" w:space="0" w:color="auto"/>
                    <w:left w:val="nil"/>
                    <w:bottom w:val="single" w:sz="4" w:space="0" w:color="auto"/>
                    <w:right w:val="single" w:sz="4" w:space="0" w:color="auto"/>
                  </w:tcBorders>
                  <w:shd w:val="clear" w:color="auto" w:fill="auto"/>
                  <w:vAlign w:val="bottom"/>
                  <w:hideMark/>
                </w:tcPr>
                <w:p w:rsidR="00B07AB8" w:rsidRPr="004E1F15" w:rsidRDefault="00B07AB8" w:rsidP="00B40EE4">
                  <w:pPr>
                    <w:spacing w:after="0" w:line="240" w:lineRule="auto"/>
                    <w:ind w:left="152" w:right="137"/>
                    <w:rPr>
                      <w:rFonts w:ascii="Arial Narrow" w:hAnsi="Arial Narrow"/>
                      <w:sz w:val="20"/>
                      <w:szCs w:val="20"/>
                    </w:rPr>
                  </w:pPr>
                  <w:r w:rsidRPr="004E1F15">
                    <w:rPr>
                      <w:rFonts w:ascii="Arial Narrow" w:hAnsi="Arial Narrow"/>
                      <w:sz w:val="20"/>
                      <w:szCs w:val="20"/>
                    </w:rPr>
                    <w:t>тариф с НДС 01.07.2015*</w:t>
                  </w:r>
                </w:p>
              </w:tc>
              <w:tc>
                <w:tcPr>
                  <w:tcW w:w="1134" w:type="dxa"/>
                  <w:tcBorders>
                    <w:top w:val="single" w:sz="4" w:space="0" w:color="auto"/>
                    <w:left w:val="nil"/>
                    <w:bottom w:val="single" w:sz="4" w:space="0" w:color="auto"/>
                    <w:right w:val="single" w:sz="4" w:space="0" w:color="auto"/>
                  </w:tcBorders>
                  <w:shd w:val="clear" w:color="auto" w:fill="auto"/>
                  <w:vAlign w:val="bottom"/>
                  <w:hideMark/>
                </w:tcPr>
                <w:p w:rsidR="00B07AB8" w:rsidRPr="004E1F15" w:rsidRDefault="00B07AB8" w:rsidP="00B40EE4">
                  <w:pPr>
                    <w:spacing w:after="0" w:line="240" w:lineRule="auto"/>
                    <w:ind w:left="152" w:right="137"/>
                    <w:rPr>
                      <w:rFonts w:ascii="Arial Narrow" w:hAnsi="Arial Narrow"/>
                      <w:sz w:val="20"/>
                      <w:szCs w:val="20"/>
                    </w:rPr>
                  </w:pPr>
                  <w:r w:rsidRPr="004E1F15">
                    <w:rPr>
                      <w:rFonts w:ascii="Arial Narrow" w:hAnsi="Arial Narrow"/>
                      <w:sz w:val="20"/>
                      <w:szCs w:val="20"/>
                    </w:rPr>
                    <w:t xml:space="preserve">темп роста,  % </w:t>
                  </w:r>
                </w:p>
              </w:tc>
              <w:tc>
                <w:tcPr>
                  <w:tcW w:w="1266" w:type="dxa"/>
                  <w:tcBorders>
                    <w:top w:val="single" w:sz="4" w:space="0" w:color="auto"/>
                    <w:left w:val="nil"/>
                    <w:bottom w:val="single" w:sz="4" w:space="0" w:color="auto"/>
                    <w:right w:val="single" w:sz="4" w:space="0" w:color="auto"/>
                  </w:tcBorders>
                  <w:shd w:val="clear" w:color="auto" w:fill="auto"/>
                  <w:vAlign w:val="bottom"/>
                  <w:hideMark/>
                </w:tcPr>
                <w:p w:rsidR="00B07AB8" w:rsidRPr="004E1F15" w:rsidRDefault="00B07AB8" w:rsidP="00B40EE4">
                  <w:pPr>
                    <w:spacing w:after="0" w:line="240" w:lineRule="auto"/>
                    <w:ind w:left="152" w:right="137"/>
                    <w:rPr>
                      <w:rFonts w:ascii="Arial Narrow" w:hAnsi="Arial Narrow"/>
                      <w:sz w:val="20"/>
                      <w:szCs w:val="20"/>
                    </w:rPr>
                  </w:pPr>
                  <w:r w:rsidRPr="004E1F15">
                    <w:rPr>
                      <w:rFonts w:ascii="Arial Narrow" w:hAnsi="Arial Narrow"/>
                      <w:sz w:val="20"/>
                      <w:szCs w:val="20"/>
                    </w:rPr>
                    <w:t>тариф с НДС 01.07.2016*</w:t>
                  </w:r>
                </w:p>
              </w:tc>
              <w:tc>
                <w:tcPr>
                  <w:tcW w:w="1134" w:type="dxa"/>
                  <w:tcBorders>
                    <w:top w:val="single" w:sz="4" w:space="0" w:color="auto"/>
                    <w:left w:val="nil"/>
                    <w:bottom w:val="single" w:sz="4" w:space="0" w:color="auto"/>
                    <w:right w:val="single" w:sz="4" w:space="0" w:color="auto"/>
                  </w:tcBorders>
                  <w:shd w:val="clear" w:color="auto" w:fill="auto"/>
                  <w:vAlign w:val="bottom"/>
                  <w:hideMark/>
                </w:tcPr>
                <w:p w:rsidR="00B07AB8" w:rsidRPr="004E1F15" w:rsidRDefault="00B07AB8" w:rsidP="00B40EE4">
                  <w:pPr>
                    <w:spacing w:after="0" w:line="240" w:lineRule="auto"/>
                    <w:ind w:left="152" w:right="137"/>
                    <w:rPr>
                      <w:rFonts w:ascii="Arial Narrow" w:hAnsi="Arial Narrow"/>
                      <w:sz w:val="20"/>
                      <w:szCs w:val="20"/>
                    </w:rPr>
                  </w:pPr>
                  <w:r w:rsidRPr="004E1F15">
                    <w:rPr>
                      <w:rFonts w:ascii="Arial Narrow" w:hAnsi="Arial Narrow"/>
                      <w:sz w:val="20"/>
                      <w:szCs w:val="20"/>
                    </w:rPr>
                    <w:t xml:space="preserve">темп роста,  % </w:t>
                  </w:r>
                </w:p>
              </w:tc>
            </w:tr>
            <w:tr w:rsidR="00B07AB8" w:rsidRPr="004E1F15" w:rsidTr="00A64028">
              <w:tc>
                <w:tcPr>
                  <w:tcW w:w="3823" w:type="dxa"/>
                  <w:tcBorders>
                    <w:top w:val="nil"/>
                    <w:left w:val="single" w:sz="4" w:space="0" w:color="auto"/>
                    <w:bottom w:val="single" w:sz="4" w:space="0" w:color="auto"/>
                    <w:right w:val="single" w:sz="4" w:space="0" w:color="auto"/>
                  </w:tcBorders>
                  <w:shd w:val="clear" w:color="auto" w:fill="auto"/>
                  <w:noWrap/>
                  <w:vAlign w:val="bottom"/>
                  <w:hideMark/>
                </w:tcPr>
                <w:p w:rsidR="00B07AB8" w:rsidRPr="004E1F15" w:rsidRDefault="00B07AB8" w:rsidP="00B40EE4">
                  <w:pPr>
                    <w:spacing w:after="0" w:line="240" w:lineRule="auto"/>
                    <w:ind w:left="152" w:right="137"/>
                    <w:rPr>
                      <w:rFonts w:ascii="Arial Narrow" w:hAnsi="Arial Narrow"/>
                      <w:bCs/>
                      <w:sz w:val="20"/>
                      <w:szCs w:val="20"/>
                    </w:rPr>
                  </w:pPr>
                  <w:r w:rsidRPr="004E1F15">
                    <w:rPr>
                      <w:rFonts w:ascii="Arial Narrow" w:hAnsi="Arial Narrow"/>
                      <w:bCs/>
                      <w:sz w:val="20"/>
                      <w:szCs w:val="20"/>
                    </w:rPr>
                    <w:t>Холодное водоснабжение (руб. /м</w:t>
                  </w:r>
                  <w:r w:rsidRPr="004E1F15">
                    <w:rPr>
                      <w:rFonts w:ascii="Arial Narrow" w:hAnsi="Arial Narrow"/>
                      <w:bCs/>
                      <w:sz w:val="20"/>
                      <w:szCs w:val="20"/>
                      <w:vertAlign w:val="superscript"/>
                    </w:rPr>
                    <w:t>3</w:t>
                  </w:r>
                  <w:r w:rsidRPr="004E1F15">
                    <w:rPr>
                      <w:rFonts w:ascii="Arial Narrow" w:hAnsi="Arial Narrow"/>
                      <w:bCs/>
                      <w:sz w:val="20"/>
                      <w:szCs w:val="20"/>
                    </w:rPr>
                    <w:t>)</w:t>
                  </w:r>
                </w:p>
              </w:tc>
              <w:tc>
                <w:tcPr>
                  <w:tcW w:w="1270" w:type="dxa"/>
                  <w:tcBorders>
                    <w:top w:val="nil"/>
                    <w:left w:val="nil"/>
                    <w:bottom w:val="single" w:sz="4" w:space="0" w:color="auto"/>
                    <w:right w:val="single" w:sz="4" w:space="0" w:color="auto"/>
                  </w:tcBorders>
                  <w:shd w:val="clear" w:color="auto" w:fill="auto"/>
                  <w:noWrap/>
                  <w:vAlign w:val="bottom"/>
                  <w:hideMark/>
                </w:tcPr>
                <w:p w:rsidR="00B07AB8" w:rsidRPr="004E1F15" w:rsidRDefault="00B07AB8" w:rsidP="00B40EE4">
                  <w:pPr>
                    <w:spacing w:after="0" w:line="240" w:lineRule="auto"/>
                    <w:ind w:left="152" w:right="137"/>
                    <w:rPr>
                      <w:rFonts w:ascii="Arial Narrow" w:hAnsi="Arial Narrow"/>
                      <w:sz w:val="20"/>
                      <w:szCs w:val="20"/>
                    </w:rPr>
                  </w:pPr>
                  <w:r w:rsidRPr="004E1F15">
                    <w:rPr>
                      <w:rFonts w:ascii="Arial Narrow" w:hAnsi="Arial Narrow"/>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B07AB8" w:rsidRPr="004E1F15" w:rsidRDefault="00B07AB8" w:rsidP="00B40EE4">
                  <w:pPr>
                    <w:spacing w:after="0" w:line="240" w:lineRule="auto"/>
                    <w:ind w:left="152" w:right="137"/>
                    <w:rPr>
                      <w:rFonts w:ascii="Arial Narrow" w:hAnsi="Arial Narrow"/>
                      <w:sz w:val="20"/>
                      <w:szCs w:val="20"/>
                    </w:rPr>
                  </w:pPr>
                  <w:r w:rsidRPr="004E1F15">
                    <w:rPr>
                      <w:rFonts w:ascii="Arial Narrow" w:hAnsi="Arial Narrow"/>
                      <w:sz w:val="20"/>
                      <w:szCs w:val="20"/>
                    </w:rPr>
                    <w:t> </w:t>
                  </w:r>
                </w:p>
              </w:tc>
              <w:tc>
                <w:tcPr>
                  <w:tcW w:w="1266" w:type="dxa"/>
                  <w:tcBorders>
                    <w:top w:val="nil"/>
                    <w:left w:val="nil"/>
                    <w:bottom w:val="single" w:sz="4" w:space="0" w:color="auto"/>
                    <w:right w:val="single" w:sz="4" w:space="0" w:color="auto"/>
                  </w:tcBorders>
                  <w:shd w:val="clear" w:color="auto" w:fill="auto"/>
                  <w:noWrap/>
                  <w:vAlign w:val="bottom"/>
                  <w:hideMark/>
                </w:tcPr>
                <w:p w:rsidR="00B07AB8" w:rsidRPr="004E1F15" w:rsidRDefault="00B07AB8" w:rsidP="00B40EE4">
                  <w:pPr>
                    <w:spacing w:after="0" w:line="240" w:lineRule="auto"/>
                    <w:ind w:left="152" w:right="137"/>
                    <w:rPr>
                      <w:rFonts w:ascii="Arial Narrow" w:hAnsi="Arial Narrow"/>
                      <w:sz w:val="20"/>
                      <w:szCs w:val="20"/>
                    </w:rPr>
                  </w:pPr>
                  <w:r w:rsidRPr="004E1F15">
                    <w:rPr>
                      <w:rFonts w:ascii="Arial Narrow" w:hAnsi="Arial Narrow"/>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B07AB8" w:rsidRPr="004E1F15" w:rsidRDefault="00B07AB8" w:rsidP="00B40EE4">
                  <w:pPr>
                    <w:spacing w:after="0" w:line="240" w:lineRule="auto"/>
                    <w:ind w:left="152" w:right="137"/>
                    <w:rPr>
                      <w:rFonts w:ascii="Arial Narrow" w:hAnsi="Arial Narrow"/>
                      <w:sz w:val="20"/>
                      <w:szCs w:val="20"/>
                    </w:rPr>
                  </w:pPr>
                  <w:r w:rsidRPr="004E1F15">
                    <w:rPr>
                      <w:rFonts w:ascii="Arial Narrow" w:hAnsi="Arial Narrow"/>
                      <w:sz w:val="20"/>
                      <w:szCs w:val="20"/>
                    </w:rPr>
                    <w:t> </w:t>
                  </w:r>
                </w:p>
              </w:tc>
            </w:tr>
            <w:tr w:rsidR="00B07AB8" w:rsidRPr="004E1F15" w:rsidTr="00A64028">
              <w:tc>
                <w:tcPr>
                  <w:tcW w:w="3823" w:type="dxa"/>
                  <w:tcBorders>
                    <w:top w:val="nil"/>
                    <w:left w:val="single" w:sz="4" w:space="0" w:color="auto"/>
                    <w:bottom w:val="single" w:sz="4" w:space="0" w:color="auto"/>
                    <w:right w:val="single" w:sz="4" w:space="0" w:color="auto"/>
                  </w:tcBorders>
                  <w:shd w:val="clear" w:color="auto" w:fill="auto"/>
                  <w:vAlign w:val="bottom"/>
                  <w:hideMark/>
                </w:tcPr>
                <w:p w:rsidR="00B07AB8" w:rsidRPr="004E1F15" w:rsidRDefault="00B07AB8" w:rsidP="00B40EE4">
                  <w:pPr>
                    <w:spacing w:after="0" w:line="240" w:lineRule="auto"/>
                    <w:ind w:left="152" w:right="137"/>
                    <w:rPr>
                      <w:rFonts w:ascii="Arial Narrow" w:hAnsi="Arial Narrow"/>
                      <w:sz w:val="20"/>
                      <w:szCs w:val="20"/>
                    </w:rPr>
                  </w:pPr>
                  <w:r w:rsidRPr="004E1F15">
                    <w:rPr>
                      <w:rFonts w:ascii="Arial Narrow" w:hAnsi="Arial Narrow"/>
                      <w:sz w:val="20"/>
                      <w:szCs w:val="20"/>
                    </w:rPr>
                    <w:t>средневзвешенный тариф по Новосибирской области</w:t>
                  </w:r>
                </w:p>
              </w:tc>
              <w:tc>
                <w:tcPr>
                  <w:tcW w:w="1270" w:type="dxa"/>
                  <w:tcBorders>
                    <w:top w:val="nil"/>
                    <w:left w:val="nil"/>
                    <w:bottom w:val="single" w:sz="4" w:space="0" w:color="auto"/>
                    <w:right w:val="single" w:sz="4" w:space="0" w:color="auto"/>
                  </w:tcBorders>
                  <w:shd w:val="clear" w:color="auto" w:fill="auto"/>
                  <w:noWrap/>
                  <w:vAlign w:val="bottom"/>
                  <w:hideMark/>
                </w:tcPr>
                <w:p w:rsidR="00B07AB8" w:rsidRPr="004E1F15" w:rsidRDefault="00B07AB8" w:rsidP="00B40EE4">
                  <w:pPr>
                    <w:spacing w:after="0" w:line="240" w:lineRule="auto"/>
                    <w:ind w:left="152" w:right="137"/>
                    <w:rPr>
                      <w:rFonts w:ascii="Arial Narrow" w:hAnsi="Arial Narrow"/>
                      <w:sz w:val="20"/>
                      <w:szCs w:val="20"/>
                    </w:rPr>
                  </w:pPr>
                  <w:r w:rsidRPr="004E1F15">
                    <w:rPr>
                      <w:rFonts w:ascii="Arial Narrow" w:hAnsi="Arial Narrow"/>
                      <w:sz w:val="20"/>
                      <w:szCs w:val="20"/>
                    </w:rPr>
                    <w:t>19,63</w:t>
                  </w:r>
                </w:p>
              </w:tc>
              <w:tc>
                <w:tcPr>
                  <w:tcW w:w="1134" w:type="dxa"/>
                  <w:tcBorders>
                    <w:top w:val="nil"/>
                    <w:left w:val="nil"/>
                    <w:bottom w:val="single" w:sz="4" w:space="0" w:color="auto"/>
                    <w:right w:val="single" w:sz="4" w:space="0" w:color="auto"/>
                  </w:tcBorders>
                  <w:shd w:val="clear" w:color="auto" w:fill="auto"/>
                  <w:noWrap/>
                  <w:vAlign w:val="bottom"/>
                  <w:hideMark/>
                </w:tcPr>
                <w:p w:rsidR="00B07AB8" w:rsidRPr="004E1F15" w:rsidRDefault="00B07AB8" w:rsidP="00B40EE4">
                  <w:pPr>
                    <w:spacing w:after="0" w:line="240" w:lineRule="auto"/>
                    <w:ind w:left="152" w:right="137"/>
                    <w:rPr>
                      <w:rFonts w:ascii="Arial Narrow" w:hAnsi="Arial Narrow"/>
                      <w:sz w:val="20"/>
                      <w:szCs w:val="20"/>
                    </w:rPr>
                  </w:pPr>
                  <w:r w:rsidRPr="004E1F15">
                    <w:rPr>
                      <w:rFonts w:ascii="Arial Narrow" w:hAnsi="Arial Narrow"/>
                      <w:sz w:val="20"/>
                      <w:szCs w:val="20"/>
                    </w:rPr>
                    <w:t>108,04</w:t>
                  </w:r>
                </w:p>
              </w:tc>
              <w:tc>
                <w:tcPr>
                  <w:tcW w:w="1266" w:type="dxa"/>
                  <w:tcBorders>
                    <w:top w:val="nil"/>
                    <w:left w:val="nil"/>
                    <w:bottom w:val="single" w:sz="4" w:space="0" w:color="auto"/>
                    <w:right w:val="single" w:sz="4" w:space="0" w:color="auto"/>
                  </w:tcBorders>
                  <w:shd w:val="clear" w:color="auto" w:fill="auto"/>
                  <w:noWrap/>
                  <w:vAlign w:val="bottom"/>
                  <w:hideMark/>
                </w:tcPr>
                <w:p w:rsidR="00B07AB8" w:rsidRPr="004E1F15" w:rsidRDefault="00B07AB8" w:rsidP="00B40EE4">
                  <w:pPr>
                    <w:spacing w:after="0" w:line="240" w:lineRule="auto"/>
                    <w:ind w:left="152" w:right="137"/>
                    <w:rPr>
                      <w:rFonts w:ascii="Arial Narrow" w:hAnsi="Arial Narrow"/>
                      <w:sz w:val="20"/>
                      <w:szCs w:val="20"/>
                    </w:rPr>
                  </w:pPr>
                  <w:r w:rsidRPr="004E1F15">
                    <w:rPr>
                      <w:rFonts w:ascii="Arial Narrow" w:hAnsi="Arial Narrow"/>
                      <w:sz w:val="20"/>
                      <w:szCs w:val="20"/>
                    </w:rPr>
                    <w:t>20,26</w:t>
                  </w:r>
                </w:p>
              </w:tc>
              <w:tc>
                <w:tcPr>
                  <w:tcW w:w="1134" w:type="dxa"/>
                  <w:tcBorders>
                    <w:top w:val="nil"/>
                    <w:left w:val="nil"/>
                    <w:bottom w:val="single" w:sz="4" w:space="0" w:color="auto"/>
                    <w:right w:val="single" w:sz="4" w:space="0" w:color="auto"/>
                  </w:tcBorders>
                  <w:shd w:val="clear" w:color="auto" w:fill="auto"/>
                  <w:noWrap/>
                  <w:vAlign w:val="bottom"/>
                  <w:hideMark/>
                </w:tcPr>
                <w:p w:rsidR="00B07AB8" w:rsidRPr="004E1F15" w:rsidRDefault="00B07AB8" w:rsidP="00B40EE4">
                  <w:pPr>
                    <w:spacing w:after="0" w:line="240" w:lineRule="auto"/>
                    <w:ind w:left="152" w:right="137"/>
                    <w:rPr>
                      <w:rFonts w:ascii="Arial Narrow" w:hAnsi="Arial Narrow"/>
                      <w:sz w:val="20"/>
                      <w:szCs w:val="20"/>
                    </w:rPr>
                  </w:pPr>
                  <w:r w:rsidRPr="004E1F15">
                    <w:rPr>
                      <w:rFonts w:ascii="Arial Narrow" w:hAnsi="Arial Narrow"/>
                      <w:sz w:val="20"/>
                      <w:szCs w:val="20"/>
                    </w:rPr>
                    <w:t>103,21</w:t>
                  </w:r>
                </w:p>
              </w:tc>
            </w:tr>
            <w:tr w:rsidR="00B07AB8" w:rsidRPr="004E1F15" w:rsidTr="00A64028">
              <w:tc>
                <w:tcPr>
                  <w:tcW w:w="3823" w:type="dxa"/>
                  <w:tcBorders>
                    <w:top w:val="nil"/>
                    <w:left w:val="single" w:sz="4" w:space="0" w:color="auto"/>
                    <w:bottom w:val="single" w:sz="4" w:space="0" w:color="auto"/>
                    <w:right w:val="single" w:sz="4" w:space="0" w:color="auto"/>
                  </w:tcBorders>
                  <w:shd w:val="clear" w:color="auto" w:fill="auto"/>
                  <w:vAlign w:val="bottom"/>
                  <w:hideMark/>
                </w:tcPr>
                <w:p w:rsidR="00B07AB8" w:rsidRPr="004E1F15" w:rsidRDefault="00B07AB8" w:rsidP="00B40EE4">
                  <w:pPr>
                    <w:spacing w:after="0" w:line="240" w:lineRule="auto"/>
                    <w:ind w:left="152" w:right="137"/>
                    <w:rPr>
                      <w:rFonts w:ascii="Arial Narrow" w:hAnsi="Arial Narrow"/>
                      <w:b/>
                      <w:bCs/>
                      <w:sz w:val="20"/>
                      <w:szCs w:val="20"/>
                    </w:rPr>
                  </w:pPr>
                  <w:r w:rsidRPr="004E1F15">
                    <w:rPr>
                      <w:rFonts w:ascii="Arial Narrow" w:hAnsi="Arial Narrow"/>
                      <w:sz w:val="20"/>
                      <w:szCs w:val="20"/>
                    </w:rPr>
                    <w:t>В т. ч. в г. Новосибирске (МУП «Горводоканал»)</w:t>
                  </w:r>
                </w:p>
              </w:tc>
              <w:tc>
                <w:tcPr>
                  <w:tcW w:w="1270" w:type="dxa"/>
                  <w:tcBorders>
                    <w:top w:val="nil"/>
                    <w:left w:val="nil"/>
                    <w:bottom w:val="single" w:sz="4" w:space="0" w:color="auto"/>
                    <w:right w:val="single" w:sz="4" w:space="0" w:color="auto"/>
                  </w:tcBorders>
                  <w:shd w:val="clear" w:color="auto" w:fill="auto"/>
                  <w:noWrap/>
                  <w:vAlign w:val="bottom"/>
                  <w:hideMark/>
                </w:tcPr>
                <w:p w:rsidR="00B07AB8" w:rsidRPr="004E1F15" w:rsidRDefault="00B07AB8" w:rsidP="00B40EE4">
                  <w:pPr>
                    <w:spacing w:after="0" w:line="240" w:lineRule="auto"/>
                    <w:ind w:left="152" w:right="137"/>
                    <w:rPr>
                      <w:rFonts w:ascii="Arial Narrow" w:hAnsi="Arial Narrow"/>
                      <w:sz w:val="20"/>
                      <w:szCs w:val="20"/>
                    </w:rPr>
                  </w:pPr>
                  <w:r w:rsidRPr="004E1F15">
                    <w:rPr>
                      <w:rFonts w:ascii="Arial Narrow" w:hAnsi="Arial Narrow"/>
                      <w:sz w:val="20"/>
                      <w:szCs w:val="20"/>
                    </w:rPr>
                    <w:t>15,94</w:t>
                  </w:r>
                </w:p>
              </w:tc>
              <w:tc>
                <w:tcPr>
                  <w:tcW w:w="1134" w:type="dxa"/>
                  <w:tcBorders>
                    <w:top w:val="nil"/>
                    <w:left w:val="nil"/>
                    <w:bottom w:val="single" w:sz="4" w:space="0" w:color="auto"/>
                    <w:right w:val="single" w:sz="4" w:space="0" w:color="auto"/>
                  </w:tcBorders>
                  <w:shd w:val="clear" w:color="auto" w:fill="auto"/>
                  <w:noWrap/>
                  <w:vAlign w:val="bottom"/>
                  <w:hideMark/>
                </w:tcPr>
                <w:p w:rsidR="00B07AB8" w:rsidRPr="004E1F15" w:rsidRDefault="00B07AB8" w:rsidP="00B40EE4">
                  <w:pPr>
                    <w:spacing w:after="0" w:line="240" w:lineRule="auto"/>
                    <w:ind w:left="152" w:right="137"/>
                    <w:rPr>
                      <w:rFonts w:ascii="Arial Narrow" w:hAnsi="Arial Narrow"/>
                      <w:sz w:val="20"/>
                      <w:szCs w:val="20"/>
                    </w:rPr>
                  </w:pPr>
                  <w:r w:rsidRPr="004E1F15">
                    <w:rPr>
                      <w:rFonts w:ascii="Arial Narrow" w:hAnsi="Arial Narrow"/>
                      <w:sz w:val="20"/>
                      <w:szCs w:val="20"/>
                    </w:rPr>
                    <w:t>112,17</w:t>
                  </w:r>
                </w:p>
              </w:tc>
              <w:tc>
                <w:tcPr>
                  <w:tcW w:w="1266" w:type="dxa"/>
                  <w:tcBorders>
                    <w:top w:val="nil"/>
                    <w:left w:val="nil"/>
                    <w:bottom w:val="single" w:sz="4" w:space="0" w:color="auto"/>
                    <w:right w:val="single" w:sz="4" w:space="0" w:color="auto"/>
                  </w:tcBorders>
                  <w:shd w:val="clear" w:color="auto" w:fill="auto"/>
                  <w:noWrap/>
                  <w:vAlign w:val="bottom"/>
                  <w:hideMark/>
                </w:tcPr>
                <w:p w:rsidR="00B07AB8" w:rsidRPr="004E1F15" w:rsidRDefault="00B07AB8" w:rsidP="00B40EE4">
                  <w:pPr>
                    <w:spacing w:after="0" w:line="240" w:lineRule="auto"/>
                    <w:ind w:left="152" w:right="137"/>
                    <w:rPr>
                      <w:rFonts w:ascii="Arial Narrow" w:hAnsi="Arial Narrow"/>
                      <w:sz w:val="20"/>
                      <w:szCs w:val="20"/>
                    </w:rPr>
                  </w:pPr>
                  <w:r w:rsidRPr="004E1F15">
                    <w:rPr>
                      <w:rFonts w:ascii="Arial Narrow" w:hAnsi="Arial Narrow"/>
                      <w:sz w:val="20"/>
                      <w:szCs w:val="20"/>
                    </w:rPr>
                    <w:t>16,50</w:t>
                  </w:r>
                </w:p>
              </w:tc>
              <w:tc>
                <w:tcPr>
                  <w:tcW w:w="1134" w:type="dxa"/>
                  <w:tcBorders>
                    <w:top w:val="nil"/>
                    <w:left w:val="nil"/>
                    <w:bottom w:val="single" w:sz="4" w:space="0" w:color="auto"/>
                    <w:right w:val="single" w:sz="4" w:space="0" w:color="auto"/>
                  </w:tcBorders>
                  <w:shd w:val="clear" w:color="auto" w:fill="auto"/>
                  <w:noWrap/>
                  <w:vAlign w:val="bottom"/>
                  <w:hideMark/>
                </w:tcPr>
                <w:p w:rsidR="00B07AB8" w:rsidRPr="004E1F15" w:rsidRDefault="00B07AB8" w:rsidP="00B40EE4">
                  <w:pPr>
                    <w:spacing w:after="0" w:line="240" w:lineRule="auto"/>
                    <w:ind w:left="152" w:right="137"/>
                    <w:rPr>
                      <w:rFonts w:ascii="Arial Narrow" w:hAnsi="Arial Narrow"/>
                      <w:sz w:val="20"/>
                      <w:szCs w:val="20"/>
                    </w:rPr>
                  </w:pPr>
                  <w:r w:rsidRPr="004E1F15">
                    <w:rPr>
                      <w:rFonts w:ascii="Arial Narrow" w:hAnsi="Arial Narrow"/>
                      <w:sz w:val="20"/>
                      <w:szCs w:val="20"/>
                    </w:rPr>
                    <w:t>103,51</w:t>
                  </w:r>
                </w:p>
              </w:tc>
            </w:tr>
            <w:tr w:rsidR="00B07AB8" w:rsidRPr="004E1F15" w:rsidTr="00A64028">
              <w:tc>
                <w:tcPr>
                  <w:tcW w:w="3823" w:type="dxa"/>
                  <w:tcBorders>
                    <w:top w:val="nil"/>
                    <w:left w:val="single" w:sz="4" w:space="0" w:color="auto"/>
                    <w:bottom w:val="single" w:sz="4" w:space="0" w:color="auto"/>
                    <w:right w:val="single" w:sz="4" w:space="0" w:color="auto"/>
                  </w:tcBorders>
                  <w:shd w:val="clear" w:color="auto" w:fill="auto"/>
                  <w:noWrap/>
                  <w:vAlign w:val="bottom"/>
                  <w:hideMark/>
                </w:tcPr>
                <w:p w:rsidR="00B07AB8" w:rsidRPr="004E1F15" w:rsidRDefault="00B07AB8" w:rsidP="00B40EE4">
                  <w:pPr>
                    <w:spacing w:after="0" w:line="240" w:lineRule="auto"/>
                    <w:ind w:left="152" w:right="137"/>
                    <w:rPr>
                      <w:rFonts w:ascii="Arial Narrow" w:hAnsi="Arial Narrow"/>
                      <w:bCs/>
                      <w:sz w:val="20"/>
                      <w:szCs w:val="20"/>
                    </w:rPr>
                  </w:pPr>
                  <w:r w:rsidRPr="004E1F15">
                    <w:rPr>
                      <w:rFonts w:ascii="Arial Narrow" w:hAnsi="Arial Narrow"/>
                      <w:bCs/>
                      <w:sz w:val="20"/>
                      <w:szCs w:val="20"/>
                    </w:rPr>
                    <w:t>Водоотведение (руб./м</w:t>
                  </w:r>
                  <w:r w:rsidRPr="004E1F15">
                    <w:rPr>
                      <w:rFonts w:ascii="Arial Narrow" w:hAnsi="Arial Narrow"/>
                      <w:bCs/>
                      <w:sz w:val="20"/>
                      <w:szCs w:val="20"/>
                      <w:vertAlign w:val="superscript"/>
                    </w:rPr>
                    <w:t>3</w:t>
                  </w:r>
                  <w:r w:rsidRPr="004E1F15">
                    <w:rPr>
                      <w:rFonts w:ascii="Arial Narrow" w:hAnsi="Arial Narrow"/>
                      <w:bCs/>
                      <w:sz w:val="20"/>
                      <w:szCs w:val="20"/>
                    </w:rPr>
                    <w:t>)</w:t>
                  </w:r>
                </w:p>
              </w:tc>
              <w:tc>
                <w:tcPr>
                  <w:tcW w:w="1270" w:type="dxa"/>
                  <w:tcBorders>
                    <w:top w:val="nil"/>
                    <w:left w:val="nil"/>
                    <w:bottom w:val="single" w:sz="4" w:space="0" w:color="auto"/>
                    <w:right w:val="single" w:sz="4" w:space="0" w:color="auto"/>
                  </w:tcBorders>
                  <w:shd w:val="clear" w:color="auto" w:fill="auto"/>
                  <w:noWrap/>
                  <w:vAlign w:val="bottom"/>
                  <w:hideMark/>
                </w:tcPr>
                <w:p w:rsidR="00B07AB8" w:rsidRPr="004E1F15" w:rsidRDefault="00B07AB8" w:rsidP="00B40EE4">
                  <w:pPr>
                    <w:spacing w:after="0" w:line="240" w:lineRule="auto"/>
                    <w:ind w:left="152" w:right="137"/>
                    <w:rPr>
                      <w:rFonts w:ascii="Arial Narrow" w:hAnsi="Arial Narrow"/>
                      <w:sz w:val="20"/>
                      <w:szCs w:val="20"/>
                    </w:rPr>
                  </w:pPr>
                  <w:r w:rsidRPr="004E1F15">
                    <w:rPr>
                      <w:rFonts w:ascii="Arial Narrow" w:hAnsi="Arial Narrow"/>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B07AB8" w:rsidRPr="004E1F15" w:rsidRDefault="00B07AB8" w:rsidP="00B40EE4">
                  <w:pPr>
                    <w:spacing w:after="0" w:line="240" w:lineRule="auto"/>
                    <w:ind w:left="152" w:right="137"/>
                    <w:rPr>
                      <w:rFonts w:ascii="Arial Narrow" w:hAnsi="Arial Narrow"/>
                      <w:sz w:val="20"/>
                      <w:szCs w:val="20"/>
                    </w:rPr>
                  </w:pPr>
                  <w:r w:rsidRPr="004E1F15">
                    <w:rPr>
                      <w:rFonts w:ascii="Arial Narrow" w:hAnsi="Arial Narrow"/>
                      <w:sz w:val="20"/>
                      <w:szCs w:val="20"/>
                    </w:rPr>
                    <w:t> </w:t>
                  </w:r>
                </w:p>
              </w:tc>
              <w:tc>
                <w:tcPr>
                  <w:tcW w:w="1266" w:type="dxa"/>
                  <w:tcBorders>
                    <w:top w:val="nil"/>
                    <w:left w:val="nil"/>
                    <w:bottom w:val="single" w:sz="4" w:space="0" w:color="auto"/>
                    <w:right w:val="single" w:sz="4" w:space="0" w:color="auto"/>
                  </w:tcBorders>
                  <w:shd w:val="clear" w:color="auto" w:fill="auto"/>
                  <w:noWrap/>
                  <w:vAlign w:val="bottom"/>
                  <w:hideMark/>
                </w:tcPr>
                <w:p w:rsidR="00B07AB8" w:rsidRPr="004E1F15" w:rsidRDefault="00B07AB8" w:rsidP="00B40EE4">
                  <w:pPr>
                    <w:spacing w:after="0" w:line="240" w:lineRule="auto"/>
                    <w:ind w:left="152" w:right="137"/>
                    <w:rPr>
                      <w:rFonts w:ascii="Arial Narrow" w:hAnsi="Arial Narrow"/>
                      <w:sz w:val="20"/>
                      <w:szCs w:val="20"/>
                    </w:rPr>
                  </w:pPr>
                  <w:r w:rsidRPr="004E1F15">
                    <w:rPr>
                      <w:rFonts w:ascii="Arial Narrow" w:hAnsi="Arial Narrow"/>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B07AB8" w:rsidRPr="004E1F15" w:rsidRDefault="00B07AB8" w:rsidP="00B40EE4">
                  <w:pPr>
                    <w:spacing w:after="0" w:line="240" w:lineRule="auto"/>
                    <w:ind w:left="152" w:right="137"/>
                    <w:rPr>
                      <w:rFonts w:ascii="Arial Narrow" w:hAnsi="Arial Narrow"/>
                      <w:sz w:val="20"/>
                      <w:szCs w:val="20"/>
                    </w:rPr>
                  </w:pPr>
                  <w:r w:rsidRPr="004E1F15">
                    <w:rPr>
                      <w:rFonts w:ascii="Arial Narrow" w:hAnsi="Arial Narrow"/>
                      <w:sz w:val="20"/>
                      <w:szCs w:val="20"/>
                    </w:rPr>
                    <w:t> </w:t>
                  </w:r>
                </w:p>
              </w:tc>
            </w:tr>
            <w:tr w:rsidR="00B07AB8" w:rsidRPr="004E1F15" w:rsidTr="00A64028">
              <w:tc>
                <w:tcPr>
                  <w:tcW w:w="3823" w:type="dxa"/>
                  <w:tcBorders>
                    <w:top w:val="nil"/>
                    <w:left w:val="single" w:sz="4" w:space="0" w:color="auto"/>
                    <w:bottom w:val="single" w:sz="4" w:space="0" w:color="auto"/>
                    <w:right w:val="single" w:sz="4" w:space="0" w:color="auto"/>
                  </w:tcBorders>
                  <w:shd w:val="clear" w:color="auto" w:fill="auto"/>
                  <w:vAlign w:val="bottom"/>
                  <w:hideMark/>
                </w:tcPr>
                <w:p w:rsidR="00B07AB8" w:rsidRPr="004E1F15" w:rsidRDefault="00B07AB8" w:rsidP="00B40EE4">
                  <w:pPr>
                    <w:spacing w:after="0" w:line="240" w:lineRule="auto"/>
                    <w:ind w:left="152" w:right="137"/>
                    <w:rPr>
                      <w:rFonts w:ascii="Arial Narrow" w:hAnsi="Arial Narrow"/>
                      <w:sz w:val="20"/>
                      <w:szCs w:val="20"/>
                    </w:rPr>
                  </w:pPr>
                  <w:r w:rsidRPr="004E1F15">
                    <w:rPr>
                      <w:rFonts w:ascii="Arial Narrow" w:hAnsi="Arial Narrow"/>
                      <w:sz w:val="20"/>
                      <w:szCs w:val="20"/>
                    </w:rPr>
                    <w:t xml:space="preserve"> средневзвешенный тариф по Новосибирской области</w:t>
                  </w:r>
                </w:p>
              </w:tc>
              <w:tc>
                <w:tcPr>
                  <w:tcW w:w="1270" w:type="dxa"/>
                  <w:tcBorders>
                    <w:top w:val="nil"/>
                    <w:left w:val="nil"/>
                    <w:bottom w:val="single" w:sz="4" w:space="0" w:color="auto"/>
                    <w:right w:val="single" w:sz="4" w:space="0" w:color="auto"/>
                  </w:tcBorders>
                  <w:shd w:val="clear" w:color="auto" w:fill="auto"/>
                  <w:noWrap/>
                  <w:vAlign w:val="bottom"/>
                  <w:hideMark/>
                </w:tcPr>
                <w:p w:rsidR="00B07AB8" w:rsidRPr="004E1F15" w:rsidRDefault="00B07AB8" w:rsidP="00B40EE4">
                  <w:pPr>
                    <w:spacing w:after="0" w:line="240" w:lineRule="auto"/>
                    <w:ind w:left="152" w:right="137"/>
                    <w:rPr>
                      <w:rFonts w:ascii="Arial Narrow" w:hAnsi="Arial Narrow"/>
                      <w:sz w:val="20"/>
                      <w:szCs w:val="20"/>
                    </w:rPr>
                  </w:pPr>
                  <w:r w:rsidRPr="004E1F15">
                    <w:rPr>
                      <w:rFonts w:ascii="Arial Narrow" w:hAnsi="Arial Narrow"/>
                      <w:sz w:val="20"/>
                      <w:szCs w:val="20"/>
                    </w:rPr>
                    <w:t>20,69</w:t>
                  </w:r>
                </w:p>
              </w:tc>
              <w:tc>
                <w:tcPr>
                  <w:tcW w:w="1134" w:type="dxa"/>
                  <w:tcBorders>
                    <w:top w:val="nil"/>
                    <w:left w:val="nil"/>
                    <w:bottom w:val="single" w:sz="4" w:space="0" w:color="auto"/>
                    <w:right w:val="single" w:sz="4" w:space="0" w:color="auto"/>
                  </w:tcBorders>
                  <w:shd w:val="clear" w:color="auto" w:fill="auto"/>
                  <w:noWrap/>
                  <w:vAlign w:val="bottom"/>
                  <w:hideMark/>
                </w:tcPr>
                <w:p w:rsidR="00B07AB8" w:rsidRPr="004E1F15" w:rsidRDefault="00B07AB8" w:rsidP="00B40EE4">
                  <w:pPr>
                    <w:spacing w:after="0" w:line="240" w:lineRule="auto"/>
                    <w:ind w:left="152" w:right="137"/>
                    <w:rPr>
                      <w:rFonts w:ascii="Arial Narrow" w:hAnsi="Arial Narrow"/>
                      <w:sz w:val="20"/>
                      <w:szCs w:val="20"/>
                    </w:rPr>
                  </w:pPr>
                  <w:r w:rsidRPr="004E1F15">
                    <w:rPr>
                      <w:rFonts w:ascii="Arial Narrow" w:hAnsi="Arial Narrow"/>
                      <w:sz w:val="20"/>
                      <w:szCs w:val="20"/>
                    </w:rPr>
                    <w:t>117,02</w:t>
                  </w:r>
                </w:p>
              </w:tc>
              <w:tc>
                <w:tcPr>
                  <w:tcW w:w="1266" w:type="dxa"/>
                  <w:tcBorders>
                    <w:top w:val="nil"/>
                    <w:left w:val="nil"/>
                    <w:bottom w:val="single" w:sz="4" w:space="0" w:color="auto"/>
                    <w:right w:val="single" w:sz="4" w:space="0" w:color="auto"/>
                  </w:tcBorders>
                  <w:shd w:val="clear" w:color="auto" w:fill="auto"/>
                  <w:noWrap/>
                  <w:vAlign w:val="bottom"/>
                  <w:hideMark/>
                </w:tcPr>
                <w:p w:rsidR="00B07AB8" w:rsidRPr="004E1F15" w:rsidRDefault="00B07AB8" w:rsidP="00B40EE4">
                  <w:pPr>
                    <w:spacing w:after="0" w:line="240" w:lineRule="auto"/>
                    <w:ind w:left="152" w:right="137"/>
                    <w:rPr>
                      <w:rFonts w:ascii="Arial Narrow" w:hAnsi="Arial Narrow"/>
                      <w:sz w:val="20"/>
                      <w:szCs w:val="20"/>
                    </w:rPr>
                  </w:pPr>
                  <w:r w:rsidRPr="004E1F15">
                    <w:rPr>
                      <w:rFonts w:ascii="Arial Narrow" w:hAnsi="Arial Narrow"/>
                      <w:sz w:val="20"/>
                      <w:szCs w:val="20"/>
                    </w:rPr>
                    <w:t>21,44</w:t>
                  </w:r>
                </w:p>
              </w:tc>
              <w:tc>
                <w:tcPr>
                  <w:tcW w:w="1134" w:type="dxa"/>
                  <w:tcBorders>
                    <w:top w:val="nil"/>
                    <w:left w:val="nil"/>
                    <w:bottom w:val="single" w:sz="4" w:space="0" w:color="auto"/>
                    <w:right w:val="single" w:sz="4" w:space="0" w:color="auto"/>
                  </w:tcBorders>
                  <w:shd w:val="clear" w:color="auto" w:fill="auto"/>
                  <w:noWrap/>
                  <w:vAlign w:val="bottom"/>
                  <w:hideMark/>
                </w:tcPr>
                <w:p w:rsidR="00B07AB8" w:rsidRPr="004E1F15" w:rsidRDefault="00B07AB8" w:rsidP="00B40EE4">
                  <w:pPr>
                    <w:spacing w:after="0" w:line="240" w:lineRule="auto"/>
                    <w:ind w:left="152" w:right="137"/>
                    <w:rPr>
                      <w:rFonts w:ascii="Arial Narrow" w:hAnsi="Arial Narrow"/>
                      <w:sz w:val="20"/>
                      <w:szCs w:val="20"/>
                    </w:rPr>
                  </w:pPr>
                  <w:r w:rsidRPr="004E1F15">
                    <w:rPr>
                      <w:rFonts w:ascii="Arial Narrow" w:hAnsi="Arial Narrow"/>
                      <w:sz w:val="20"/>
                      <w:szCs w:val="20"/>
                    </w:rPr>
                    <w:t>103,62</w:t>
                  </w:r>
                </w:p>
              </w:tc>
            </w:tr>
            <w:tr w:rsidR="00B07AB8" w:rsidRPr="004E1F15" w:rsidTr="00A64028">
              <w:tc>
                <w:tcPr>
                  <w:tcW w:w="3823" w:type="dxa"/>
                  <w:tcBorders>
                    <w:top w:val="nil"/>
                    <w:left w:val="single" w:sz="4" w:space="0" w:color="auto"/>
                    <w:bottom w:val="single" w:sz="4" w:space="0" w:color="auto"/>
                    <w:right w:val="single" w:sz="4" w:space="0" w:color="auto"/>
                  </w:tcBorders>
                  <w:shd w:val="clear" w:color="auto" w:fill="auto"/>
                  <w:vAlign w:val="bottom"/>
                  <w:hideMark/>
                </w:tcPr>
                <w:p w:rsidR="00B07AB8" w:rsidRPr="004E1F15" w:rsidRDefault="00B07AB8" w:rsidP="00B40EE4">
                  <w:pPr>
                    <w:spacing w:after="0" w:line="240" w:lineRule="auto"/>
                    <w:ind w:left="152" w:right="137"/>
                    <w:rPr>
                      <w:rFonts w:ascii="Arial Narrow" w:hAnsi="Arial Narrow"/>
                      <w:b/>
                      <w:bCs/>
                      <w:sz w:val="20"/>
                      <w:szCs w:val="20"/>
                    </w:rPr>
                  </w:pPr>
                  <w:r w:rsidRPr="004E1F15">
                    <w:rPr>
                      <w:rFonts w:ascii="Arial Narrow" w:hAnsi="Arial Narrow"/>
                      <w:sz w:val="20"/>
                      <w:szCs w:val="20"/>
                    </w:rPr>
                    <w:t>В т. ч. в г. Новосибирске (МУП «Горводоканал»)</w:t>
                  </w:r>
                </w:p>
              </w:tc>
              <w:tc>
                <w:tcPr>
                  <w:tcW w:w="1270" w:type="dxa"/>
                  <w:tcBorders>
                    <w:top w:val="nil"/>
                    <w:left w:val="nil"/>
                    <w:bottom w:val="single" w:sz="4" w:space="0" w:color="auto"/>
                    <w:right w:val="single" w:sz="4" w:space="0" w:color="auto"/>
                  </w:tcBorders>
                  <w:shd w:val="clear" w:color="auto" w:fill="auto"/>
                  <w:noWrap/>
                  <w:vAlign w:val="bottom"/>
                  <w:hideMark/>
                </w:tcPr>
                <w:p w:rsidR="00B07AB8" w:rsidRPr="004E1F15" w:rsidRDefault="00B07AB8" w:rsidP="00B40EE4">
                  <w:pPr>
                    <w:spacing w:after="0" w:line="240" w:lineRule="auto"/>
                    <w:ind w:left="152" w:right="137"/>
                    <w:rPr>
                      <w:rFonts w:ascii="Arial Narrow" w:hAnsi="Arial Narrow"/>
                      <w:sz w:val="20"/>
                      <w:szCs w:val="20"/>
                    </w:rPr>
                  </w:pPr>
                  <w:r w:rsidRPr="004E1F15">
                    <w:rPr>
                      <w:rFonts w:ascii="Arial Narrow" w:hAnsi="Arial Narrow"/>
                      <w:sz w:val="20"/>
                      <w:szCs w:val="20"/>
                    </w:rPr>
                    <w:t>12,22</w:t>
                  </w:r>
                </w:p>
              </w:tc>
              <w:tc>
                <w:tcPr>
                  <w:tcW w:w="1134" w:type="dxa"/>
                  <w:tcBorders>
                    <w:top w:val="nil"/>
                    <w:left w:val="nil"/>
                    <w:bottom w:val="single" w:sz="4" w:space="0" w:color="auto"/>
                    <w:right w:val="single" w:sz="4" w:space="0" w:color="auto"/>
                  </w:tcBorders>
                  <w:shd w:val="clear" w:color="auto" w:fill="auto"/>
                  <w:noWrap/>
                  <w:vAlign w:val="bottom"/>
                  <w:hideMark/>
                </w:tcPr>
                <w:p w:rsidR="00B07AB8" w:rsidRPr="004E1F15" w:rsidRDefault="00B07AB8" w:rsidP="00B40EE4">
                  <w:pPr>
                    <w:spacing w:after="0" w:line="240" w:lineRule="auto"/>
                    <w:ind w:left="152" w:right="137"/>
                    <w:rPr>
                      <w:rFonts w:ascii="Arial Narrow" w:hAnsi="Arial Narrow"/>
                      <w:sz w:val="20"/>
                      <w:szCs w:val="20"/>
                    </w:rPr>
                  </w:pPr>
                  <w:r w:rsidRPr="004E1F15">
                    <w:rPr>
                      <w:rFonts w:ascii="Arial Narrow" w:hAnsi="Arial Narrow"/>
                      <w:sz w:val="20"/>
                      <w:szCs w:val="20"/>
                    </w:rPr>
                    <w:t>112,11</w:t>
                  </w:r>
                </w:p>
              </w:tc>
              <w:tc>
                <w:tcPr>
                  <w:tcW w:w="1266" w:type="dxa"/>
                  <w:tcBorders>
                    <w:top w:val="nil"/>
                    <w:left w:val="nil"/>
                    <w:bottom w:val="single" w:sz="4" w:space="0" w:color="auto"/>
                    <w:right w:val="single" w:sz="4" w:space="0" w:color="auto"/>
                  </w:tcBorders>
                  <w:shd w:val="clear" w:color="auto" w:fill="auto"/>
                  <w:noWrap/>
                  <w:vAlign w:val="bottom"/>
                  <w:hideMark/>
                </w:tcPr>
                <w:p w:rsidR="00B07AB8" w:rsidRPr="004E1F15" w:rsidRDefault="00B07AB8" w:rsidP="00B40EE4">
                  <w:pPr>
                    <w:spacing w:after="0" w:line="240" w:lineRule="auto"/>
                    <w:ind w:left="152" w:right="137"/>
                    <w:rPr>
                      <w:rFonts w:ascii="Arial Narrow" w:hAnsi="Arial Narrow"/>
                      <w:sz w:val="20"/>
                      <w:szCs w:val="20"/>
                    </w:rPr>
                  </w:pPr>
                  <w:r w:rsidRPr="004E1F15">
                    <w:rPr>
                      <w:rFonts w:ascii="Arial Narrow" w:hAnsi="Arial Narrow"/>
                      <w:sz w:val="20"/>
                      <w:szCs w:val="20"/>
                    </w:rPr>
                    <w:t>12,66</w:t>
                  </w:r>
                </w:p>
              </w:tc>
              <w:tc>
                <w:tcPr>
                  <w:tcW w:w="1134" w:type="dxa"/>
                  <w:tcBorders>
                    <w:top w:val="nil"/>
                    <w:left w:val="nil"/>
                    <w:bottom w:val="single" w:sz="4" w:space="0" w:color="auto"/>
                    <w:right w:val="single" w:sz="4" w:space="0" w:color="auto"/>
                  </w:tcBorders>
                  <w:shd w:val="clear" w:color="auto" w:fill="auto"/>
                  <w:noWrap/>
                  <w:vAlign w:val="bottom"/>
                  <w:hideMark/>
                </w:tcPr>
                <w:p w:rsidR="00B07AB8" w:rsidRPr="004E1F15" w:rsidRDefault="00B07AB8" w:rsidP="00B40EE4">
                  <w:pPr>
                    <w:spacing w:after="0" w:line="240" w:lineRule="auto"/>
                    <w:ind w:left="152" w:right="137"/>
                    <w:rPr>
                      <w:rFonts w:ascii="Arial Narrow" w:hAnsi="Arial Narrow"/>
                      <w:sz w:val="20"/>
                      <w:szCs w:val="20"/>
                    </w:rPr>
                  </w:pPr>
                  <w:r w:rsidRPr="004E1F15">
                    <w:rPr>
                      <w:rFonts w:ascii="Arial Narrow" w:hAnsi="Arial Narrow"/>
                      <w:sz w:val="20"/>
                      <w:szCs w:val="20"/>
                    </w:rPr>
                    <w:t>103,6</w:t>
                  </w:r>
                </w:p>
              </w:tc>
            </w:tr>
          </w:tbl>
          <w:p w:rsidR="00B07AB8" w:rsidRPr="004E1F15" w:rsidRDefault="00B07AB8" w:rsidP="004E1F15">
            <w:pPr>
              <w:spacing w:after="0" w:line="240" w:lineRule="auto"/>
              <w:ind w:left="152" w:right="137"/>
              <w:jc w:val="both"/>
              <w:rPr>
                <w:rFonts w:ascii="Arial Narrow" w:hAnsi="Arial Narrow"/>
                <w:sz w:val="20"/>
                <w:szCs w:val="20"/>
              </w:rPr>
            </w:pPr>
            <w:r w:rsidRPr="004E1F15">
              <w:rPr>
                <w:rFonts w:ascii="Arial Narrow" w:hAnsi="Arial Narrow"/>
                <w:sz w:val="20"/>
                <w:szCs w:val="20"/>
              </w:rPr>
              <w:t>* величина тарифов первого полугодия (в соответствии с действующим законодательством РФ в сфере государственного регулирования цен (тарифов)) равна величине тарифов, действующих во втором полугодии предыдущего года.</w:t>
            </w:r>
          </w:p>
          <w:p w:rsidR="00B07AB8" w:rsidRPr="004E1F15" w:rsidRDefault="00B07AB8" w:rsidP="004E1F15">
            <w:pPr>
              <w:spacing w:after="0" w:line="240" w:lineRule="auto"/>
              <w:ind w:left="152" w:right="137"/>
              <w:jc w:val="both"/>
              <w:rPr>
                <w:rFonts w:ascii="Arial Narrow" w:hAnsi="Arial Narrow"/>
                <w:sz w:val="20"/>
                <w:szCs w:val="20"/>
              </w:rPr>
            </w:pPr>
          </w:p>
          <w:p w:rsidR="00B07AB8" w:rsidRPr="004E1F15" w:rsidRDefault="00B07AB8" w:rsidP="004E1F15">
            <w:pPr>
              <w:spacing w:after="0" w:line="240" w:lineRule="auto"/>
              <w:ind w:left="152" w:right="137"/>
              <w:jc w:val="both"/>
              <w:rPr>
                <w:rFonts w:ascii="Arial Narrow" w:hAnsi="Arial Narrow"/>
                <w:sz w:val="20"/>
                <w:szCs w:val="20"/>
              </w:rPr>
            </w:pPr>
            <w:r w:rsidRPr="004E1F15">
              <w:rPr>
                <w:rFonts w:ascii="Arial Narrow" w:hAnsi="Arial Narrow"/>
                <w:sz w:val="20"/>
                <w:szCs w:val="20"/>
              </w:rPr>
              <w:t>В 2016 г. в Новосибирской области установлено 588 тарифов на водоснабжение и водоотведение, из которых доля тарифов со снижением составила 1 %, с ростом – 86,6 %, без изменения – 12,8 %. Рост количества тарифов с увеличением цен составил 112,8, по сравнению с 2015 г. Годовая динамика изменения средневзвешенных тарифов на холодное водоснабжение в Новосибирской области на 01.07.2016 составляет 103,55 %, на водоотведение – 103,62 %.</w:t>
            </w:r>
          </w:p>
        </w:tc>
      </w:tr>
    </w:tbl>
    <w:p w:rsidR="00B07AB8" w:rsidRPr="00B07AB8" w:rsidRDefault="00A43AC6" w:rsidP="00C54B76">
      <w:pPr>
        <w:spacing w:after="0" w:line="240" w:lineRule="auto"/>
        <w:jc w:val="right"/>
        <w:rPr>
          <w:rFonts w:ascii="Arial Narrow" w:hAnsi="Arial Narrow"/>
          <w:sz w:val="24"/>
          <w:szCs w:val="24"/>
        </w:rPr>
      </w:pPr>
      <w:r>
        <w:rPr>
          <w:rFonts w:ascii="Arial Narrow" w:hAnsi="Arial Narrow"/>
          <w:sz w:val="24"/>
          <w:szCs w:val="24"/>
        </w:rPr>
        <w:lastRenderedPageBreak/>
        <w:t>Продолжение Таблицы 5.1</w:t>
      </w:r>
    </w:p>
    <w:tbl>
      <w:tblPr>
        <w:tblW w:w="10217"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284"/>
        <w:gridCol w:w="1281"/>
        <w:gridCol w:w="8652"/>
      </w:tblGrid>
      <w:tr w:rsidR="00B07AB8" w:rsidRPr="00B07AB8" w:rsidTr="000D69F3">
        <w:tc>
          <w:tcPr>
            <w:tcW w:w="284" w:type="dxa"/>
            <w:vAlign w:val="center"/>
          </w:tcPr>
          <w:p w:rsidR="00B07AB8" w:rsidRPr="00B07AB8" w:rsidRDefault="00B07AB8" w:rsidP="004E1F15">
            <w:pPr>
              <w:spacing w:after="0" w:line="240" w:lineRule="auto"/>
              <w:jc w:val="center"/>
              <w:rPr>
                <w:rFonts w:ascii="Arial Narrow" w:hAnsi="Arial Narrow"/>
                <w:sz w:val="20"/>
                <w:szCs w:val="20"/>
              </w:rPr>
            </w:pPr>
            <w:r w:rsidRPr="00B07AB8">
              <w:rPr>
                <w:rFonts w:ascii="Arial Narrow" w:hAnsi="Arial Narrow"/>
                <w:sz w:val="20"/>
                <w:szCs w:val="20"/>
              </w:rPr>
              <w:t>3.</w:t>
            </w:r>
          </w:p>
        </w:tc>
        <w:tc>
          <w:tcPr>
            <w:tcW w:w="1281" w:type="dxa"/>
            <w:vAlign w:val="center"/>
          </w:tcPr>
          <w:p w:rsidR="00B07AB8" w:rsidRPr="004E1F15" w:rsidRDefault="00B07AB8" w:rsidP="00B40EE4">
            <w:pPr>
              <w:spacing w:after="0" w:line="240" w:lineRule="auto"/>
              <w:ind w:left="152" w:right="137"/>
              <w:rPr>
                <w:rFonts w:ascii="Arial Narrow" w:hAnsi="Arial Narrow"/>
                <w:sz w:val="20"/>
                <w:szCs w:val="20"/>
              </w:rPr>
            </w:pPr>
            <w:r w:rsidRPr="004E1F15">
              <w:rPr>
                <w:rFonts w:ascii="Arial Narrow" w:hAnsi="Arial Narrow"/>
                <w:sz w:val="20"/>
                <w:szCs w:val="20"/>
              </w:rPr>
              <w:t>Транспортировка газа по трубопроводам</w:t>
            </w:r>
          </w:p>
        </w:tc>
        <w:tc>
          <w:tcPr>
            <w:tcW w:w="8652" w:type="dxa"/>
          </w:tcPr>
          <w:p w:rsidR="00B07AB8" w:rsidRPr="004E1F15" w:rsidRDefault="00B07AB8" w:rsidP="004E1F15">
            <w:pPr>
              <w:spacing w:after="0" w:line="240" w:lineRule="auto"/>
              <w:ind w:left="152" w:right="137"/>
              <w:jc w:val="both"/>
              <w:rPr>
                <w:rFonts w:ascii="Arial Narrow" w:hAnsi="Arial Narrow"/>
                <w:sz w:val="20"/>
                <w:szCs w:val="20"/>
              </w:rPr>
            </w:pPr>
            <w:r w:rsidRPr="004E1F15">
              <w:rPr>
                <w:rFonts w:ascii="Arial Narrow" w:hAnsi="Arial Narrow"/>
                <w:b/>
                <w:sz w:val="20"/>
                <w:szCs w:val="20"/>
              </w:rPr>
              <w:t>Информация о ценах (тарифах) на услуги газоснабжения для населения и приравненных к нему категорий потребителей на территории Новосибирской области (источники: Приказы Департамента по тарифам, см. в таблице ниже</w:t>
            </w:r>
            <w:r w:rsidRPr="004E1F15">
              <w:rPr>
                <w:rFonts w:ascii="Arial Narrow" w:hAnsi="Arial Narrow"/>
                <w:sz w:val="20"/>
                <w:szCs w:val="20"/>
              </w:rPr>
              <w:t>)</w:t>
            </w:r>
          </w:p>
          <w:tbl>
            <w:tblPr>
              <w:tblW w:w="8368" w:type="dxa"/>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387"/>
              <w:gridCol w:w="1418"/>
              <w:gridCol w:w="1417"/>
              <w:gridCol w:w="1146"/>
            </w:tblGrid>
            <w:tr w:rsidR="00B07AB8" w:rsidRPr="004E1F15" w:rsidTr="00B40EE4">
              <w:tc>
                <w:tcPr>
                  <w:tcW w:w="4387" w:type="dxa"/>
                  <w:vMerge w:val="restart"/>
                  <w:tcBorders>
                    <w:left w:val="single" w:sz="4" w:space="0" w:color="auto"/>
                  </w:tcBorders>
                  <w:shd w:val="clear" w:color="auto" w:fill="auto"/>
                  <w:vAlign w:val="center"/>
                  <w:hideMark/>
                </w:tcPr>
                <w:p w:rsidR="00B07AB8" w:rsidRPr="004E1F15" w:rsidRDefault="00B07AB8" w:rsidP="00B40EE4">
                  <w:pPr>
                    <w:spacing w:after="0" w:line="240" w:lineRule="auto"/>
                    <w:ind w:left="34" w:right="137"/>
                    <w:rPr>
                      <w:rFonts w:ascii="Arial Narrow" w:hAnsi="Arial Narrow"/>
                      <w:sz w:val="20"/>
                      <w:szCs w:val="20"/>
                    </w:rPr>
                  </w:pPr>
                  <w:r w:rsidRPr="004E1F15">
                    <w:rPr>
                      <w:rFonts w:ascii="Arial Narrow" w:hAnsi="Arial Narrow"/>
                      <w:sz w:val="20"/>
                      <w:szCs w:val="20"/>
                    </w:rPr>
                    <w:t xml:space="preserve">Направления использования газа </w:t>
                  </w:r>
                </w:p>
              </w:tc>
              <w:tc>
                <w:tcPr>
                  <w:tcW w:w="3981" w:type="dxa"/>
                  <w:gridSpan w:val="3"/>
                  <w:shd w:val="clear" w:color="auto" w:fill="auto"/>
                  <w:vAlign w:val="center"/>
                  <w:hideMark/>
                </w:tcPr>
                <w:p w:rsidR="00B07AB8" w:rsidRPr="004E1F15" w:rsidRDefault="00B07AB8" w:rsidP="004E1F15">
                  <w:pPr>
                    <w:spacing w:after="0" w:line="240" w:lineRule="auto"/>
                    <w:ind w:left="152" w:right="137"/>
                    <w:jc w:val="center"/>
                    <w:rPr>
                      <w:rFonts w:ascii="Arial Narrow" w:hAnsi="Arial Narrow"/>
                      <w:sz w:val="20"/>
                      <w:szCs w:val="20"/>
                    </w:rPr>
                  </w:pPr>
                  <w:r w:rsidRPr="004E1F15">
                    <w:rPr>
                      <w:rFonts w:ascii="Arial Narrow" w:hAnsi="Arial Narrow"/>
                      <w:sz w:val="20"/>
                      <w:szCs w:val="20"/>
                    </w:rPr>
                    <w:t>Розничные цены на газ природный, реализуемый населению (с учетом НДС), руб./1000 м</w:t>
                  </w:r>
                  <w:r w:rsidRPr="004E1F15">
                    <w:rPr>
                      <w:rFonts w:ascii="Arial Narrow" w:hAnsi="Arial Narrow"/>
                      <w:sz w:val="20"/>
                      <w:szCs w:val="20"/>
                      <w:vertAlign w:val="superscript"/>
                    </w:rPr>
                    <w:t>3</w:t>
                  </w:r>
                </w:p>
              </w:tc>
            </w:tr>
            <w:tr w:rsidR="00B07AB8" w:rsidRPr="004E1F15" w:rsidTr="00B40EE4">
              <w:tc>
                <w:tcPr>
                  <w:tcW w:w="4387" w:type="dxa"/>
                  <w:vMerge/>
                  <w:tcBorders>
                    <w:left w:val="single" w:sz="4" w:space="0" w:color="auto"/>
                  </w:tcBorders>
                  <w:vAlign w:val="center"/>
                  <w:hideMark/>
                </w:tcPr>
                <w:p w:rsidR="00B07AB8" w:rsidRPr="004E1F15" w:rsidRDefault="00B07AB8" w:rsidP="00B40EE4">
                  <w:pPr>
                    <w:spacing w:after="0" w:line="240" w:lineRule="auto"/>
                    <w:ind w:left="152" w:right="137"/>
                    <w:rPr>
                      <w:rFonts w:ascii="Arial Narrow" w:hAnsi="Arial Narrow"/>
                      <w:sz w:val="20"/>
                      <w:szCs w:val="20"/>
                    </w:rPr>
                  </w:pPr>
                </w:p>
              </w:tc>
              <w:tc>
                <w:tcPr>
                  <w:tcW w:w="3981" w:type="dxa"/>
                  <w:gridSpan w:val="3"/>
                  <w:shd w:val="clear" w:color="auto" w:fill="auto"/>
                  <w:vAlign w:val="center"/>
                  <w:hideMark/>
                </w:tcPr>
                <w:p w:rsidR="00B07AB8" w:rsidRPr="004E1F15" w:rsidRDefault="00B07AB8" w:rsidP="004E1F15">
                  <w:pPr>
                    <w:spacing w:after="0" w:line="240" w:lineRule="auto"/>
                    <w:ind w:left="152" w:right="137"/>
                    <w:jc w:val="center"/>
                    <w:rPr>
                      <w:rFonts w:ascii="Arial Narrow" w:hAnsi="Arial Narrow"/>
                      <w:i/>
                      <w:iCs/>
                      <w:sz w:val="20"/>
                      <w:szCs w:val="20"/>
                    </w:rPr>
                  </w:pPr>
                  <w:r w:rsidRPr="004E1F15">
                    <w:rPr>
                      <w:rFonts w:ascii="Arial Narrow" w:hAnsi="Arial Narrow"/>
                      <w:i/>
                      <w:iCs/>
                      <w:sz w:val="20"/>
                      <w:szCs w:val="20"/>
                    </w:rPr>
                    <w:t>индекс роста цены к предыдущей цене*</w:t>
                  </w:r>
                </w:p>
              </w:tc>
            </w:tr>
            <w:tr w:rsidR="00B07AB8" w:rsidRPr="004E1F15" w:rsidTr="00B40EE4">
              <w:tc>
                <w:tcPr>
                  <w:tcW w:w="4387" w:type="dxa"/>
                  <w:vMerge/>
                  <w:tcBorders>
                    <w:left w:val="single" w:sz="4" w:space="0" w:color="auto"/>
                  </w:tcBorders>
                  <w:vAlign w:val="center"/>
                  <w:hideMark/>
                </w:tcPr>
                <w:p w:rsidR="00B07AB8" w:rsidRPr="004E1F15" w:rsidRDefault="00B07AB8" w:rsidP="00B40EE4">
                  <w:pPr>
                    <w:spacing w:after="0" w:line="240" w:lineRule="auto"/>
                    <w:ind w:left="152" w:right="137"/>
                    <w:rPr>
                      <w:rFonts w:ascii="Arial Narrow" w:hAnsi="Arial Narrow"/>
                      <w:sz w:val="20"/>
                      <w:szCs w:val="20"/>
                    </w:rPr>
                  </w:pPr>
                </w:p>
              </w:tc>
              <w:tc>
                <w:tcPr>
                  <w:tcW w:w="1418" w:type="dxa"/>
                  <w:shd w:val="clear" w:color="auto" w:fill="auto"/>
                  <w:vAlign w:val="center"/>
                  <w:hideMark/>
                </w:tcPr>
                <w:p w:rsidR="00B07AB8" w:rsidRPr="004E1F15" w:rsidRDefault="00B07AB8" w:rsidP="004E1F15">
                  <w:pPr>
                    <w:spacing w:after="0" w:line="240" w:lineRule="auto"/>
                    <w:ind w:left="152" w:right="137"/>
                    <w:jc w:val="center"/>
                    <w:rPr>
                      <w:rFonts w:ascii="Arial Narrow" w:hAnsi="Arial Narrow"/>
                      <w:sz w:val="20"/>
                      <w:szCs w:val="20"/>
                    </w:rPr>
                  </w:pPr>
                  <w:r w:rsidRPr="004E1F15">
                    <w:rPr>
                      <w:rFonts w:ascii="Arial Narrow" w:hAnsi="Arial Narrow"/>
                      <w:sz w:val="20"/>
                      <w:szCs w:val="20"/>
                    </w:rPr>
                    <w:t>Действуют с 1 июля 2014 г. до 1 июля 2015 г.</w:t>
                  </w:r>
                </w:p>
              </w:tc>
              <w:tc>
                <w:tcPr>
                  <w:tcW w:w="1417" w:type="dxa"/>
                  <w:shd w:val="clear" w:color="auto" w:fill="auto"/>
                  <w:vAlign w:val="center"/>
                  <w:hideMark/>
                </w:tcPr>
                <w:p w:rsidR="00B07AB8" w:rsidRPr="004E1F15" w:rsidRDefault="00B07AB8" w:rsidP="004E1F15">
                  <w:pPr>
                    <w:spacing w:after="0" w:line="240" w:lineRule="auto"/>
                    <w:ind w:left="152" w:right="137"/>
                    <w:jc w:val="center"/>
                    <w:rPr>
                      <w:rFonts w:ascii="Arial Narrow" w:hAnsi="Arial Narrow"/>
                      <w:sz w:val="20"/>
                      <w:szCs w:val="20"/>
                    </w:rPr>
                  </w:pPr>
                  <w:r w:rsidRPr="004E1F15">
                    <w:rPr>
                      <w:rFonts w:ascii="Arial Narrow" w:hAnsi="Arial Narrow"/>
                      <w:sz w:val="20"/>
                      <w:szCs w:val="20"/>
                    </w:rPr>
                    <w:t>действуют с 1 июля 2015 г. до 1 июля 2016 г.</w:t>
                  </w:r>
                </w:p>
              </w:tc>
              <w:tc>
                <w:tcPr>
                  <w:tcW w:w="1146" w:type="dxa"/>
                  <w:shd w:val="clear" w:color="auto" w:fill="auto"/>
                  <w:vAlign w:val="center"/>
                  <w:hideMark/>
                </w:tcPr>
                <w:p w:rsidR="00B07AB8" w:rsidRPr="004E1F15" w:rsidRDefault="00B07AB8" w:rsidP="004E1F15">
                  <w:pPr>
                    <w:spacing w:after="0" w:line="240" w:lineRule="auto"/>
                    <w:ind w:left="152" w:right="137"/>
                    <w:jc w:val="center"/>
                    <w:rPr>
                      <w:rFonts w:ascii="Arial Narrow" w:hAnsi="Arial Narrow"/>
                      <w:sz w:val="20"/>
                      <w:szCs w:val="20"/>
                    </w:rPr>
                  </w:pPr>
                  <w:r w:rsidRPr="004E1F15">
                    <w:rPr>
                      <w:rFonts w:ascii="Arial Narrow" w:hAnsi="Arial Narrow"/>
                      <w:sz w:val="20"/>
                      <w:szCs w:val="20"/>
                    </w:rPr>
                    <w:t>действуют с 1 июля 2016 г.</w:t>
                  </w:r>
                </w:p>
              </w:tc>
            </w:tr>
            <w:tr w:rsidR="00B07AB8" w:rsidRPr="004E1F15" w:rsidTr="00B40EE4">
              <w:tc>
                <w:tcPr>
                  <w:tcW w:w="4387" w:type="dxa"/>
                  <w:tcBorders>
                    <w:left w:val="single" w:sz="4" w:space="0" w:color="auto"/>
                  </w:tcBorders>
                  <w:shd w:val="clear" w:color="auto" w:fill="auto"/>
                  <w:vAlign w:val="center"/>
                  <w:hideMark/>
                </w:tcPr>
                <w:p w:rsidR="00B07AB8" w:rsidRPr="004E1F15" w:rsidRDefault="00B07AB8" w:rsidP="00B40EE4">
                  <w:pPr>
                    <w:spacing w:after="0" w:line="240" w:lineRule="auto"/>
                    <w:ind w:left="152" w:right="137"/>
                    <w:rPr>
                      <w:rFonts w:ascii="Arial Narrow" w:hAnsi="Arial Narrow"/>
                      <w:sz w:val="20"/>
                      <w:szCs w:val="20"/>
                    </w:rPr>
                  </w:pPr>
                  <w:r w:rsidRPr="004E1F15">
                    <w:rPr>
                      <w:rFonts w:ascii="Arial Narrow" w:hAnsi="Arial Narrow"/>
                      <w:sz w:val="20"/>
                      <w:szCs w:val="20"/>
                    </w:rPr>
                    <w:t>- на приготовление пищи и нагрев воды с использованием газовой плиты (в отсутствие других направлений использования газа)</w:t>
                  </w:r>
                </w:p>
              </w:tc>
              <w:tc>
                <w:tcPr>
                  <w:tcW w:w="1418" w:type="dxa"/>
                  <w:vMerge w:val="restart"/>
                  <w:shd w:val="clear" w:color="auto" w:fill="auto"/>
                  <w:vAlign w:val="center"/>
                  <w:hideMark/>
                </w:tcPr>
                <w:p w:rsidR="00B07AB8" w:rsidRPr="004E1F15" w:rsidRDefault="00B07AB8" w:rsidP="004E1F15">
                  <w:pPr>
                    <w:spacing w:after="0" w:line="240" w:lineRule="auto"/>
                    <w:ind w:left="152" w:right="137"/>
                    <w:jc w:val="center"/>
                    <w:rPr>
                      <w:rFonts w:ascii="Arial Narrow" w:hAnsi="Arial Narrow"/>
                      <w:b/>
                      <w:bCs/>
                      <w:sz w:val="20"/>
                      <w:szCs w:val="20"/>
                    </w:rPr>
                  </w:pPr>
                  <w:r w:rsidRPr="004E1F15">
                    <w:rPr>
                      <w:rFonts w:ascii="Arial Narrow" w:hAnsi="Arial Narrow"/>
                      <w:b/>
                      <w:bCs/>
                      <w:sz w:val="20"/>
                      <w:szCs w:val="20"/>
                    </w:rPr>
                    <w:t>4920</w:t>
                  </w:r>
                </w:p>
              </w:tc>
              <w:tc>
                <w:tcPr>
                  <w:tcW w:w="1417" w:type="dxa"/>
                  <w:vMerge w:val="restart"/>
                  <w:shd w:val="clear" w:color="auto" w:fill="auto"/>
                  <w:vAlign w:val="center"/>
                  <w:hideMark/>
                </w:tcPr>
                <w:p w:rsidR="00B07AB8" w:rsidRPr="004E1F15" w:rsidRDefault="00B07AB8" w:rsidP="004E1F15">
                  <w:pPr>
                    <w:spacing w:after="0" w:line="240" w:lineRule="auto"/>
                    <w:ind w:left="152" w:right="137"/>
                    <w:jc w:val="center"/>
                    <w:rPr>
                      <w:rFonts w:ascii="Arial Narrow" w:hAnsi="Arial Narrow"/>
                      <w:b/>
                      <w:bCs/>
                      <w:sz w:val="20"/>
                      <w:szCs w:val="20"/>
                    </w:rPr>
                  </w:pPr>
                  <w:r w:rsidRPr="004E1F15">
                    <w:rPr>
                      <w:rFonts w:ascii="Arial Narrow" w:hAnsi="Arial Narrow"/>
                      <w:b/>
                      <w:bCs/>
                      <w:sz w:val="20"/>
                      <w:szCs w:val="20"/>
                    </w:rPr>
                    <w:t>5290</w:t>
                  </w:r>
                </w:p>
              </w:tc>
              <w:tc>
                <w:tcPr>
                  <w:tcW w:w="1146" w:type="dxa"/>
                  <w:vMerge w:val="restart"/>
                  <w:shd w:val="clear" w:color="auto" w:fill="auto"/>
                  <w:vAlign w:val="center"/>
                  <w:hideMark/>
                </w:tcPr>
                <w:p w:rsidR="00B07AB8" w:rsidRPr="004E1F15" w:rsidRDefault="00B07AB8" w:rsidP="004E1F15">
                  <w:pPr>
                    <w:spacing w:after="0" w:line="240" w:lineRule="auto"/>
                    <w:ind w:left="152" w:right="137"/>
                    <w:jc w:val="center"/>
                    <w:rPr>
                      <w:rFonts w:ascii="Arial Narrow" w:hAnsi="Arial Narrow"/>
                      <w:b/>
                      <w:bCs/>
                      <w:sz w:val="20"/>
                      <w:szCs w:val="20"/>
                    </w:rPr>
                  </w:pPr>
                  <w:r w:rsidRPr="004E1F15">
                    <w:rPr>
                      <w:rFonts w:ascii="Arial Narrow" w:hAnsi="Arial Narrow"/>
                      <w:b/>
                      <w:bCs/>
                      <w:sz w:val="20"/>
                      <w:szCs w:val="20"/>
                    </w:rPr>
                    <w:t>5450</w:t>
                  </w:r>
                </w:p>
              </w:tc>
            </w:tr>
            <w:tr w:rsidR="00B07AB8" w:rsidRPr="004E1F15" w:rsidTr="00B40EE4">
              <w:tc>
                <w:tcPr>
                  <w:tcW w:w="4387" w:type="dxa"/>
                  <w:tcBorders>
                    <w:left w:val="single" w:sz="4" w:space="0" w:color="auto"/>
                  </w:tcBorders>
                  <w:shd w:val="clear" w:color="auto" w:fill="auto"/>
                  <w:vAlign w:val="center"/>
                  <w:hideMark/>
                </w:tcPr>
                <w:p w:rsidR="00B07AB8" w:rsidRPr="004E1F15" w:rsidRDefault="00B07AB8" w:rsidP="00B40EE4">
                  <w:pPr>
                    <w:spacing w:after="0" w:line="240" w:lineRule="auto"/>
                    <w:ind w:left="152" w:right="137"/>
                    <w:rPr>
                      <w:rFonts w:ascii="Arial Narrow" w:hAnsi="Arial Narrow"/>
                      <w:sz w:val="20"/>
                      <w:szCs w:val="20"/>
                    </w:rPr>
                  </w:pPr>
                  <w:r w:rsidRPr="004E1F15">
                    <w:rPr>
                      <w:rFonts w:ascii="Arial Narrow" w:hAnsi="Arial Narrow"/>
                      <w:sz w:val="20"/>
                      <w:szCs w:val="20"/>
                    </w:rPr>
                    <w:t>- на нагрев воды с использованием газового водонагревателя при отсутствии центрального горячего водоснабжения (в отсутствие других направлений использования газа)</w:t>
                  </w:r>
                </w:p>
              </w:tc>
              <w:tc>
                <w:tcPr>
                  <w:tcW w:w="1418" w:type="dxa"/>
                  <w:vMerge/>
                  <w:vAlign w:val="center"/>
                  <w:hideMark/>
                </w:tcPr>
                <w:p w:rsidR="00B07AB8" w:rsidRPr="004E1F15" w:rsidRDefault="00B07AB8" w:rsidP="004E1F15">
                  <w:pPr>
                    <w:spacing w:after="0" w:line="240" w:lineRule="auto"/>
                    <w:ind w:left="152" w:right="137"/>
                    <w:jc w:val="center"/>
                    <w:rPr>
                      <w:rFonts w:ascii="Arial Narrow" w:hAnsi="Arial Narrow"/>
                      <w:b/>
                      <w:bCs/>
                      <w:sz w:val="20"/>
                      <w:szCs w:val="20"/>
                    </w:rPr>
                  </w:pPr>
                </w:p>
              </w:tc>
              <w:tc>
                <w:tcPr>
                  <w:tcW w:w="1417" w:type="dxa"/>
                  <w:vMerge/>
                  <w:vAlign w:val="center"/>
                  <w:hideMark/>
                </w:tcPr>
                <w:p w:rsidR="00B07AB8" w:rsidRPr="004E1F15" w:rsidRDefault="00B07AB8" w:rsidP="004E1F15">
                  <w:pPr>
                    <w:spacing w:after="0" w:line="240" w:lineRule="auto"/>
                    <w:ind w:left="152" w:right="137"/>
                    <w:jc w:val="center"/>
                    <w:rPr>
                      <w:rFonts w:ascii="Arial Narrow" w:hAnsi="Arial Narrow"/>
                      <w:b/>
                      <w:bCs/>
                      <w:sz w:val="20"/>
                      <w:szCs w:val="20"/>
                    </w:rPr>
                  </w:pPr>
                </w:p>
              </w:tc>
              <w:tc>
                <w:tcPr>
                  <w:tcW w:w="1146" w:type="dxa"/>
                  <w:vMerge/>
                  <w:vAlign w:val="center"/>
                  <w:hideMark/>
                </w:tcPr>
                <w:p w:rsidR="00B07AB8" w:rsidRPr="004E1F15" w:rsidRDefault="00B07AB8" w:rsidP="004E1F15">
                  <w:pPr>
                    <w:spacing w:after="0" w:line="240" w:lineRule="auto"/>
                    <w:ind w:left="152" w:right="137"/>
                    <w:jc w:val="center"/>
                    <w:rPr>
                      <w:rFonts w:ascii="Arial Narrow" w:hAnsi="Arial Narrow"/>
                      <w:b/>
                      <w:bCs/>
                      <w:sz w:val="20"/>
                      <w:szCs w:val="20"/>
                    </w:rPr>
                  </w:pPr>
                </w:p>
              </w:tc>
            </w:tr>
            <w:tr w:rsidR="00B07AB8" w:rsidRPr="004E1F15" w:rsidTr="00B40EE4">
              <w:tc>
                <w:tcPr>
                  <w:tcW w:w="4387" w:type="dxa"/>
                  <w:tcBorders>
                    <w:left w:val="single" w:sz="4" w:space="0" w:color="auto"/>
                  </w:tcBorders>
                  <w:shd w:val="clear" w:color="auto" w:fill="auto"/>
                  <w:vAlign w:val="center"/>
                  <w:hideMark/>
                </w:tcPr>
                <w:p w:rsidR="00B07AB8" w:rsidRPr="004E1F15" w:rsidRDefault="00B07AB8" w:rsidP="00B40EE4">
                  <w:pPr>
                    <w:spacing w:after="0" w:line="240" w:lineRule="auto"/>
                    <w:ind w:left="152" w:right="137"/>
                    <w:rPr>
                      <w:rFonts w:ascii="Arial Narrow" w:hAnsi="Arial Narrow"/>
                      <w:sz w:val="20"/>
                      <w:szCs w:val="20"/>
                    </w:rPr>
                  </w:pPr>
                  <w:r w:rsidRPr="004E1F15">
                    <w:rPr>
                      <w:rFonts w:ascii="Arial Narrow" w:hAnsi="Arial Narrow"/>
                      <w:sz w:val="20"/>
                      <w:szCs w:val="20"/>
                    </w:rPr>
                    <w:t>- на приготовление пищи и нагрев воды с использованием газовой плиты и нагрев воды с использованием газового водонагревателя при отсутствии центрального горячего водоснабжения (в отсутствие других направлений использования газа)</w:t>
                  </w:r>
                </w:p>
              </w:tc>
              <w:tc>
                <w:tcPr>
                  <w:tcW w:w="1418" w:type="dxa"/>
                  <w:shd w:val="clear" w:color="auto" w:fill="auto"/>
                  <w:vAlign w:val="center"/>
                  <w:hideMark/>
                </w:tcPr>
                <w:p w:rsidR="00B07AB8" w:rsidRPr="004E1F15" w:rsidRDefault="00B07AB8" w:rsidP="004E1F15">
                  <w:pPr>
                    <w:spacing w:after="0" w:line="240" w:lineRule="auto"/>
                    <w:ind w:left="152" w:right="137"/>
                    <w:jc w:val="center"/>
                    <w:rPr>
                      <w:rFonts w:ascii="Arial Narrow" w:hAnsi="Arial Narrow"/>
                      <w:i/>
                      <w:iCs/>
                      <w:sz w:val="20"/>
                      <w:szCs w:val="20"/>
                    </w:rPr>
                  </w:pPr>
                  <w:r w:rsidRPr="004E1F15">
                    <w:rPr>
                      <w:rFonts w:ascii="Arial Narrow" w:hAnsi="Arial Narrow"/>
                      <w:i/>
                      <w:iCs/>
                      <w:sz w:val="20"/>
                      <w:szCs w:val="20"/>
                    </w:rPr>
                    <w:t>-</w:t>
                  </w:r>
                </w:p>
              </w:tc>
              <w:tc>
                <w:tcPr>
                  <w:tcW w:w="1417" w:type="dxa"/>
                  <w:shd w:val="clear" w:color="auto" w:fill="auto"/>
                  <w:vAlign w:val="center"/>
                  <w:hideMark/>
                </w:tcPr>
                <w:p w:rsidR="00B07AB8" w:rsidRPr="004E1F15" w:rsidRDefault="00B07AB8" w:rsidP="004E1F15">
                  <w:pPr>
                    <w:spacing w:after="0" w:line="240" w:lineRule="auto"/>
                    <w:ind w:left="152" w:right="137"/>
                    <w:jc w:val="center"/>
                    <w:rPr>
                      <w:rFonts w:ascii="Arial Narrow" w:hAnsi="Arial Narrow"/>
                      <w:i/>
                      <w:iCs/>
                      <w:sz w:val="20"/>
                      <w:szCs w:val="20"/>
                    </w:rPr>
                  </w:pPr>
                  <w:r w:rsidRPr="004E1F15">
                    <w:rPr>
                      <w:rFonts w:ascii="Arial Narrow" w:hAnsi="Arial Narrow"/>
                      <w:i/>
                      <w:iCs/>
                      <w:sz w:val="20"/>
                      <w:szCs w:val="20"/>
                    </w:rPr>
                    <w:t>107,50%</w:t>
                  </w:r>
                </w:p>
              </w:tc>
              <w:tc>
                <w:tcPr>
                  <w:tcW w:w="1146" w:type="dxa"/>
                  <w:shd w:val="clear" w:color="auto" w:fill="auto"/>
                  <w:vAlign w:val="center"/>
                  <w:hideMark/>
                </w:tcPr>
                <w:p w:rsidR="00B07AB8" w:rsidRPr="004E1F15" w:rsidRDefault="00B07AB8" w:rsidP="004E1F15">
                  <w:pPr>
                    <w:spacing w:after="0" w:line="240" w:lineRule="auto"/>
                    <w:ind w:left="152" w:right="137"/>
                    <w:jc w:val="center"/>
                    <w:rPr>
                      <w:rFonts w:ascii="Arial Narrow" w:hAnsi="Arial Narrow"/>
                      <w:i/>
                      <w:iCs/>
                      <w:sz w:val="20"/>
                      <w:szCs w:val="20"/>
                    </w:rPr>
                  </w:pPr>
                  <w:r w:rsidRPr="004E1F15">
                    <w:rPr>
                      <w:rFonts w:ascii="Arial Narrow" w:hAnsi="Arial Narrow"/>
                      <w:i/>
                      <w:iCs/>
                      <w:sz w:val="20"/>
                      <w:szCs w:val="20"/>
                    </w:rPr>
                    <w:t>103,0%</w:t>
                  </w:r>
                </w:p>
              </w:tc>
            </w:tr>
            <w:tr w:rsidR="00B07AB8" w:rsidRPr="004E1F15" w:rsidTr="00B40EE4">
              <w:tc>
                <w:tcPr>
                  <w:tcW w:w="4387" w:type="dxa"/>
                  <w:tcBorders>
                    <w:left w:val="single" w:sz="4" w:space="0" w:color="auto"/>
                  </w:tcBorders>
                  <w:shd w:val="clear" w:color="auto" w:fill="auto"/>
                  <w:vAlign w:val="center"/>
                  <w:hideMark/>
                </w:tcPr>
                <w:p w:rsidR="00B07AB8" w:rsidRPr="004E1F15" w:rsidRDefault="00B07AB8" w:rsidP="00B40EE4">
                  <w:pPr>
                    <w:spacing w:after="0" w:line="240" w:lineRule="auto"/>
                    <w:ind w:left="152" w:right="137"/>
                    <w:rPr>
                      <w:rFonts w:ascii="Arial Narrow" w:hAnsi="Arial Narrow"/>
                      <w:sz w:val="20"/>
                      <w:szCs w:val="20"/>
                    </w:rPr>
                  </w:pPr>
                  <w:r w:rsidRPr="004E1F15">
                    <w:rPr>
                      <w:rFonts w:ascii="Arial Narrow" w:hAnsi="Arial Narrow"/>
                      <w:sz w:val="20"/>
                      <w:szCs w:val="20"/>
                    </w:rPr>
                    <w:t>- на отопление с одновременным использованием газа на другие цели (кроме отопления и (или) выработки электрической энергии с использованием котельных всех типов и (или) иного оборудования, находящихся в общей долевой собственности собственников помещений в многоквартирных домах)</w:t>
                  </w:r>
                </w:p>
              </w:tc>
              <w:tc>
                <w:tcPr>
                  <w:tcW w:w="1418" w:type="dxa"/>
                  <w:shd w:val="clear" w:color="auto" w:fill="auto"/>
                  <w:vAlign w:val="center"/>
                  <w:hideMark/>
                </w:tcPr>
                <w:p w:rsidR="00B07AB8" w:rsidRPr="004E1F15" w:rsidRDefault="00B07AB8" w:rsidP="004E1F15">
                  <w:pPr>
                    <w:spacing w:after="0" w:line="240" w:lineRule="auto"/>
                    <w:ind w:left="152" w:right="137"/>
                    <w:jc w:val="center"/>
                    <w:rPr>
                      <w:rFonts w:ascii="Arial Narrow" w:hAnsi="Arial Narrow"/>
                      <w:b/>
                      <w:bCs/>
                      <w:sz w:val="20"/>
                      <w:szCs w:val="20"/>
                    </w:rPr>
                  </w:pPr>
                  <w:r w:rsidRPr="004E1F15">
                    <w:rPr>
                      <w:rFonts w:ascii="Arial Narrow" w:hAnsi="Arial Narrow"/>
                      <w:b/>
                      <w:bCs/>
                      <w:sz w:val="20"/>
                      <w:szCs w:val="20"/>
                    </w:rPr>
                    <w:t>4240</w:t>
                  </w:r>
                </w:p>
              </w:tc>
              <w:tc>
                <w:tcPr>
                  <w:tcW w:w="1417" w:type="dxa"/>
                  <w:shd w:val="clear" w:color="auto" w:fill="auto"/>
                  <w:vAlign w:val="center"/>
                  <w:hideMark/>
                </w:tcPr>
                <w:p w:rsidR="00B07AB8" w:rsidRPr="004E1F15" w:rsidRDefault="00B07AB8" w:rsidP="004E1F15">
                  <w:pPr>
                    <w:spacing w:after="0" w:line="240" w:lineRule="auto"/>
                    <w:ind w:left="152" w:right="137"/>
                    <w:jc w:val="center"/>
                    <w:rPr>
                      <w:rFonts w:ascii="Arial Narrow" w:hAnsi="Arial Narrow"/>
                      <w:b/>
                      <w:bCs/>
                      <w:sz w:val="20"/>
                      <w:szCs w:val="20"/>
                    </w:rPr>
                  </w:pPr>
                  <w:r w:rsidRPr="004E1F15">
                    <w:rPr>
                      <w:rFonts w:ascii="Arial Narrow" w:hAnsi="Arial Narrow"/>
                      <w:b/>
                      <w:bCs/>
                      <w:sz w:val="20"/>
                      <w:szCs w:val="20"/>
                    </w:rPr>
                    <w:t>4560</w:t>
                  </w:r>
                </w:p>
              </w:tc>
              <w:tc>
                <w:tcPr>
                  <w:tcW w:w="1146" w:type="dxa"/>
                  <w:shd w:val="clear" w:color="auto" w:fill="auto"/>
                  <w:vAlign w:val="center"/>
                  <w:hideMark/>
                </w:tcPr>
                <w:p w:rsidR="00B07AB8" w:rsidRPr="004E1F15" w:rsidRDefault="00B07AB8" w:rsidP="004E1F15">
                  <w:pPr>
                    <w:spacing w:after="0" w:line="240" w:lineRule="auto"/>
                    <w:ind w:left="152" w:right="137"/>
                    <w:jc w:val="center"/>
                    <w:rPr>
                      <w:rFonts w:ascii="Arial Narrow" w:hAnsi="Arial Narrow"/>
                      <w:b/>
                      <w:bCs/>
                      <w:sz w:val="20"/>
                      <w:szCs w:val="20"/>
                    </w:rPr>
                  </w:pPr>
                  <w:r w:rsidRPr="004E1F15">
                    <w:rPr>
                      <w:rFonts w:ascii="Arial Narrow" w:hAnsi="Arial Narrow"/>
                      <w:b/>
                      <w:bCs/>
                      <w:sz w:val="20"/>
                      <w:szCs w:val="20"/>
                    </w:rPr>
                    <w:t>4695</w:t>
                  </w:r>
                </w:p>
              </w:tc>
            </w:tr>
            <w:tr w:rsidR="00B07AB8" w:rsidRPr="004E1F15" w:rsidTr="00B40EE4">
              <w:tc>
                <w:tcPr>
                  <w:tcW w:w="4387" w:type="dxa"/>
                  <w:tcBorders>
                    <w:left w:val="single" w:sz="4" w:space="0" w:color="auto"/>
                  </w:tcBorders>
                  <w:shd w:val="clear" w:color="auto" w:fill="auto"/>
                  <w:vAlign w:val="center"/>
                  <w:hideMark/>
                </w:tcPr>
                <w:p w:rsidR="00B07AB8" w:rsidRPr="004E1F15" w:rsidRDefault="00B07AB8" w:rsidP="00B40EE4">
                  <w:pPr>
                    <w:spacing w:after="0" w:line="240" w:lineRule="auto"/>
                    <w:ind w:left="152" w:right="137"/>
                    <w:rPr>
                      <w:rFonts w:ascii="Arial Narrow" w:hAnsi="Arial Narrow"/>
                      <w:sz w:val="20"/>
                      <w:szCs w:val="20"/>
                    </w:rPr>
                  </w:pPr>
                  <w:r w:rsidRPr="004E1F15">
                    <w:rPr>
                      <w:rFonts w:ascii="Arial Narrow" w:hAnsi="Arial Narrow"/>
                      <w:sz w:val="20"/>
                      <w:szCs w:val="20"/>
                    </w:rPr>
                    <w:t>- на отопление и (или) выработку электрической энергии с использованием котельных всех типов и (или) иного оборудования, находящихся в общей долевой собственности собственников помещений в многоквартирных домах</w:t>
                  </w:r>
                </w:p>
              </w:tc>
              <w:tc>
                <w:tcPr>
                  <w:tcW w:w="1418" w:type="dxa"/>
                  <w:shd w:val="clear" w:color="auto" w:fill="auto"/>
                  <w:vAlign w:val="center"/>
                  <w:hideMark/>
                </w:tcPr>
                <w:p w:rsidR="00B07AB8" w:rsidRPr="004E1F15" w:rsidRDefault="00B07AB8" w:rsidP="004E1F15">
                  <w:pPr>
                    <w:spacing w:after="0" w:line="240" w:lineRule="auto"/>
                    <w:ind w:left="152" w:right="137"/>
                    <w:jc w:val="center"/>
                    <w:rPr>
                      <w:rFonts w:ascii="Arial Narrow" w:hAnsi="Arial Narrow"/>
                      <w:i/>
                      <w:iCs/>
                      <w:sz w:val="20"/>
                      <w:szCs w:val="20"/>
                    </w:rPr>
                  </w:pPr>
                  <w:r w:rsidRPr="004E1F15">
                    <w:rPr>
                      <w:rFonts w:ascii="Arial Narrow" w:hAnsi="Arial Narrow"/>
                      <w:i/>
                      <w:iCs/>
                      <w:sz w:val="20"/>
                      <w:szCs w:val="20"/>
                    </w:rPr>
                    <w:t>-</w:t>
                  </w:r>
                </w:p>
              </w:tc>
              <w:tc>
                <w:tcPr>
                  <w:tcW w:w="1417" w:type="dxa"/>
                  <w:shd w:val="clear" w:color="auto" w:fill="auto"/>
                  <w:vAlign w:val="center"/>
                  <w:hideMark/>
                </w:tcPr>
                <w:p w:rsidR="00B07AB8" w:rsidRPr="004E1F15" w:rsidRDefault="00B07AB8" w:rsidP="004E1F15">
                  <w:pPr>
                    <w:spacing w:after="0" w:line="240" w:lineRule="auto"/>
                    <w:ind w:left="152" w:right="137"/>
                    <w:jc w:val="center"/>
                    <w:rPr>
                      <w:rFonts w:ascii="Arial Narrow" w:hAnsi="Arial Narrow"/>
                      <w:i/>
                      <w:iCs/>
                      <w:sz w:val="20"/>
                      <w:szCs w:val="20"/>
                    </w:rPr>
                  </w:pPr>
                  <w:r w:rsidRPr="004E1F15">
                    <w:rPr>
                      <w:rFonts w:ascii="Arial Narrow" w:hAnsi="Arial Narrow"/>
                      <w:i/>
                      <w:iCs/>
                      <w:sz w:val="20"/>
                      <w:szCs w:val="20"/>
                    </w:rPr>
                    <w:t>107,50%</w:t>
                  </w:r>
                </w:p>
              </w:tc>
              <w:tc>
                <w:tcPr>
                  <w:tcW w:w="1146" w:type="dxa"/>
                  <w:shd w:val="clear" w:color="auto" w:fill="auto"/>
                  <w:vAlign w:val="center"/>
                  <w:hideMark/>
                </w:tcPr>
                <w:p w:rsidR="00B07AB8" w:rsidRPr="004E1F15" w:rsidRDefault="00B07AB8" w:rsidP="004E1F15">
                  <w:pPr>
                    <w:spacing w:after="0" w:line="240" w:lineRule="auto"/>
                    <w:ind w:left="152" w:right="137"/>
                    <w:jc w:val="center"/>
                    <w:rPr>
                      <w:rFonts w:ascii="Arial Narrow" w:hAnsi="Arial Narrow"/>
                      <w:i/>
                      <w:iCs/>
                      <w:sz w:val="20"/>
                      <w:szCs w:val="20"/>
                    </w:rPr>
                  </w:pPr>
                  <w:r w:rsidRPr="004E1F15">
                    <w:rPr>
                      <w:rFonts w:ascii="Arial Narrow" w:hAnsi="Arial Narrow"/>
                      <w:i/>
                      <w:iCs/>
                      <w:sz w:val="20"/>
                      <w:szCs w:val="20"/>
                    </w:rPr>
                    <w:t>103,0%</w:t>
                  </w:r>
                </w:p>
              </w:tc>
            </w:tr>
            <w:tr w:rsidR="00B07AB8" w:rsidRPr="004E1F15" w:rsidTr="00B40EE4">
              <w:tc>
                <w:tcPr>
                  <w:tcW w:w="4387" w:type="dxa"/>
                  <w:tcBorders>
                    <w:left w:val="single" w:sz="4" w:space="0" w:color="auto"/>
                  </w:tcBorders>
                  <w:shd w:val="clear" w:color="auto" w:fill="auto"/>
                  <w:vAlign w:val="center"/>
                  <w:hideMark/>
                </w:tcPr>
                <w:p w:rsidR="00B07AB8" w:rsidRPr="004E1F15" w:rsidRDefault="00B07AB8" w:rsidP="00B40EE4">
                  <w:pPr>
                    <w:spacing w:after="0" w:line="240" w:lineRule="auto"/>
                    <w:ind w:left="152" w:right="137"/>
                    <w:rPr>
                      <w:rFonts w:ascii="Arial Narrow" w:hAnsi="Arial Narrow"/>
                      <w:sz w:val="20"/>
                      <w:szCs w:val="20"/>
                    </w:rPr>
                  </w:pPr>
                  <w:r w:rsidRPr="004E1F15">
                    <w:rPr>
                      <w:rFonts w:ascii="Arial Narrow" w:hAnsi="Arial Narrow"/>
                      <w:sz w:val="20"/>
                      <w:szCs w:val="20"/>
                    </w:rPr>
                    <w:t>Приказ департамента по тарифам Новосибирской области</w:t>
                  </w:r>
                </w:p>
              </w:tc>
              <w:tc>
                <w:tcPr>
                  <w:tcW w:w="1418" w:type="dxa"/>
                  <w:shd w:val="clear" w:color="auto" w:fill="auto"/>
                  <w:vAlign w:val="center"/>
                  <w:hideMark/>
                </w:tcPr>
                <w:p w:rsidR="00B07AB8" w:rsidRPr="004E1F15" w:rsidRDefault="00B07AB8" w:rsidP="004E1F15">
                  <w:pPr>
                    <w:spacing w:after="0" w:line="240" w:lineRule="auto"/>
                    <w:ind w:left="152" w:right="137"/>
                    <w:jc w:val="center"/>
                    <w:rPr>
                      <w:rFonts w:ascii="Arial Narrow" w:hAnsi="Arial Narrow"/>
                      <w:sz w:val="20"/>
                      <w:szCs w:val="20"/>
                    </w:rPr>
                  </w:pPr>
                  <w:r w:rsidRPr="004E1F15">
                    <w:rPr>
                      <w:rFonts w:ascii="Arial Narrow" w:hAnsi="Arial Narrow"/>
                      <w:sz w:val="20"/>
                      <w:szCs w:val="20"/>
                    </w:rPr>
                    <w:t>от 05.06.2014 № 93-Г</w:t>
                  </w:r>
                </w:p>
              </w:tc>
              <w:tc>
                <w:tcPr>
                  <w:tcW w:w="1417" w:type="dxa"/>
                  <w:shd w:val="clear" w:color="auto" w:fill="auto"/>
                  <w:vAlign w:val="center"/>
                  <w:hideMark/>
                </w:tcPr>
                <w:p w:rsidR="00B07AB8" w:rsidRPr="004E1F15" w:rsidRDefault="00B07AB8" w:rsidP="004E1F15">
                  <w:pPr>
                    <w:spacing w:after="0" w:line="240" w:lineRule="auto"/>
                    <w:ind w:left="152" w:right="137"/>
                    <w:jc w:val="center"/>
                    <w:rPr>
                      <w:rFonts w:ascii="Arial Narrow" w:hAnsi="Arial Narrow"/>
                      <w:sz w:val="20"/>
                      <w:szCs w:val="20"/>
                    </w:rPr>
                  </w:pPr>
                  <w:r w:rsidRPr="004E1F15">
                    <w:rPr>
                      <w:rFonts w:ascii="Arial Narrow" w:hAnsi="Arial Narrow"/>
                      <w:sz w:val="20"/>
                      <w:szCs w:val="20"/>
                    </w:rPr>
                    <w:t>от 18.06.2015   № 90-Г</w:t>
                  </w:r>
                </w:p>
              </w:tc>
              <w:tc>
                <w:tcPr>
                  <w:tcW w:w="1146" w:type="dxa"/>
                  <w:shd w:val="clear" w:color="auto" w:fill="auto"/>
                  <w:vAlign w:val="center"/>
                  <w:hideMark/>
                </w:tcPr>
                <w:p w:rsidR="00B07AB8" w:rsidRPr="004E1F15" w:rsidRDefault="00B07AB8" w:rsidP="004E1F15">
                  <w:pPr>
                    <w:spacing w:after="0" w:line="240" w:lineRule="auto"/>
                    <w:ind w:left="152" w:right="137"/>
                    <w:jc w:val="center"/>
                    <w:rPr>
                      <w:rFonts w:ascii="Arial Narrow" w:hAnsi="Arial Narrow"/>
                      <w:sz w:val="20"/>
                      <w:szCs w:val="20"/>
                    </w:rPr>
                  </w:pPr>
                  <w:r w:rsidRPr="004E1F15">
                    <w:rPr>
                      <w:rFonts w:ascii="Arial Narrow" w:hAnsi="Arial Narrow"/>
                      <w:sz w:val="20"/>
                      <w:szCs w:val="20"/>
                    </w:rPr>
                    <w:t>от 15.06.2016  № 88-г</w:t>
                  </w:r>
                </w:p>
              </w:tc>
            </w:tr>
          </w:tbl>
          <w:p w:rsidR="00B07AB8" w:rsidRPr="004E1F15" w:rsidRDefault="00B07AB8" w:rsidP="004E1F15">
            <w:pPr>
              <w:spacing w:after="0" w:line="240" w:lineRule="auto"/>
              <w:ind w:left="152" w:right="137"/>
              <w:jc w:val="both"/>
              <w:rPr>
                <w:rFonts w:ascii="Arial Narrow" w:hAnsi="Arial Narrow"/>
                <w:sz w:val="20"/>
                <w:szCs w:val="20"/>
              </w:rPr>
            </w:pPr>
            <w:r w:rsidRPr="004E1F15">
              <w:rPr>
                <w:rFonts w:ascii="Arial Narrow" w:hAnsi="Arial Narrow"/>
                <w:sz w:val="20"/>
                <w:szCs w:val="20"/>
              </w:rPr>
              <w:t>* величина тарифов первого полугодия (в соответствии с действующим законодательством РФ в сфере государственного регулирования цен (тарифов)) равна величине тарифов, действующих во втором полугодии предыдущего года.</w:t>
            </w:r>
          </w:p>
          <w:p w:rsidR="00B07AB8" w:rsidRPr="004E1F15" w:rsidRDefault="00B07AB8" w:rsidP="004E1F15">
            <w:pPr>
              <w:spacing w:after="0" w:line="240" w:lineRule="auto"/>
              <w:ind w:left="152" w:right="137"/>
              <w:jc w:val="both"/>
              <w:rPr>
                <w:rFonts w:ascii="Arial Narrow" w:hAnsi="Arial Narrow"/>
                <w:sz w:val="20"/>
                <w:szCs w:val="20"/>
              </w:rPr>
            </w:pPr>
          </w:p>
          <w:p w:rsidR="00B07AB8" w:rsidRPr="004E1F15" w:rsidRDefault="00B07AB8" w:rsidP="004E1F15">
            <w:pPr>
              <w:spacing w:after="0" w:line="240" w:lineRule="auto"/>
              <w:ind w:left="152" w:right="137"/>
              <w:jc w:val="both"/>
              <w:rPr>
                <w:rFonts w:ascii="Arial Narrow" w:hAnsi="Arial Narrow"/>
                <w:sz w:val="20"/>
                <w:szCs w:val="20"/>
              </w:rPr>
            </w:pPr>
            <w:r w:rsidRPr="004E1F15">
              <w:rPr>
                <w:rFonts w:ascii="Arial Narrow" w:hAnsi="Arial Narrow"/>
                <w:sz w:val="20"/>
                <w:szCs w:val="20"/>
              </w:rPr>
              <w:t>Для населения и категорий, приравненных к населению, рост тарифов на газ составляет с 1.07.2015 г. 107,5 %. В 2016 г. увеличение цен произошло также с 1 июля и составило 103,0 %.</w:t>
            </w:r>
          </w:p>
          <w:p w:rsidR="00B07AB8" w:rsidRPr="004E1F15" w:rsidRDefault="00B07AB8" w:rsidP="004E1F15">
            <w:pPr>
              <w:spacing w:after="0" w:line="240" w:lineRule="auto"/>
              <w:ind w:left="152" w:right="137"/>
              <w:jc w:val="both"/>
              <w:rPr>
                <w:rFonts w:ascii="Arial Narrow" w:hAnsi="Arial Narrow"/>
                <w:sz w:val="20"/>
                <w:szCs w:val="20"/>
              </w:rPr>
            </w:pPr>
            <w:r w:rsidRPr="004E1F15">
              <w:rPr>
                <w:rFonts w:ascii="Arial Narrow" w:hAnsi="Arial Narrow"/>
                <w:sz w:val="20"/>
                <w:szCs w:val="20"/>
              </w:rPr>
              <w:t>В соответствии с Прогнозом социально-экономического развития Российской Федерации на 2015 год и на плановый период 2016 и 2017 годов повышение цен на газ для населения производится один раз в год - с 1 июля, при этом рост цен для конечных потребителей не должен превышать 7,5 %.</w:t>
            </w:r>
          </w:p>
        </w:tc>
      </w:tr>
    </w:tbl>
    <w:p w:rsidR="00B07AB8" w:rsidRPr="00B07AB8" w:rsidRDefault="00B07AB8" w:rsidP="00C54B76">
      <w:pPr>
        <w:spacing w:after="0"/>
        <w:rPr>
          <w:rFonts w:ascii="Arial Narrow" w:hAnsi="Arial Narrow"/>
        </w:rPr>
      </w:pPr>
    </w:p>
    <w:p w:rsidR="00B07AB8" w:rsidRPr="00B07AB8" w:rsidRDefault="00B07AB8" w:rsidP="00C54B76">
      <w:pPr>
        <w:spacing w:after="0"/>
        <w:rPr>
          <w:rFonts w:ascii="Arial Narrow" w:hAnsi="Arial Narrow"/>
        </w:rPr>
      </w:pPr>
      <w:r w:rsidRPr="00B07AB8">
        <w:rPr>
          <w:rFonts w:ascii="Arial Narrow" w:hAnsi="Arial Narrow"/>
        </w:rPr>
        <w:br w:type="page"/>
      </w:r>
    </w:p>
    <w:p w:rsidR="00B07AB8" w:rsidRPr="00B07AB8" w:rsidRDefault="00B07AB8" w:rsidP="00B07AB8">
      <w:pPr>
        <w:spacing w:after="0" w:line="240" w:lineRule="auto"/>
        <w:jc w:val="right"/>
        <w:rPr>
          <w:rFonts w:ascii="Arial Narrow" w:hAnsi="Arial Narrow"/>
          <w:sz w:val="24"/>
          <w:szCs w:val="24"/>
        </w:rPr>
      </w:pPr>
      <w:r w:rsidRPr="00B07AB8">
        <w:rPr>
          <w:rFonts w:ascii="Arial Narrow" w:hAnsi="Arial Narrow"/>
          <w:sz w:val="24"/>
          <w:szCs w:val="24"/>
        </w:rPr>
        <w:lastRenderedPageBreak/>
        <w:t xml:space="preserve">Продолжение Таблицы </w:t>
      </w:r>
      <w:r w:rsidR="00A43AC6">
        <w:rPr>
          <w:rFonts w:ascii="Arial Narrow" w:hAnsi="Arial Narrow"/>
          <w:sz w:val="24"/>
          <w:szCs w:val="24"/>
        </w:rPr>
        <w:t>5.</w:t>
      </w:r>
      <w:r w:rsidRPr="00B07AB8">
        <w:rPr>
          <w:rFonts w:ascii="Arial Narrow" w:hAnsi="Arial Narrow"/>
          <w:sz w:val="24"/>
          <w:szCs w:val="24"/>
        </w:rPr>
        <w:t>1</w:t>
      </w:r>
    </w:p>
    <w:tbl>
      <w:tblPr>
        <w:tblW w:w="10217"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284"/>
        <w:gridCol w:w="1281"/>
        <w:gridCol w:w="8652"/>
      </w:tblGrid>
      <w:tr w:rsidR="00B07AB8" w:rsidRPr="00275B35" w:rsidTr="00A64028">
        <w:trPr>
          <w:trHeight w:val="8654"/>
        </w:trPr>
        <w:tc>
          <w:tcPr>
            <w:tcW w:w="284" w:type="dxa"/>
            <w:vAlign w:val="center"/>
          </w:tcPr>
          <w:p w:rsidR="00B07AB8" w:rsidRPr="00275B35" w:rsidRDefault="00B07AB8" w:rsidP="004E1F15">
            <w:pPr>
              <w:spacing w:after="0" w:line="240" w:lineRule="auto"/>
              <w:jc w:val="center"/>
              <w:rPr>
                <w:rFonts w:ascii="Arial Narrow" w:hAnsi="Arial Narrow"/>
                <w:sz w:val="20"/>
                <w:szCs w:val="20"/>
              </w:rPr>
            </w:pPr>
            <w:r w:rsidRPr="00275B35">
              <w:rPr>
                <w:rFonts w:ascii="Arial Narrow" w:hAnsi="Arial Narrow"/>
                <w:sz w:val="20"/>
                <w:szCs w:val="20"/>
              </w:rPr>
              <w:t>4.</w:t>
            </w:r>
          </w:p>
        </w:tc>
        <w:tc>
          <w:tcPr>
            <w:tcW w:w="1281" w:type="dxa"/>
            <w:vAlign w:val="center"/>
          </w:tcPr>
          <w:p w:rsidR="00B07AB8" w:rsidRPr="00275B35" w:rsidRDefault="00B07AB8" w:rsidP="00B40EE4">
            <w:pPr>
              <w:spacing w:after="0" w:line="240" w:lineRule="auto"/>
              <w:ind w:left="152" w:right="137"/>
              <w:rPr>
                <w:rFonts w:ascii="Arial Narrow" w:hAnsi="Arial Narrow"/>
                <w:sz w:val="20"/>
                <w:szCs w:val="20"/>
              </w:rPr>
            </w:pPr>
            <w:r w:rsidRPr="00275B35">
              <w:rPr>
                <w:rFonts w:ascii="Arial Narrow" w:hAnsi="Arial Narrow"/>
                <w:sz w:val="20"/>
                <w:szCs w:val="20"/>
              </w:rPr>
              <w:t>Железнодорожные перевозки (перевозки пассажиров в пригородном сообщении)</w:t>
            </w:r>
          </w:p>
        </w:tc>
        <w:tc>
          <w:tcPr>
            <w:tcW w:w="8652" w:type="dxa"/>
          </w:tcPr>
          <w:p w:rsidR="00B07AB8" w:rsidRPr="00275B35" w:rsidRDefault="00B07AB8" w:rsidP="004E1F15">
            <w:pPr>
              <w:spacing w:before="120" w:after="0" w:line="240" w:lineRule="auto"/>
              <w:ind w:left="152" w:right="137"/>
              <w:jc w:val="both"/>
              <w:rPr>
                <w:rFonts w:ascii="Arial Narrow" w:hAnsi="Arial Narrow"/>
                <w:b/>
                <w:sz w:val="20"/>
                <w:szCs w:val="20"/>
              </w:rPr>
            </w:pPr>
            <w:r w:rsidRPr="00275B35">
              <w:rPr>
                <w:rFonts w:ascii="Arial Narrow" w:hAnsi="Arial Narrow"/>
                <w:b/>
                <w:sz w:val="20"/>
                <w:szCs w:val="20"/>
              </w:rPr>
              <w:t>Тарифы на услуги ОАО «Экспресс-пригород» по перевозке пассажиров железнодорожным транспортом в пригородном сообщении на территории Новосибирской области</w:t>
            </w:r>
          </w:p>
          <w:tbl>
            <w:tblPr>
              <w:tblW w:w="7898" w:type="dxa"/>
              <w:tblInd w:w="142" w:type="dxa"/>
              <w:tblLayout w:type="fixed"/>
              <w:tblCellMar>
                <w:left w:w="0" w:type="dxa"/>
                <w:right w:w="0" w:type="dxa"/>
              </w:tblCellMar>
              <w:tblLook w:val="04A0"/>
            </w:tblPr>
            <w:tblGrid>
              <w:gridCol w:w="587"/>
              <w:gridCol w:w="1701"/>
              <w:gridCol w:w="709"/>
              <w:gridCol w:w="685"/>
              <w:gridCol w:w="741"/>
              <w:gridCol w:w="676"/>
              <w:gridCol w:w="709"/>
              <w:gridCol w:w="685"/>
              <w:gridCol w:w="672"/>
              <w:gridCol w:w="709"/>
              <w:gridCol w:w="24"/>
            </w:tblGrid>
            <w:tr w:rsidR="00B07AB8" w:rsidRPr="00275B35" w:rsidTr="004E1F15">
              <w:tc>
                <w:tcPr>
                  <w:tcW w:w="58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Зоны</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Расстояние, км</w:t>
                  </w:r>
                </w:p>
              </w:tc>
              <w:tc>
                <w:tcPr>
                  <w:tcW w:w="1394" w:type="dxa"/>
                  <w:gridSpan w:val="2"/>
                  <w:tcBorders>
                    <w:top w:val="single" w:sz="4" w:space="0" w:color="auto"/>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Тарифы для расчета с пассажирами (приказ от 06.02.2014 № 14-ТС), руб.</w:t>
                  </w:r>
                </w:p>
              </w:tc>
              <w:tc>
                <w:tcPr>
                  <w:tcW w:w="1417" w:type="dxa"/>
                  <w:gridSpan w:val="2"/>
                  <w:tcBorders>
                    <w:top w:val="single" w:sz="4" w:space="0" w:color="auto"/>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Тарифы для расчета с пассажирами (приказ от 11.02.2015 № 20-ТС), руб.</w:t>
                  </w:r>
                </w:p>
              </w:tc>
              <w:tc>
                <w:tcPr>
                  <w:tcW w:w="1394" w:type="dxa"/>
                  <w:gridSpan w:val="2"/>
                  <w:tcBorders>
                    <w:top w:val="single" w:sz="4" w:space="0" w:color="auto"/>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Тарифы для расчета с пассажирами (приказ от 28.05.2015 № 75-ТС), руб.</w:t>
                  </w:r>
                </w:p>
              </w:tc>
              <w:tc>
                <w:tcPr>
                  <w:tcW w:w="1405" w:type="dxa"/>
                  <w:gridSpan w:val="3"/>
                  <w:tcBorders>
                    <w:top w:val="single" w:sz="4" w:space="0" w:color="auto"/>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Тарифы для расчета с пассажирами (приказ от 16.12.2015 № 438-ТС), руб.</w:t>
                  </w:r>
                </w:p>
              </w:tc>
            </w:tr>
            <w:tr w:rsidR="00B07AB8" w:rsidRPr="00275B35" w:rsidTr="004E1F15">
              <w:tc>
                <w:tcPr>
                  <w:tcW w:w="587" w:type="dxa"/>
                  <w:vMerge/>
                  <w:tcBorders>
                    <w:top w:val="single" w:sz="4" w:space="0" w:color="auto"/>
                    <w:left w:val="single" w:sz="4" w:space="0" w:color="auto"/>
                    <w:bottom w:val="single" w:sz="4" w:space="0" w:color="auto"/>
                    <w:right w:val="single" w:sz="4" w:space="0" w:color="auto"/>
                  </w:tcBorders>
                  <w:vAlign w:val="center"/>
                  <w:hideMark/>
                </w:tcPr>
                <w:p w:rsidR="00B07AB8" w:rsidRPr="00275B35" w:rsidRDefault="00B07AB8" w:rsidP="004E1F15">
                  <w:pPr>
                    <w:spacing w:after="0" w:line="240" w:lineRule="auto"/>
                    <w:ind w:left="152" w:right="137"/>
                    <w:rPr>
                      <w:rFonts w:ascii="Arial Narrow" w:hAnsi="Arial Narrow"/>
                      <w:sz w:val="20"/>
                      <w:szCs w:val="20"/>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B07AB8" w:rsidRPr="00275B35" w:rsidRDefault="00B07AB8" w:rsidP="004E1F15">
                  <w:pPr>
                    <w:spacing w:after="0" w:line="240" w:lineRule="auto"/>
                    <w:ind w:left="152" w:right="137"/>
                    <w:rPr>
                      <w:rFonts w:ascii="Arial Narrow" w:hAnsi="Arial Narrow"/>
                      <w:sz w:val="20"/>
                      <w:szCs w:val="20"/>
                    </w:rPr>
                  </w:pPr>
                </w:p>
              </w:tc>
              <w:tc>
                <w:tcPr>
                  <w:tcW w:w="1394" w:type="dxa"/>
                  <w:gridSpan w:val="2"/>
                  <w:tcBorders>
                    <w:top w:val="single" w:sz="4" w:space="0" w:color="auto"/>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С 06.02.2014</w:t>
                  </w:r>
                </w:p>
              </w:tc>
              <w:tc>
                <w:tcPr>
                  <w:tcW w:w="1417" w:type="dxa"/>
                  <w:gridSpan w:val="2"/>
                  <w:tcBorders>
                    <w:top w:val="single" w:sz="4" w:space="0" w:color="auto"/>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С 25.02.2015</w:t>
                  </w:r>
                </w:p>
              </w:tc>
              <w:tc>
                <w:tcPr>
                  <w:tcW w:w="1394" w:type="dxa"/>
                  <w:gridSpan w:val="2"/>
                  <w:tcBorders>
                    <w:top w:val="single" w:sz="4" w:space="0" w:color="auto"/>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С 28.05.2015</w:t>
                  </w:r>
                </w:p>
              </w:tc>
              <w:tc>
                <w:tcPr>
                  <w:tcW w:w="1405" w:type="dxa"/>
                  <w:gridSpan w:val="3"/>
                  <w:tcBorders>
                    <w:top w:val="single" w:sz="4" w:space="0" w:color="auto"/>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С 01.01.2016</w:t>
                  </w:r>
                </w:p>
              </w:tc>
            </w:tr>
            <w:tr w:rsidR="00B07AB8" w:rsidRPr="00275B35" w:rsidTr="004E1F15">
              <w:trPr>
                <w:gridAfter w:val="1"/>
                <w:wAfter w:w="24" w:type="dxa"/>
              </w:trPr>
              <w:tc>
                <w:tcPr>
                  <w:tcW w:w="587" w:type="dxa"/>
                  <w:vMerge/>
                  <w:tcBorders>
                    <w:top w:val="single" w:sz="4" w:space="0" w:color="auto"/>
                    <w:left w:val="single" w:sz="4" w:space="0" w:color="auto"/>
                    <w:bottom w:val="single" w:sz="4" w:space="0" w:color="auto"/>
                    <w:right w:val="single" w:sz="4" w:space="0" w:color="auto"/>
                  </w:tcBorders>
                  <w:vAlign w:val="center"/>
                  <w:hideMark/>
                </w:tcPr>
                <w:p w:rsidR="00B07AB8" w:rsidRPr="00275B35" w:rsidRDefault="00B07AB8" w:rsidP="004E1F15">
                  <w:pPr>
                    <w:spacing w:after="0" w:line="240" w:lineRule="auto"/>
                    <w:ind w:left="152" w:right="137"/>
                    <w:rPr>
                      <w:rFonts w:ascii="Arial Narrow" w:hAnsi="Arial Narrow"/>
                      <w:sz w:val="20"/>
                      <w:szCs w:val="20"/>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B07AB8" w:rsidRPr="00275B35" w:rsidRDefault="00B07AB8" w:rsidP="004E1F15">
                  <w:pPr>
                    <w:spacing w:after="0" w:line="240" w:lineRule="auto"/>
                    <w:ind w:left="152" w:right="137"/>
                    <w:rPr>
                      <w:rFonts w:ascii="Arial Narrow" w:hAnsi="Arial Narrow"/>
                      <w:sz w:val="20"/>
                      <w:szCs w:val="20"/>
                    </w:rPr>
                  </w:pPr>
                </w:p>
              </w:tc>
              <w:tc>
                <w:tcPr>
                  <w:tcW w:w="709"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полный</w:t>
                  </w:r>
                </w:p>
              </w:tc>
              <w:tc>
                <w:tcPr>
                  <w:tcW w:w="685"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детский</w:t>
                  </w:r>
                </w:p>
              </w:tc>
              <w:tc>
                <w:tcPr>
                  <w:tcW w:w="741"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полный</w:t>
                  </w:r>
                </w:p>
              </w:tc>
              <w:tc>
                <w:tcPr>
                  <w:tcW w:w="676"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детский</w:t>
                  </w:r>
                </w:p>
              </w:tc>
              <w:tc>
                <w:tcPr>
                  <w:tcW w:w="709"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полный</w:t>
                  </w:r>
                </w:p>
              </w:tc>
              <w:tc>
                <w:tcPr>
                  <w:tcW w:w="685"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детский</w:t>
                  </w:r>
                </w:p>
              </w:tc>
              <w:tc>
                <w:tcPr>
                  <w:tcW w:w="672"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полный</w:t>
                  </w:r>
                </w:p>
              </w:tc>
              <w:tc>
                <w:tcPr>
                  <w:tcW w:w="709"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детский</w:t>
                  </w:r>
                </w:p>
              </w:tc>
            </w:tr>
            <w:tr w:rsidR="00B07AB8" w:rsidRPr="00275B35" w:rsidTr="004E1F15">
              <w:trPr>
                <w:gridAfter w:val="1"/>
                <w:wAfter w:w="24" w:type="dxa"/>
              </w:trPr>
              <w:tc>
                <w:tcPr>
                  <w:tcW w:w="587" w:type="dxa"/>
                  <w:tcBorders>
                    <w:top w:val="nil"/>
                    <w:left w:val="single" w:sz="4" w:space="0" w:color="auto"/>
                    <w:bottom w:val="single" w:sz="4" w:space="0" w:color="auto"/>
                    <w:right w:val="single" w:sz="4" w:space="0" w:color="auto"/>
                  </w:tcBorders>
                  <w:shd w:val="clear" w:color="auto" w:fill="auto"/>
                  <w:noWrap/>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w:t>
                  </w:r>
                </w:p>
              </w:tc>
              <w:tc>
                <w:tcPr>
                  <w:tcW w:w="1701" w:type="dxa"/>
                  <w:tcBorders>
                    <w:top w:val="nil"/>
                    <w:left w:val="nil"/>
                    <w:bottom w:val="single" w:sz="4" w:space="0" w:color="auto"/>
                    <w:right w:val="single" w:sz="4" w:space="0" w:color="auto"/>
                  </w:tcBorders>
                  <w:shd w:val="clear" w:color="auto" w:fill="auto"/>
                  <w:noWrap/>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0–5</w:t>
                  </w:r>
                </w:p>
              </w:tc>
              <w:tc>
                <w:tcPr>
                  <w:tcW w:w="709"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19</w:t>
                  </w:r>
                </w:p>
              </w:tc>
              <w:tc>
                <w:tcPr>
                  <w:tcW w:w="685"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5</w:t>
                  </w:r>
                </w:p>
              </w:tc>
              <w:tc>
                <w:tcPr>
                  <w:tcW w:w="741"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21</w:t>
                  </w:r>
                </w:p>
              </w:tc>
              <w:tc>
                <w:tcPr>
                  <w:tcW w:w="676"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5</w:t>
                  </w:r>
                </w:p>
              </w:tc>
              <w:tc>
                <w:tcPr>
                  <w:tcW w:w="709"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21</w:t>
                  </w:r>
                </w:p>
              </w:tc>
              <w:tc>
                <w:tcPr>
                  <w:tcW w:w="685"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5</w:t>
                  </w:r>
                </w:p>
              </w:tc>
              <w:tc>
                <w:tcPr>
                  <w:tcW w:w="672"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21</w:t>
                  </w:r>
                </w:p>
              </w:tc>
              <w:tc>
                <w:tcPr>
                  <w:tcW w:w="709"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5</w:t>
                  </w:r>
                </w:p>
              </w:tc>
            </w:tr>
            <w:tr w:rsidR="00B07AB8" w:rsidRPr="00275B35" w:rsidTr="004E1F15">
              <w:trPr>
                <w:gridAfter w:val="1"/>
                <w:wAfter w:w="24" w:type="dxa"/>
              </w:trPr>
              <w:tc>
                <w:tcPr>
                  <w:tcW w:w="587" w:type="dxa"/>
                  <w:tcBorders>
                    <w:top w:val="nil"/>
                    <w:left w:val="single" w:sz="4" w:space="0" w:color="auto"/>
                    <w:bottom w:val="single" w:sz="4" w:space="0" w:color="auto"/>
                    <w:right w:val="single" w:sz="4" w:space="0" w:color="auto"/>
                  </w:tcBorders>
                  <w:shd w:val="clear" w:color="auto" w:fill="auto"/>
                  <w:noWrap/>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2</w:t>
                  </w:r>
                </w:p>
              </w:tc>
              <w:tc>
                <w:tcPr>
                  <w:tcW w:w="1701" w:type="dxa"/>
                  <w:tcBorders>
                    <w:top w:val="nil"/>
                    <w:left w:val="nil"/>
                    <w:bottom w:val="single" w:sz="4" w:space="0" w:color="auto"/>
                    <w:right w:val="single" w:sz="4" w:space="0" w:color="auto"/>
                  </w:tcBorders>
                  <w:shd w:val="clear" w:color="auto" w:fill="auto"/>
                  <w:noWrap/>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6–15</w:t>
                  </w:r>
                </w:p>
              </w:tc>
              <w:tc>
                <w:tcPr>
                  <w:tcW w:w="709"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24</w:t>
                  </w:r>
                </w:p>
              </w:tc>
              <w:tc>
                <w:tcPr>
                  <w:tcW w:w="685"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6</w:t>
                  </w:r>
                </w:p>
              </w:tc>
              <w:tc>
                <w:tcPr>
                  <w:tcW w:w="741"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26</w:t>
                  </w:r>
                </w:p>
              </w:tc>
              <w:tc>
                <w:tcPr>
                  <w:tcW w:w="676"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7</w:t>
                  </w:r>
                </w:p>
              </w:tc>
              <w:tc>
                <w:tcPr>
                  <w:tcW w:w="709"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26</w:t>
                  </w:r>
                </w:p>
              </w:tc>
              <w:tc>
                <w:tcPr>
                  <w:tcW w:w="685"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7</w:t>
                  </w:r>
                </w:p>
              </w:tc>
              <w:tc>
                <w:tcPr>
                  <w:tcW w:w="672"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26</w:t>
                  </w:r>
                </w:p>
              </w:tc>
              <w:tc>
                <w:tcPr>
                  <w:tcW w:w="709"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7</w:t>
                  </w:r>
                </w:p>
              </w:tc>
            </w:tr>
            <w:tr w:rsidR="00B07AB8" w:rsidRPr="00275B35" w:rsidTr="004E1F15">
              <w:trPr>
                <w:gridAfter w:val="1"/>
                <w:wAfter w:w="24" w:type="dxa"/>
              </w:trPr>
              <w:tc>
                <w:tcPr>
                  <w:tcW w:w="587" w:type="dxa"/>
                  <w:tcBorders>
                    <w:top w:val="nil"/>
                    <w:left w:val="single" w:sz="4" w:space="0" w:color="auto"/>
                    <w:bottom w:val="single" w:sz="4" w:space="0" w:color="auto"/>
                    <w:right w:val="single" w:sz="4" w:space="0" w:color="auto"/>
                  </w:tcBorders>
                  <w:shd w:val="clear" w:color="auto" w:fill="auto"/>
                  <w:noWrap/>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3</w:t>
                  </w:r>
                </w:p>
              </w:tc>
              <w:tc>
                <w:tcPr>
                  <w:tcW w:w="1701" w:type="dxa"/>
                  <w:tcBorders>
                    <w:top w:val="nil"/>
                    <w:left w:val="nil"/>
                    <w:bottom w:val="single" w:sz="4" w:space="0" w:color="auto"/>
                    <w:right w:val="single" w:sz="4" w:space="0" w:color="auto"/>
                  </w:tcBorders>
                  <w:shd w:val="clear" w:color="auto" w:fill="auto"/>
                  <w:noWrap/>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16–25</w:t>
                  </w:r>
                </w:p>
              </w:tc>
              <w:tc>
                <w:tcPr>
                  <w:tcW w:w="709"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32</w:t>
                  </w:r>
                </w:p>
              </w:tc>
              <w:tc>
                <w:tcPr>
                  <w:tcW w:w="685"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8</w:t>
                  </w:r>
                </w:p>
              </w:tc>
              <w:tc>
                <w:tcPr>
                  <w:tcW w:w="741"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35</w:t>
                  </w:r>
                </w:p>
              </w:tc>
              <w:tc>
                <w:tcPr>
                  <w:tcW w:w="676"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9</w:t>
                  </w:r>
                </w:p>
              </w:tc>
              <w:tc>
                <w:tcPr>
                  <w:tcW w:w="709"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35</w:t>
                  </w:r>
                </w:p>
              </w:tc>
              <w:tc>
                <w:tcPr>
                  <w:tcW w:w="685"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9</w:t>
                  </w:r>
                </w:p>
              </w:tc>
              <w:tc>
                <w:tcPr>
                  <w:tcW w:w="672"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35</w:t>
                  </w:r>
                </w:p>
              </w:tc>
              <w:tc>
                <w:tcPr>
                  <w:tcW w:w="709"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9</w:t>
                  </w:r>
                </w:p>
              </w:tc>
            </w:tr>
            <w:tr w:rsidR="00B07AB8" w:rsidRPr="00275B35" w:rsidTr="004E1F15">
              <w:trPr>
                <w:gridAfter w:val="1"/>
                <w:wAfter w:w="24" w:type="dxa"/>
              </w:trPr>
              <w:tc>
                <w:tcPr>
                  <w:tcW w:w="587" w:type="dxa"/>
                  <w:tcBorders>
                    <w:top w:val="nil"/>
                    <w:left w:val="single" w:sz="4" w:space="0" w:color="auto"/>
                    <w:bottom w:val="single" w:sz="4" w:space="0" w:color="auto"/>
                    <w:right w:val="single" w:sz="4" w:space="0" w:color="auto"/>
                  </w:tcBorders>
                  <w:shd w:val="clear" w:color="auto" w:fill="auto"/>
                  <w:noWrap/>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4</w:t>
                  </w:r>
                </w:p>
              </w:tc>
              <w:tc>
                <w:tcPr>
                  <w:tcW w:w="1701" w:type="dxa"/>
                  <w:tcBorders>
                    <w:top w:val="nil"/>
                    <w:left w:val="nil"/>
                    <w:bottom w:val="single" w:sz="4" w:space="0" w:color="auto"/>
                    <w:right w:val="single" w:sz="4" w:space="0" w:color="auto"/>
                  </w:tcBorders>
                  <w:shd w:val="clear" w:color="auto" w:fill="auto"/>
                  <w:noWrap/>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26–35</w:t>
                  </w:r>
                </w:p>
              </w:tc>
              <w:tc>
                <w:tcPr>
                  <w:tcW w:w="709"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48</w:t>
                  </w:r>
                </w:p>
              </w:tc>
              <w:tc>
                <w:tcPr>
                  <w:tcW w:w="685"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12</w:t>
                  </w:r>
                </w:p>
              </w:tc>
              <w:tc>
                <w:tcPr>
                  <w:tcW w:w="741"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53</w:t>
                  </w:r>
                </w:p>
              </w:tc>
              <w:tc>
                <w:tcPr>
                  <w:tcW w:w="676"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13</w:t>
                  </w:r>
                </w:p>
              </w:tc>
              <w:tc>
                <w:tcPr>
                  <w:tcW w:w="709"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53</w:t>
                  </w:r>
                </w:p>
              </w:tc>
              <w:tc>
                <w:tcPr>
                  <w:tcW w:w="685"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13</w:t>
                  </w:r>
                </w:p>
              </w:tc>
              <w:tc>
                <w:tcPr>
                  <w:tcW w:w="672"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53</w:t>
                  </w:r>
                </w:p>
              </w:tc>
              <w:tc>
                <w:tcPr>
                  <w:tcW w:w="709"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13</w:t>
                  </w:r>
                </w:p>
              </w:tc>
            </w:tr>
            <w:tr w:rsidR="00B07AB8" w:rsidRPr="00275B35" w:rsidTr="004E1F15">
              <w:trPr>
                <w:gridAfter w:val="1"/>
                <w:wAfter w:w="24" w:type="dxa"/>
              </w:trPr>
              <w:tc>
                <w:tcPr>
                  <w:tcW w:w="587" w:type="dxa"/>
                  <w:tcBorders>
                    <w:top w:val="nil"/>
                    <w:left w:val="single" w:sz="4" w:space="0" w:color="auto"/>
                    <w:bottom w:val="single" w:sz="4" w:space="0" w:color="auto"/>
                    <w:right w:val="single" w:sz="4" w:space="0" w:color="auto"/>
                  </w:tcBorders>
                  <w:shd w:val="clear" w:color="auto" w:fill="auto"/>
                  <w:noWrap/>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5</w:t>
                  </w:r>
                </w:p>
              </w:tc>
              <w:tc>
                <w:tcPr>
                  <w:tcW w:w="1701" w:type="dxa"/>
                  <w:tcBorders>
                    <w:top w:val="nil"/>
                    <w:left w:val="nil"/>
                    <w:bottom w:val="single" w:sz="4" w:space="0" w:color="auto"/>
                    <w:right w:val="single" w:sz="4" w:space="0" w:color="auto"/>
                  </w:tcBorders>
                  <w:shd w:val="clear" w:color="auto" w:fill="auto"/>
                  <w:noWrap/>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36–45</w:t>
                  </w:r>
                </w:p>
              </w:tc>
              <w:tc>
                <w:tcPr>
                  <w:tcW w:w="709"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54</w:t>
                  </w:r>
                </w:p>
              </w:tc>
              <w:tc>
                <w:tcPr>
                  <w:tcW w:w="685"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14</w:t>
                  </w:r>
                </w:p>
              </w:tc>
              <w:tc>
                <w:tcPr>
                  <w:tcW w:w="741"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59</w:t>
                  </w:r>
                </w:p>
              </w:tc>
              <w:tc>
                <w:tcPr>
                  <w:tcW w:w="676"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15</w:t>
                  </w:r>
                </w:p>
              </w:tc>
              <w:tc>
                <w:tcPr>
                  <w:tcW w:w="709"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59</w:t>
                  </w:r>
                </w:p>
              </w:tc>
              <w:tc>
                <w:tcPr>
                  <w:tcW w:w="685"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15</w:t>
                  </w:r>
                </w:p>
              </w:tc>
              <w:tc>
                <w:tcPr>
                  <w:tcW w:w="672"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59</w:t>
                  </w:r>
                </w:p>
              </w:tc>
              <w:tc>
                <w:tcPr>
                  <w:tcW w:w="709"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15</w:t>
                  </w:r>
                </w:p>
              </w:tc>
            </w:tr>
            <w:tr w:rsidR="00B07AB8" w:rsidRPr="00275B35" w:rsidTr="004E1F15">
              <w:trPr>
                <w:gridAfter w:val="1"/>
                <w:wAfter w:w="24" w:type="dxa"/>
              </w:trPr>
              <w:tc>
                <w:tcPr>
                  <w:tcW w:w="587" w:type="dxa"/>
                  <w:tcBorders>
                    <w:top w:val="nil"/>
                    <w:left w:val="single" w:sz="4" w:space="0" w:color="auto"/>
                    <w:bottom w:val="single" w:sz="4" w:space="0" w:color="auto"/>
                    <w:right w:val="single" w:sz="4" w:space="0" w:color="auto"/>
                  </w:tcBorders>
                  <w:shd w:val="clear" w:color="auto" w:fill="auto"/>
                  <w:noWrap/>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6</w:t>
                  </w:r>
                </w:p>
              </w:tc>
              <w:tc>
                <w:tcPr>
                  <w:tcW w:w="1701" w:type="dxa"/>
                  <w:tcBorders>
                    <w:top w:val="nil"/>
                    <w:left w:val="nil"/>
                    <w:bottom w:val="single" w:sz="4" w:space="0" w:color="auto"/>
                    <w:right w:val="single" w:sz="4" w:space="0" w:color="auto"/>
                  </w:tcBorders>
                  <w:shd w:val="clear" w:color="auto" w:fill="auto"/>
                  <w:noWrap/>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46–55</w:t>
                  </w:r>
                </w:p>
              </w:tc>
              <w:tc>
                <w:tcPr>
                  <w:tcW w:w="709"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58</w:t>
                  </w:r>
                </w:p>
              </w:tc>
              <w:tc>
                <w:tcPr>
                  <w:tcW w:w="685"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15</w:t>
                  </w:r>
                </w:p>
              </w:tc>
              <w:tc>
                <w:tcPr>
                  <w:tcW w:w="741"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64</w:t>
                  </w:r>
                </w:p>
              </w:tc>
              <w:tc>
                <w:tcPr>
                  <w:tcW w:w="676"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16</w:t>
                  </w:r>
                </w:p>
              </w:tc>
              <w:tc>
                <w:tcPr>
                  <w:tcW w:w="709"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64</w:t>
                  </w:r>
                </w:p>
              </w:tc>
              <w:tc>
                <w:tcPr>
                  <w:tcW w:w="685"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16</w:t>
                  </w:r>
                </w:p>
              </w:tc>
              <w:tc>
                <w:tcPr>
                  <w:tcW w:w="672"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64</w:t>
                  </w:r>
                </w:p>
              </w:tc>
              <w:tc>
                <w:tcPr>
                  <w:tcW w:w="709"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16</w:t>
                  </w:r>
                </w:p>
              </w:tc>
            </w:tr>
            <w:tr w:rsidR="00B07AB8" w:rsidRPr="00275B35" w:rsidTr="004E1F15">
              <w:trPr>
                <w:gridAfter w:val="1"/>
                <w:wAfter w:w="24" w:type="dxa"/>
              </w:trPr>
              <w:tc>
                <w:tcPr>
                  <w:tcW w:w="587" w:type="dxa"/>
                  <w:tcBorders>
                    <w:top w:val="nil"/>
                    <w:left w:val="single" w:sz="4" w:space="0" w:color="auto"/>
                    <w:bottom w:val="single" w:sz="4" w:space="0" w:color="auto"/>
                    <w:right w:val="single" w:sz="4" w:space="0" w:color="auto"/>
                  </w:tcBorders>
                  <w:shd w:val="clear" w:color="auto" w:fill="auto"/>
                  <w:noWrap/>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7</w:t>
                  </w:r>
                </w:p>
              </w:tc>
              <w:tc>
                <w:tcPr>
                  <w:tcW w:w="1701" w:type="dxa"/>
                  <w:tcBorders>
                    <w:top w:val="nil"/>
                    <w:left w:val="nil"/>
                    <w:bottom w:val="single" w:sz="4" w:space="0" w:color="auto"/>
                    <w:right w:val="single" w:sz="4" w:space="0" w:color="auto"/>
                  </w:tcBorders>
                  <w:shd w:val="clear" w:color="auto" w:fill="auto"/>
                  <w:noWrap/>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56–65</w:t>
                  </w:r>
                </w:p>
              </w:tc>
              <w:tc>
                <w:tcPr>
                  <w:tcW w:w="709"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65</w:t>
                  </w:r>
                </w:p>
              </w:tc>
              <w:tc>
                <w:tcPr>
                  <w:tcW w:w="685"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16</w:t>
                  </w:r>
                </w:p>
              </w:tc>
              <w:tc>
                <w:tcPr>
                  <w:tcW w:w="741"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72</w:t>
                  </w:r>
                </w:p>
              </w:tc>
              <w:tc>
                <w:tcPr>
                  <w:tcW w:w="676"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18</w:t>
                  </w:r>
                </w:p>
              </w:tc>
              <w:tc>
                <w:tcPr>
                  <w:tcW w:w="709"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72</w:t>
                  </w:r>
                </w:p>
              </w:tc>
              <w:tc>
                <w:tcPr>
                  <w:tcW w:w="685"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18</w:t>
                  </w:r>
                </w:p>
              </w:tc>
              <w:tc>
                <w:tcPr>
                  <w:tcW w:w="672"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72</w:t>
                  </w:r>
                </w:p>
              </w:tc>
              <w:tc>
                <w:tcPr>
                  <w:tcW w:w="709"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18</w:t>
                  </w:r>
                </w:p>
              </w:tc>
            </w:tr>
            <w:tr w:rsidR="00B07AB8" w:rsidRPr="00275B35" w:rsidTr="004E1F15">
              <w:trPr>
                <w:gridAfter w:val="1"/>
                <w:wAfter w:w="24" w:type="dxa"/>
              </w:trPr>
              <w:tc>
                <w:tcPr>
                  <w:tcW w:w="587" w:type="dxa"/>
                  <w:tcBorders>
                    <w:top w:val="nil"/>
                    <w:left w:val="single" w:sz="4" w:space="0" w:color="auto"/>
                    <w:bottom w:val="single" w:sz="4" w:space="0" w:color="auto"/>
                    <w:right w:val="single" w:sz="4" w:space="0" w:color="auto"/>
                  </w:tcBorders>
                  <w:shd w:val="clear" w:color="auto" w:fill="auto"/>
                  <w:noWrap/>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8</w:t>
                  </w:r>
                </w:p>
              </w:tc>
              <w:tc>
                <w:tcPr>
                  <w:tcW w:w="1701" w:type="dxa"/>
                  <w:tcBorders>
                    <w:top w:val="nil"/>
                    <w:left w:val="nil"/>
                    <w:bottom w:val="single" w:sz="4" w:space="0" w:color="auto"/>
                    <w:right w:val="single" w:sz="4" w:space="0" w:color="auto"/>
                  </w:tcBorders>
                  <w:shd w:val="clear" w:color="auto" w:fill="auto"/>
                  <w:noWrap/>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66–75</w:t>
                  </w:r>
                </w:p>
              </w:tc>
              <w:tc>
                <w:tcPr>
                  <w:tcW w:w="709"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69</w:t>
                  </w:r>
                </w:p>
              </w:tc>
              <w:tc>
                <w:tcPr>
                  <w:tcW w:w="685"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17</w:t>
                  </w:r>
                </w:p>
              </w:tc>
              <w:tc>
                <w:tcPr>
                  <w:tcW w:w="741"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76</w:t>
                  </w:r>
                </w:p>
              </w:tc>
              <w:tc>
                <w:tcPr>
                  <w:tcW w:w="676"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19</w:t>
                  </w:r>
                </w:p>
              </w:tc>
              <w:tc>
                <w:tcPr>
                  <w:tcW w:w="709"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76</w:t>
                  </w:r>
                </w:p>
              </w:tc>
              <w:tc>
                <w:tcPr>
                  <w:tcW w:w="685"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19</w:t>
                  </w:r>
                </w:p>
              </w:tc>
              <w:tc>
                <w:tcPr>
                  <w:tcW w:w="672"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76</w:t>
                  </w:r>
                </w:p>
              </w:tc>
              <w:tc>
                <w:tcPr>
                  <w:tcW w:w="709"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19</w:t>
                  </w:r>
                </w:p>
              </w:tc>
            </w:tr>
            <w:tr w:rsidR="00B07AB8" w:rsidRPr="00275B35" w:rsidTr="004E1F15">
              <w:trPr>
                <w:gridAfter w:val="1"/>
                <w:wAfter w:w="24" w:type="dxa"/>
              </w:trPr>
              <w:tc>
                <w:tcPr>
                  <w:tcW w:w="587" w:type="dxa"/>
                  <w:tcBorders>
                    <w:top w:val="nil"/>
                    <w:left w:val="single" w:sz="4" w:space="0" w:color="auto"/>
                    <w:bottom w:val="single" w:sz="4" w:space="0" w:color="auto"/>
                    <w:right w:val="single" w:sz="4" w:space="0" w:color="auto"/>
                  </w:tcBorders>
                  <w:shd w:val="clear" w:color="auto" w:fill="auto"/>
                  <w:noWrap/>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9</w:t>
                  </w:r>
                </w:p>
              </w:tc>
              <w:tc>
                <w:tcPr>
                  <w:tcW w:w="1701" w:type="dxa"/>
                  <w:tcBorders>
                    <w:top w:val="nil"/>
                    <w:left w:val="nil"/>
                    <w:bottom w:val="single" w:sz="4" w:space="0" w:color="auto"/>
                    <w:right w:val="single" w:sz="4" w:space="0" w:color="auto"/>
                  </w:tcBorders>
                  <w:shd w:val="clear" w:color="auto" w:fill="auto"/>
                  <w:noWrap/>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76–85</w:t>
                  </w:r>
                </w:p>
              </w:tc>
              <w:tc>
                <w:tcPr>
                  <w:tcW w:w="709"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72</w:t>
                  </w:r>
                </w:p>
              </w:tc>
              <w:tc>
                <w:tcPr>
                  <w:tcW w:w="685"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18</w:t>
                  </w:r>
                </w:p>
              </w:tc>
              <w:tc>
                <w:tcPr>
                  <w:tcW w:w="741"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79</w:t>
                  </w:r>
                </w:p>
              </w:tc>
              <w:tc>
                <w:tcPr>
                  <w:tcW w:w="676"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20</w:t>
                  </w:r>
                </w:p>
              </w:tc>
              <w:tc>
                <w:tcPr>
                  <w:tcW w:w="709"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79</w:t>
                  </w:r>
                </w:p>
              </w:tc>
              <w:tc>
                <w:tcPr>
                  <w:tcW w:w="685"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20</w:t>
                  </w:r>
                </w:p>
              </w:tc>
              <w:tc>
                <w:tcPr>
                  <w:tcW w:w="672"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79</w:t>
                  </w:r>
                </w:p>
              </w:tc>
              <w:tc>
                <w:tcPr>
                  <w:tcW w:w="709"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20</w:t>
                  </w:r>
                </w:p>
              </w:tc>
            </w:tr>
            <w:tr w:rsidR="00B07AB8" w:rsidRPr="00275B35" w:rsidTr="004E1F15">
              <w:trPr>
                <w:gridAfter w:val="1"/>
                <w:wAfter w:w="24" w:type="dxa"/>
              </w:trPr>
              <w:tc>
                <w:tcPr>
                  <w:tcW w:w="587" w:type="dxa"/>
                  <w:tcBorders>
                    <w:top w:val="nil"/>
                    <w:left w:val="single" w:sz="4" w:space="0" w:color="auto"/>
                    <w:bottom w:val="single" w:sz="4" w:space="0" w:color="auto"/>
                    <w:right w:val="single" w:sz="4" w:space="0" w:color="auto"/>
                  </w:tcBorders>
                  <w:shd w:val="clear" w:color="auto" w:fill="auto"/>
                  <w:noWrap/>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10</w:t>
                  </w:r>
                </w:p>
              </w:tc>
              <w:tc>
                <w:tcPr>
                  <w:tcW w:w="1701" w:type="dxa"/>
                  <w:tcBorders>
                    <w:top w:val="nil"/>
                    <w:left w:val="nil"/>
                    <w:bottom w:val="single" w:sz="4" w:space="0" w:color="auto"/>
                    <w:right w:val="single" w:sz="4" w:space="0" w:color="auto"/>
                  </w:tcBorders>
                  <w:shd w:val="clear" w:color="auto" w:fill="auto"/>
                  <w:noWrap/>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86–95</w:t>
                  </w:r>
                </w:p>
              </w:tc>
              <w:tc>
                <w:tcPr>
                  <w:tcW w:w="709"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77</w:t>
                  </w:r>
                </w:p>
              </w:tc>
              <w:tc>
                <w:tcPr>
                  <w:tcW w:w="685"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19</w:t>
                  </w:r>
                </w:p>
              </w:tc>
              <w:tc>
                <w:tcPr>
                  <w:tcW w:w="741"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85</w:t>
                  </w:r>
                </w:p>
              </w:tc>
              <w:tc>
                <w:tcPr>
                  <w:tcW w:w="676"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21</w:t>
                  </w:r>
                </w:p>
              </w:tc>
              <w:tc>
                <w:tcPr>
                  <w:tcW w:w="709"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85</w:t>
                  </w:r>
                </w:p>
              </w:tc>
              <w:tc>
                <w:tcPr>
                  <w:tcW w:w="685"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21</w:t>
                  </w:r>
                </w:p>
              </w:tc>
              <w:tc>
                <w:tcPr>
                  <w:tcW w:w="672"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85</w:t>
                  </w:r>
                </w:p>
              </w:tc>
              <w:tc>
                <w:tcPr>
                  <w:tcW w:w="709"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21</w:t>
                  </w:r>
                </w:p>
              </w:tc>
            </w:tr>
            <w:tr w:rsidR="00B07AB8" w:rsidRPr="00275B35" w:rsidTr="004E1F15">
              <w:trPr>
                <w:gridAfter w:val="1"/>
                <w:wAfter w:w="24" w:type="dxa"/>
              </w:trPr>
              <w:tc>
                <w:tcPr>
                  <w:tcW w:w="587" w:type="dxa"/>
                  <w:tcBorders>
                    <w:top w:val="nil"/>
                    <w:left w:val="single" w:sz="4" w:space="0" w:color="auto"/>
                    <w:bottom w:val="single" w:sz="4" w:space="0" w:color="auto"/>
                    <w:right w:val="single" w:sz="4" w:space="0" w:color="auto"/>
                  </w:tcBorders>
                  <w:shd w:val="clear" w:color="auto" w:fill="auto"/>
                  <w:noWrap/>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11</w:t>
                  </w:r>
                </w:p>
              </w:tc>
              <w:tc>
                <w:tcPr>
                  <w:tcW w:w="1701" w:type="dxa"/>
                  <w:tcBorders>
                    <w:top w:val="nil"/>
                    <w:left w:val="nil"/>
                    <w:bottom w:val="single" w:sz="4" w:space="0" w:color="auto"/>
                    <w:right w:val="single" w:sz="4" w:space="0" w:color="auto"/>
                  </w:tcBorders>
                  <w:shd w:val="clear" w:color="auto" w:fill="auto"/>
                  <w:noWrap/>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96–105</w:t>
                  </w:r>
                </w:p>
              </w:tc>
              <w:tc>
                <w:tcPr>
                  <w:tcW w:w="709"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81</w:t>
                  </w:r>
                </w:p>
              </w:tc>
              <w:tc>
                <w:tcPr>
                  <w:tcW w:w="685"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20</w:t>
                  </w:r>
                </w:p>
              </w:tc>
              <w:tc>
                <w:tcPr>
                  <w:tcW w:w="741"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89</w:t>
                  </w:r>
                </w:p>
              </w:tc>
              <w:tc>
                <w:tcPr>
                  <w:tcW w:w="676"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22</w:t>
                  </w:r>
                </w:p>
              </w:tc>
              <w:tc>
                <w:tcPr>
                  <w:tcW w:w="709"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89</w:t>
                  </w:r>
                </w:p>
              </w:tc>
              <w:tc>
                <w:tcPr>
                  <w:tcW w:w="685"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22</w:t>
                  </w:r>
                </w:p>
              </w:tc>
              <w:tc>
                <w:tcPr>
                  <w:tcW w:w="672"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89</w:t>
                  </w:r>
                </w:p>
              </w:tc>
              <w:tc>
                <w:tcPr>
                  <w:tcW w:w="709"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22</w:t>
                  </w:r>
                </w:p>
              </w:tc>
            </w:tr>
            <w:tr w:rsidR="00B07AB8" w:rsidRPr="00275B35" w:rsidTr="004E1F15">
              <w:trPr>
                <w:gridAfter w:val="1"/>
                <w:wAfter w:w="24" w:type="dxa"/>
              </w:trPr>
              <w:tc>
                <w:tcPr>
                  <w:tcW w:w="587" w:type="dxa"/>
                  <w:tcBorders>
                    <w:top w:val="nil"/>
                    <w:left w:val="single" w:sz="4" w:space="0" w:color="auto"/>
                    <w:bottom w:val="single" w:sz="4" w:space="0" w:color="auto"/>
                    <w:right w:val="single" w:sz="4" w:space="0" w:color="auto"/>
                  </w:tcBorders>
                  <w:shd w:val="clear" w:color="auto" w:fill="auto"/>
                  <w:noWrap/>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12</w:t>
                  </w:r>
                </w:p>
              </w:tc>
              <w:tc>
                <w:tcPr>
                  <w:tcW w:w="1701" w:type="dxa"/>
                  <w:tcBorders>
                    <w:top w:val="nil"/>
                    <w:left w:val="nil"/>
                    <w:bottom w:val="single" w:sz="4" w:space="0" w:color="auto"/>
                    <w:right w:val="single" w:sz="4" w:space="0" w:color="auto"/>
                  </w:tcBorders>
                  <w:shd w:val="clear" w:color="auto" w:fill="auto"/>
                  <w:noWrap/>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106–115</w:t>
                  </w:r>
                </w:p>
              </w:tc>
              <w:tc>
                <w:tcPr>
                  <w:tcW w:w="709"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83</w:t>
                  </w:r>
                </w:p>
              </w:tc>
              <w:tc>
                <w:tcPr>
                  <w:tcW w:w="685"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21</w:t>
                  </w:r>
                </w:p>
              </w:tc>
              <w:tc>
                <w:tcPr>
                  <w:tcW w:w="741"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91</w:t>
                  </w:r>
                </w:p>
              </w:tc>
              <w:tc>
                <w:tcPr>
                  <w:tcW w:w="676"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23</w:t>
                  </w:r>
                </w:p>
              </w:tc>
              <w:tc>
                <w:tcPr>
                  <w:tcW w:w="709"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91</w:t>
                  </w:r>
                </w:p>
              </w:tc>
              <w:tc>
                <w:tcPr>
                  <w:tcW w:w="685"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23</w:t>
                  </w:r>
                </w:p>
              </w:tc>
              <w:tc>
                <w:tcPr>
                  <w:tcW w:w="672"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91</w:t>
                  </w:r>
                </w:p>
              </w:tc>
              <w:tc>
                <w:tcPr>
                  <w:tcW w:w="709"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23</w:t>
                  </w:r>
                </w:p>
              </w:tc>
            </w:tr>
            <w:tr w:rsidR="00B07AB8" w:rsidRPr="00275B35" w:rsidTr="004E1F15">
              <w:trPr>
                <w:gridAfter w:val="1"/>
                <w:wAfter w:w="24" w:type="dxa"/>
              </w:trPr>
              <w:tc>
                <w:tcPr>
                  <w:tcW w:w="587" w:type="dxa"/>
                  <w:tcBorders>
                    <w:top w:val="nil"/>
                    <w:left w:val="single" w:sz="4" w:space="0" w:color="auto"/>
                    <w:bottom w:val="single" w:sz="4" w:space="0" w:color="auto"/>
                    <w:right w:val="single" w:sz="4" w:space="0" w:color="auto"/>
                  </w:tcBorders>
                  <w:shd w:val="clear" w:color="auto" w:fill="auto"/>
                  <w:noWrap/>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13</w:t>
                  </w:r>
                </w:p>
              </w:tc>
              <w:tc>
                <w:tcPr>
                  <w:tcW w:w="1701" w:type="dxa"/>
                  <w:tcBorders>
                    <w:top w:val="nil"/>
                    <w:left w:val="nil"/>
                    <w:bottom w:val="single" w:sz="4" w:space="0" w:color="auto"/>
                    <w:right w:val="single" w:sz="4" w:space="0" w:color="auto"/>
                  </w:tcBorders>
                  <w:shd w:val="clear" w:color="auto" w:fill="auto"/>
                  <w:noWrap/>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116–125</w:t>
                  </w:r>
                </w:p>
              </w:tc>
              <w:tc>
                <w:tcPr>
                  <w:tcW w:w="709"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85</w:t>
                  </w:r>
                </w:p>
              </w:tc>
              <w:tc>
                <w:tcPr>
                  <w:tcW w:w="685"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21</w:t>
                  </w:r>
                </w:p>
              </w:tc>
              <w:tc>
                <w:tcPr>
                  <w:tcW w:w="741"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94</w:t>
                  </w:r>
                </w:p>
              </w:tc>
              <w:tc>
                <w:tcPr>
                  <w:tcW w:w="676"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23</w:t>
                  </w:r>
                </w:p>
              </w:tc>
              <w:tc>
                <w:tcPr>
                  <w:tcW w:w="709"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94</w:t>
                  </w:r>
                </w:p>
              </w:tc>
              <w:tc>
                <w:tcPr>
                  <w:tcW w:w="685"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23</w:t>
                  </w:r>
                </w:p>
              </w:tc>
              <w:tc>
                <w:tcPr>
                  <w:tcW w:w="672"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94</w:t>
                  </w:r>
                </w:p>
              </w:tc>
              <w:tc>
                <w:tcPr>
                  <w:tcW w:w="709"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23</w:t>
                  </w:r>
                </w:p>
              </w:tc>
            </w:tr>
            <w:tr w:rsidR="00B07AB8" w:rsidRPr="00275B35" w:rsidTr="004E1F15">
              <w:trPr>
                <w:gridAfter w:val="1"/>
                <w:wAfter w:w="24" w:type="dxa"/>
              </w:trPr>
              <w:tc>
                <w:tcPr>
                  <w:tcW w:w="587" w:type="dxa"/>
                  <w:tcBorders>
                    <w:top w:val="nil"/>
                    <w:left w:val="single" w:sz="4" w:space="0" w:color="auto"/>
                    <w:bottom w:val="single" w:sz="4" w:space="0" w:color="auto"/>
                    <w:right w:val="single" w:sz="4" w:space="0" w:color="auto"/>
                  </w:tcBorders>
                  <w:shd w:val="clear" w:color="auto" w:fill="auto"/>
                  <w:noWrap/>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14</w:t>
                  </w:r>
                </w:p>
              </w:tc>
              <w:tc>
                <w:tcPr>
                  <w:tcW w:w="1701" w:type="dxa"/>
                  <w:tcBorders>
                    <w:top w:val="nil"/>
                    <w:left w:val="nil"/>
                    <w:bottom w:val="single" w:sz="4" w:space="0" w:color="auto"/>
                    <w:right w:val="single" w:sz="4" w:space="0" w:color="auto"/>
                  </w:tcBorders>
                  <w:shd w:val="clear" w:color="auto" w:fill="auto"/>
                  <w:noWrap/>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126–135</w:t>
                  </w:r>
                </w:p>
              </w:tc>
              <w:tc>
                <w:tcPr>
                  <w:tcW w:w="709"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91</w:t>
                  </w:r>
                </w:p>
              </w:tc>
              <w:tc>
                <w:tcPr>
                  <w:tcW w:w="685"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23</w:t>
                  </w:r>
                </w:p>
              </w:tc>
              <w:tc>
                <w:tcPr>
                  <w:tcW w:w="741"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100</w:t>
                  </w:r>
                </w:p>
              </w:tc>
              <w:tc>
                <w:tcPr>
                  <w:tcW w:w="676"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25</w:t>
                  </w:r>
                </w:p>
              </w:tc>
              <w:tc>
                <w:tcPr>
                  <w:tcW w:w="709"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100</w:t>
                  </w:r>
                </w:p>
              </w:tc>
              <w:tc>
                <w:tcPr>
                  <w:tcW w:w="685"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25</w:t>
                  </w:r>
                </w:p>
              </w:tc>
              <w:tc>
                <w:tcPr>
                  <w:tcW w:w="672"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100</w:t>
                  </w:r>
                </w:p>
              </w:tc>
              <w:tc>
                <w:tcPr>
                  <w:tcW w:w="709"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25</w:t>
                  </w:r>
                </w:p>
              </w:tc>
            </w:tr>
            <w:tr w:rsidR="00B07AB8" w:rsidRPr="00275B35" w:rsidTr="004E1F15">
              <w:trPr>
                <w:gridAfter w:val="1"/>
                <w:wAfter w:w="24" w:type="dxa"/>
              </w:trPr>
              <w:tc>
                <w:tcPr>
                  <w:tcW w:w="587" w:type="dxa"/>
                  <w:tcBorders>
                    <w:top w:val="nil"/>
                    <w:left w:val="single" w:sz="4" w:space="0" w:color="auto"/>
                    <w:bottom w:val="single" w:sz="4" w:space="0" w:color="auto"/>
                    <w:right w:val="single" w:sz="4" w:space="0" w:color="auto"/>
                  </w:tcBorders>
                  <w:shd w:val="clear" w:color="auto" w:fill="auto"/>
                  <w:noWrap/>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15</w:t>
                  </w:r>
                </w:p>
              </w:tc>
              <w:tc>
                <w:tcPr>
                  <w:tcW w:w="1701" w:type="dxa"/>
                  <w:tcBorders>
                    <w:top w:val="nil"/>
                    <w:left w:val="nil"/>
                    <w:bottom w:val="single" w:sz="4" w:space="0" w:color="auto"/>
                    <w:right w:val="single" w:sz="4" w:space="0" w:color="auto"/>
                  </w:tcBorders>
                  <w:shd w:val="clear" w:color="auto" w:fill="auto"/>
                  <w:noWrap/>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136–150</w:t>
                  </w:r>
                </w:p>
              </w:tc>
              <w:tc>
                <w:tcPr>
                  <w:tcW w:w="709"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99</w:t>
                  </w:r>
                </w:p>
              </w:tc>
              <w:tc>
                <w:tcPr>
                  <w:tcW w:w="685"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25</w:t>
                  </w:r>
                </w:p>
              </w:tc>
              <w:tc>
                <w:tcPr>
                  <w:tcW w:w="741"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109</w:t>
                  </w:r>
                </w:p>
              </w:tc>
              <w:tc>
                <w:tcPr>
                  <w:tcW w:w="676"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27</w:t>
                  </w:r>
                </w:p>
              </w:tc>
              <w:tc>
                <w:tcPr>
                  <w:tcW w:w="709"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109</w:t>
                  </w:r>
                </w:p>
              </w:tc>
              <w:tc>
                <w:tcPr>
                  <w:tcW w:w="685"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27</w:t>
                  </w:r>
                </w:p>
              </w:tc>
              <w:tc>
                <w:tcPr>
                  <w:tcW w:w="672"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109</w:t>
                  </w:r>
                </w:p>
              </w:tc>
              <w:tc>
                <w:tcPr>
                  <w:tcW w:w="709"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27</w:t>
                  </w:r>
                </w:p>
              </w:tc>
            </w:tr>
            <w:tr w:rsidR="00B07AB8" w:rsidRPr="00275B35" w:rsidTr="004E1F15">
              <w:trPr>
                <w:gridAfter w:val="1"/>
                <w:wAfter w:w="24" w:type="dxa"/>
              </w:trPr>
              <w:tc>
                <w:tcPr>
                  <w:tcW w:w="587" w:type="dxa"/>
                  <w:tcBorders>
                    <w:top w:val="nil"/>
                    <w:left w:val="single" w:sz="4" w:space="0" w:color="auto"/>
                    <w:bottom w:val="single" w:sz="4" w:space="0" w:color="auto"/>
                    <w:right w:val="single" w:sz="4" w:space="0" w:color="auto"/>
                  </w:tcBorders>
                  <w:shd w:val="clear" w:color="auto" w:fill="auto"/>
                  <w:noWrap/>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16</w:t>
                  </w:r>
                </w:p>
              </w:tc>
              <w:tc>
                <w:tcPr>
                  <w:tcW w:w="1701" w:type="dxa"/>
                  <w:tcBorders>
                    <w:top w:val="nil"/>
                    <w:left w:val="nil"/>
                    <w:bottom w:val="single" w:sz="4" w:space="0" w:color="auto"/>
                    <w:right w:val="single" w:sz="4" w:space="0" w:color="auto"/>
                  </w:tcBorders>
                  <w:shd w:val="clear" w:color="auto" w:fill="auto"/>
                  <w:noWrap/>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151–160</w:t>
                  </w:r>
                </w:p>
              </w:tc>
              <w:tc>
                <w:tcPr>
                  <w:tcW w:w="709"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110</w:t>
                  </w:r>
                </w:p>
              </w:tc>
              <w:tc>
                <w:tcPr>
                  <w:tcW w:w="685"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28</w:t>
                  </w:r>
                </w:p>
              </w:tc>
              <w:tc>
                <w:tcPr>
                  <w:tcW w:w="741"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121</w:t>
                  </w:r>
                </w:p>
              </w:tc>
              <w:tc>
                <w:tcPr>
                  <w:tcW w:w="676"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30</w:t>
                  </w:r>
                </w:p>
              </w:tc>
              <w:tc>
                <w:tcPr>
                  <w:tcW w:w="709"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121</w:t>
                  </w:r>
                </w:p>
              </w:tc>
              <w:tc>
                <w:tcPr>
                  <w:tcW w:w="685"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30</w:t>
                  </w:r>
                </w:p>
              </w:tc>
              <w:tc>
                <w:tcPr>
                  <w:tcW w:w="672"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121</w:t>
                  </w:r>
                </w:p>
              </w:tc>
              <w:tc>
                <w:tcPr>
                  <w:tcW w:w="709"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30</w:t>
                  </w:r>
                </w:p>
              </w:tc>
            </w:tr>
            <w:tr w:rsidR="00B07AB8" w:rsidRPr="00275B35" w:rsidTr="004E1F15">
              <w:trPr>
                <w:gridAfter w:val="1"/>
                <w:wAfter w:w="24" w:type="dxa"/>
              </w:trPr>
              <w:tc>
                <w:tcPr>
                  <w:tcW w:w="587" w:type="dxa"/>
                  <w:tcBorders>
                    <w:top w:val="nil"/>
                    <w:left w:val="single" w:sz="4" w:space="0" w:color="auto"/>
                    <w:bottom w:val="single" w:sz="4" w:space="0" w:color="auto"/>
                    <w:right w:val="single" w:sz="4" w:space="0" w:color="auto"/>
                  </w:tcBorders>
                  <w:shd w:val="clear" w:color="auto" w:fill="auto"/>
                  <w:noWrap/>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17</w:t>
                  </w:r>
                </w:p>
              </w:tc>
              <w:tc>
                <w:tcPr>
                  <w:tcW w:w="1701" w:type="dxa"/>
                  <w:tcBorders>
                    <w:top w:val="nil"/>
                    <w:left w:val="nil"/>
                    <w:bottom w:val="single" w:sz="4" w:space="0" w:color="auto"/>
                    <w:right w:val="single" w:sz="4" w:space="0" w:color="auto"/>
                  </w:tcBorders>
                  <w:shd w:val="clear" w:color="auto" w:fill="auto"/>
                  <w:noWrap/>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161–170</w:t>
                  </w:r>
                </w:p>
              </w:tc>
              <w:tc>
                <w:tcPr>
                  <w:tcW w:w="709"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115</w:t>
                  </w:r>
                </w:p>
              </w:tc>
              <w:tc>
                <w:tcPr>
                  <w:tcW w:w="685"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29</w:t>
                  </w:r>
                </w:p>
              </w:tc>
              <w:tc>
                <w:tcPr>
                  <w:tcW w:w="741"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127</w:t>
                  </w:r>
                </w:p>
              </w:tc>
              <w:tc>
                <w:tcPr>
                  <w:tcW w:w="676"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32</w:t>
                  </w:r>
                </w:p>
              </w:tc>
              <w:tc>
                <w:tcPr>
                  <w:tcW w:w="709"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127</w:t>
                  </w:r>
                </w:p>
              </w:tc>
              <w:tc>
                <w:tcPr>
                  <w:tcW w:w="685"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32</w:t>
                  </w:r>
                </w:p>
              </w:tc>
              <w:tc>
                <w:tcPr>
                  <w:tcW w:w="672"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127</w:t>
                  </w:r>
                </w:p>
              </w:tc>
              <w:tc>
                <w:tcPr>
                  <w:tcW w:w="709"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32</w:t>
                  </w:r>
                </w:p>
              </w:tc>
            </w:tr>
            <w:tr w:rsidR="00B07AB8" w:rsidRPr="00275B35" w:rsidTr="004E1F15">
              <w:trPr>
                <w:gridAfter w:val="1"/>
                <w:wAfter w:w="24" w:type="dxa"/>
              </w:trPr>
              <w:tc>
                <w:tcPr>
                  <w:tcW w:w="587" w:type="dxa"/>
                  <w:tcBorders>
                    <w:top w:val="nil"/>
                    <w:left w:val="single" w:sz="4" w:space="0" w:color="auto"/>
                    <w:bottom w:val="single" w:sz="4" w:space="0" w:color="auto"/>
                    <w:right w:val="single" w:sz="4" w:space="0" w:color="auto"/>
                  </w:tcBorders>
                  <w:shd w:val="clear" w:color="auto" w:fill="auto"/>
                  <w:noWrap/>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18</w:t>
                  </w:r>
                </w:p>
              </w:tc>
              <w:tc>
                <w:tcPr>
                  <w:tcW w:w="1701" w:type="dxa"/>
                  <w:tcBorders>
                    <w:top w:val="nil"/>
                    <w:left w:val="nil"/>
                    <w:bottom w:val="single" w:sz="4" w:space="0" w:color="auto"/>
                    <w:right w:val="single" w:sz="4" w:space="0" w:color="auto"/>
                  </w:tcBorders>
                  <w:shd w:val="clear" w:color="auto" w:fill="auto"/>
                  <w:noWrap/>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171–180</w:t>
                  </w:r>
                </w:p>
              </w:tc>
              <w:tc>
                <w:tcPr>
                  <w:tcW w:w="709"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125</w:t>
                  </w:r>
                </w:p>
              </w:tc>
              <w:tc>
                <w:tcPr>
                  <w:tcW w:w="685"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31</w:t>
                  </w:r>
                </w:p>
              </w:tc>
              <w:tc>
                <w:tcPr>
                  <w:tcW w:w="741"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138</w:t>
                  </w:r>
                </w:p>
              </w:tc>
              <w:tc>
                <w:tcPr>
                  <w:tcW w:w="676"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34</w:t>
                  </w:r>
                </w:p>
              </w:tc>
              <w:tc>
                <w:tcPr>
                  <w:tcW w:w="709"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138</w:t>
                  </w:r>
                </w:p>
              </w:tc>
              <w:tc>
                <w:tcPr>
                  <w:tcW w:w="685"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34</w:t>
                  </w:r>
                </w:p>
              </w:tc>
              <w:tc>
                <w:tcPr>
                  <w:tcW w:w="672"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138</w:t>
                  </w:r>
                </w:p>
              </w:tc>
              <w:tc>
                <w:tcPr>
                  <w:tcW w:w="709"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34</w:t>
                  </w:r>
                </w:p>
              </w:tc>
            </w:tr>
            <w:tr w:rsidR="00B07AB8" w:rsidRPr="00275B35" w:rsidTr="004E1F15">
              <w:trPr>
                <w:gridAfter w:val="1"/>
                <w:wAfter w:w="24" w:type="dxa"/>
              </w:trPr>
              <w:tc>
                <w:tcPr>
                  <w:tcW w:w="587" w:type="dxa"/>
                  <w:tcBorders>
                    <w:top w:val="nil"/>
                    <w:left w:val="single" w:sz="4" w:space="0" w:color="auto"/>
                    <w:bottom w:val="single" w:sz="4" w:space="0" w:color="auto"/>
                    <w:right w:val="single" w:sz="4" w:space="0" w:color="auto"/>
                  </w:tcBorders>
                  <w:shd w:val="clear" w:color="auto" w:fill="auto"/>
                  <w:noWrap/>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19</w:t>
                  </w:r>
                </w:p>
              </w:tc>
              <w:tc>
                <w:tcPr>
                  <w:tcW w:w="1701" w:type="dxa"/>
                  <w:tcBorders>
                    <w:top w:val="nil"/>
                    <w:left w:val="nil"/>
                    <w:bottom w:val="single" w:sz="4" w:space="0" w:color="auto"/>
                    <w:right w:val="single" w:sz="4" w:space="0" w:color="auto"/>
                  </w:tcBorders>
                  <w:shd w:val="clear" w:color="auto" w:fill="auto"/>
                  <w:noWrap/>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181–190</w:t>
                  </w:r>
                </w:p>
              </w:tc>
              <w:tc>
                <w:tcPr>
                  <w:tcW w:w="709"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132</w:t>
                  </w:r>
                </w:p>
              </w:tc>
              <w:tc>
                <w:tcPr>
                  <w:tcW w:w="685"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33</w:t>
                  </w:r>
                </w:p>
              </w:tc>
              <w:tc>
                <w:tcPr>
                  <w:tcW w:w="741"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145</w:t>
                  </w:r>
                </w:p>
              </w:tc>
              <w:tc>
                <w:tcPr>
                  <w:tcW w:w="676"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36</w:t>
                  </w:r>
                </w:p>
              </w:tc>
              <w:tc>
                <w:tcPr>
                  <w:tcW w:w="709"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145</w:t>
                  </w:r>
                </w:p>
              </w:tc>
              <w:tc>
                <w:tcPr>
                  <w:tcW w:w="685"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36</w:t>
                  </w:r>
                </w:p>
              </w:tc>
              <w:tc>
                <w:tcPr>
                  <w:tcW w:w="672"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145</w:t>
                  </w:r>
                </w:p>
              </w:tc>
              <w:tc>
                <w:tcPr>
                  <w:tcW w:w="709"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36</w:t>
                  </w:r>
                </w:p>
              </w:tc>
            </w:tr>
            <w:tr w:rsidR="00B07AB8" w:rsidRPr="00275B35" w:rsidTr="004E1F15">
              <w:trPr>
                <w:gridAfter w:val="1"/>
                <w:wAfter w:w="24" w:type="dxa"/>
              </w:trPr>
              <w:tc>
                <w:tcPr>
                  <w:tcW w:w="587" w:type="dxa"/>
                  <w:tcBorders>
                    <w:top w:val="nil"/>
                    <w:left w:val="single" w:sz="4" w:space="0" w:color="auto"/>
                    <w:bottom w:val="single" w:sz="4" w:space="0" w:color="auto"/>
                    <w:right w:val="single" w:sz="4" w:space="0" w:color="auto"/>
                  </w:tcBorders>
                  <w:shd w:val="clear" w:color="auto" w:fill="auto"/>
                  <w:noWrap/>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20</w:t>
                  </w:r>
                </w:p>
              </w:tc>
              <w:tc>
                <w:tcPr>
                  <w:tcW w:w="1701" w:type="dxa"/>
                  <w:tcBorders>
                    <w:top w:val="nil"/>
                    <w:left w:val="nil"/>
                    <w:bottom w:val="single" w:sz="4" w:space="0" w:color="auto"/>
                    <w:right w:val="single" w:sz="4" w:space="0" w:color="auto"/>
                  </w:tcBorders>
                  <w:shd w:val="clear" w:color="auto" w:fill="auto"/>
                  <w:noWrap/>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191–200</w:t>
                  </w:r>
                </w:p>
              </w:tc>
              <w:tc>
                <w:tcPr>
                  <w:tcW w:w="709"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138</w:t>
                  </w:r>
                </w:p>
              </w:tc>
              <w:tc>
                <w:tcPr>
                  <w:tcW w:w="685"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35</w:t>
                  </w:r>
                </w:p>
              </w:tc>
              <w:tc>
                <w:tcPr>
                  <w:tcW w:w="741"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152</w:t>
                  </w:r>
                </w:p>
              </w:tc>
              <w:tc>
                <w:tcPr>
                  <w:tcW w:w="676"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38</w:t>
                  </w:r>
                </w:p>
              </w:tc>
              <w:tc>
                <w:tcPr>
                  <w:tcW w:w="709"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152</w:t>
                  </w:r>
                </w:p>
              </w:tc>
              <w:tc>
                <w:tcPr>
                  <w:tcW w:w="685"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38</w:t>
                  </w:r>
                </w:p>
              </w:tc>
              <w:tc>
                <w:tcPr>
                  <w:tcW w:w="672"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152</w:t>
                  </w:r>
                </w:p>
              </w:tc>
              <w:tc>
                <w:tcPr>
                  <w:tcW w:w="709" w:type="dxa"/>
                  <w:tcBorders>
                    <w:top w:val="nil"/>
                    <w:left w:val="nil"/>
                    <w:bottom w:val="single" w:sz="4" w:space="0" w:color="auto"/>
                    <w:right w:val="single" w:sz="4" w:space="0" w:color="auto"/>
                  </w:tcBorders>
                  <w:shd w:val="clear" w:color="auto" w:fill="auto"/>
                  <w:vAlign w:val="center"/>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38</w:t>
                  </w:r>
                </w:p>
              </w:tc>
            </w:tr>
            <w:tr w:rsidR="00B07AB8" w:rsidRPr="00275B35" w:rsidTr="004E1F15">
              <w:trPr>
                <w:gridAfter w:val="1"/>
                <w:wAfter w:w="24" w:type="dxa"/>
              </w:trPr>
              <w:tc>
                <w:tcPr>
                  <w:tcW w:w="2288" w:type="dxa"/>
                  <w:gridSpan w:val="2"/>
                  <w:tcBorders>
                    <w:top w:val="nil"/>
                    <w:left w:val="single" w:sz="4" w:space="0" w:color="auto"/>
                    <w:bottom w:val="single" w:sz="4" w:space="0" w:color="auto"/>
                    <w:right w:val="single" w:sz="4" w:space="0" w:color="auto"/>
                  </w:tcBorders>
                  <w:shd w:val="clear" w:color="auto" w:fill="auto"/>
                  <w:noWrap/>
                  <w:vAlign w:val="bottom"/>
                  <w:hideMark/>
                </w:tcPr>
                <w:p w:rsidR="00B07AB8" w:rsidRPr="00275B35" w:rsidRDefault="00B07AB8" w:rsidP="004E1F15">
                  <w:pPr>
                    <w:spacing w:after="0" w:line="240" w:lineRule="auto"/>
                    <w:ind w:left="152" w:right="137"/>
                    <w:rPr>
                      <w:rFonts w:ascii="Arial Narrow" w:hAnsi="Arial Narrow"/>
                      <w:sz w:val="20"/>
                      <w:szCs w:val="20"/>
                    </w:rPr>
                  </w:pPr>
                  <w:r w:rsidRPr="00275B35">
                    <w:rPr>
                      <w:rFonts w:ascii="Arial Narrow" w:hAnsi="Arial Narrow"/>
                      <w:sz w:val="20"/>
                      <w:szCs w:val="20"/>
                    </w:rPr>
                    <w:t>Динамика в среднем по всем зонам, % к предыдущему периоду </w:t>
                  </w:r>
                </w:p>
              </w:tc>
              <w:tc>
                <w:tcPr>
                  <w:tcW w:w="709" w:type="dxa"/>
                  <w:tcBorders>
                    <w:top w:val="nil"/>
                    <w:left w:val="nil"/>
                    <w:bottom w:val="single" w:sz="4" w:space="0" w:color="auto"/>
                    <w:right w:val="single" w:sz="4" w:space="0" w:color="auto"/>
                  </w:tcBorders>
                  <w:shd w:val="clear" w:color="auto" w:fill="auto"/>
                  <w:noWrap/>
                  <w:vAlign w:val="bottom"/>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w:t>
                  </w:r>
                </w:p>
              </w:tc>
              <w:tc>
                <w:tcPr>
                  <w:tcW w:w="685" w:type="dxa"/>
                  <w:tcBorders>
                    <w:top w:val="nil"/>
                    <w:left w:val="nil"/>
                    <w:bottom w:val="single" w:sz="4" w:space="0" w:color="auto"/>
                    <w:right w:val="single" w:sz="4" w:space="0" w:color="auto"/>
                  </w:tcBorders>
                  <w:shd w:val="clear" w:color="auto" w:fill="auto"/>
                  <w:noWrap/>
                  <w:vAlign w:val="bottom"/>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w:t>
                  </w:r>
                </w:p>
              </w:tc>
              <w:tc>
                <w:tcPr>
                  <w:tcW w:w="741" w:type="dxa"/>
                  <w:tcBorders>
                    <w:top w:val="nil"/>
                    <w:left w:val="nil"/>
                    <w:bottom w:val="single" w:sz="4" w:space="0" w:color="auto"/>
                    <w:right w:val="single" w:sz="4" w:space="0" w:color="auto"/>
                  </w:tcBorders>
                  <w:shd w:val="clear" w:color="auto" w:fill="auto"/>
                  <w:noWrap/>
                  <w:vAlign w:val="bottom"/>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110,5%</w:t>
                  </w:r>
                </w:p>
              </w:tc>
              <w:tc>
                <w:tcPr>
                  <w:tcW w:w="676" w:type="dxa"/>
                  <w:tcBorders>
                    <w:top w:val="nil"/>
                    <w:left w:val="nil"/>
                    <w:bottom w:val="single" w:sz="4" w:space="0" w:color="auto"/>
                    <w:right w:val="single" w:sz="4" w:space="0" w:color="auto"/>
                  </w:tcBorders>
                  <w:shd w:val="clear" w:color="auto" w:fill="auto"/>
                  <w:noWrap/>
                  <w:vAlign w:val="bottom"/>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100,0%</w:t>
                  </w:r>
                </w:p>
              </w:tc>
              <w:tc>
                <w:tcPr>
                  <w:tcW w:w="709" w:type="dxa"/>
                  <w:tcBorders>
                    <w:top w:val="nil"/>
                    <w:left w:val="nil"/>
                    <w:bottom w:val="single" w:sz="4" w:space="0" w:color="auto"/>
                    <w:right w:val="single" w:sz="4" w:space="0" w:color="auto"/>
                  </w:tcBorders>
                  <w:shd w:val="clear" w:color="auto" w:fill="auto"/>
                  <w:noWrap/>
                  <w:vAlign w:val="bottom"/>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100,0%</w:t>
                  </w:r>
                </w:p>
              </w:tc>
              <w:tc>
                <w:tcPr>
                  <w:tcW w:w="685" w:type="dxa"/>
                  <w:tcBorders>
                    <w:top w:val="nil"/>
                    <w:left w:val="nil"/>
                    <w:bottom w:val="single" w:sz="4" w:space="0" w:color="auto"/>
                    <w:right w:val="single" w:sz="4" w:space="0" w:color="auto"/>
                  </w:tcBorders>
                  <w:shd w:val="clear" w:color="auto" w:fill="auto"/>
                  <w:noWrap/>
                  <w:vAlign w:val="bottom"/>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100,0%</w:t>
                  </w:r>
                </w:p>
              </w:tc>
              <w:tc>
                <w:tcPr>
                  <w:tcW w:w="672" w:type="dxa"/>
                  <w:tcBorders>
                    <w:top w:val="nil"/>
                    <w:left w:val="nil"/>
                    <w:bottom w:val="single" w:sz="4" w:space="0" w:color="auto"/>
                    <w:right w:val="single" w:sz="4" w:space="0" w:color="auto"/>
                  </w:tcBorders>
                  <w:shd w:val="clear" w:color="auto" w:fill="auto"/>
                  <w:noWrap/>
                  <w:vAlign w:val="bottom"/>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100,0%</w:t>
                  </w:r>
                </w:p>
              </w:tc>
              <w:tc>
                <w:tcPr>
                  <w:tcW w:w="709" w:type="dxa"/>
                  <w:tcBorders>
                    <w:top w:val="nil"/>
                    <w:left w:val="nil"/>
                    <w:bottom w:val="single" w:sz="4" w:space="0" w:color="auto"/>
                    <w:right w:val="single" w:sz="4" w:space="0" w:color="auto"/>
                  </w:tcBorders>
                  <w:shd w:val="clear" w:color="auto" w:fill="auto"/>
                  <w:noWrap/>
                  <w:vAlign w:val="bottom"/>
                  <w:hideMark/>
                </w:tcPr>
                <w:p w:rsidR="00B07AB8" w:rsidRPr="00275B35" w:rsidRDefault="00B07AB8" w:rsidP="004E1F15">
                  <w:pPr>
                    <w:spacing w:after="0" w:line="240" w:lineRule="auto"/>
                    <w:ind w:left="152" w:right="137"/>
                    <w:jc w:val="center"/>
                    <w:rPr>
                      <w:rFonts w:ascii="Arial Narrow" w:hAnsi="Arial Narrow"/>
                      <w:sz w:val="20"/>
                      <w:szCs w:val="20"/>
                    </w:rPr>
                  </w:pPr>
                  <w:r w:rsidRPr="00275B35">
                    <w:rPr>
                      <w:rFonts w:ascii="Arial Narrow" w:hAnsi="Arial Narrow"/>
                      <w:sz w:val="20"/>
                      <w:szCs w:val="20"/>
                    </w:rPr>
                    <w:t>100,0%</w:t>
                  </w:r>
                </w:p>
              </w:tc>
            </w:tr>
          </w:tbl>
          <w:p w:rsidR="00B07AB8" w:rsidRPr="00275B35" w:rsidRDefault="00B07AB8" w:rsidP="004E1F15">
            <w:pPr>
              <w:tabs>
                <w:tab w:val="right" w:leader="dot" w:pos="9786"/>
              </w:tabs>
              <w:spacing w:after="0" w:line="240" w:lineRule="auto"/>
              <w:ind w:left="152" w:right="137"/>
              <w:rPr>
                <w:rFonts w:ascii="Arial Narrow" w:eastAsia="MS Mincho" w:hAnsi="Arial Narrow"/>
                <w:b/>
                <w:noProof/>
                <w:sz w:val="20"/>
                <w:szCs w:val="20"/>
              </w:rPr>
            </w:pPr>
          </w:p>
          <w:p w:rsidR="00B07AB8" w:rsidRPr="00275B35" w:rsidRDefault="00B07AB8" w:rsidP="004E1F15">
            <w:pPr>
              <w:spacing w:after="0" w:line="240" w:lineRule="auto"/>
              <w:ind w:left="152" w:right="137"/>
              <w:jc w:val="both"/>
              <w:rPr>
                <w:rFonts w:ascii="Arial Narrow" w:hAnsi="Arial Narrow"/>
                <w:sz w:val="20"/>
                <w:szCs w:val="20"/>
              </w:rPr>
            </w:pPr>
            <w:r w:rsidRPr="00275B35">
              <w:rPr>
                <w:rFonts w:ascii="Arial Narrow" w:hAnsi="Arial Narrow"/>
                <w:sz w:val="20"/>
                <w:szCs w:val="20"/>
              </w:rPr>
              <w:t xml:space="preserve">В течение 2016 г. изменений тарифов на услуги ОАО «Экспресс-пригород» (перевозка пассажиров в пригородном сообщении) не было, тарифы сохранялись на уровне 25.02.2015. </w:t>
            </w:r>
          </w:p>
          <w:p w:rsidR="00B07AB8" w:rsidRPr="00275B35" w:rsidRDefault="00B07AB8" w:rsidP="004E1F15">
            <w:pPr>
              <w:spacing w:after="0" w:line="240" w:lineRule="auto"/>
              <w:ind w:left="152" w:right="137"/>
              <w:jc w:val="both"/>
              <w:rPr>
                <w:rFonts w:ascii="Arial Narrow" w:hAnsi="Arial Narrow"/>
                <w:sz w:val="20"/>
                <w:szCs w:val="20"/>
              </w:rPr>
            </w:pPr>
          </w:p>
        </w:tc>
      </w:tr>
    </w:tbl>
    <w:p w:rsidR="00A64028" w:rsidRDefault="00A64028" w:rsidP="00C54B76">
      <w:pPr>
        <w:spacing w:after="0" w:line="360" w:lineRule="auto"/>
        <w:ind w:firstLine="567"/>
        <w:jc w:val="both"/>
        <w:rPr>
          <w:rFonts w:ascii="Arial Narrow" w:hAnsi="Arial Narrow"/>
          <w:sz w:val="24"/>
          <w:szCs w:val="24"/>
        </w:rPr>
      </w:pPr>
    </w:p>
    <w:p w:rsidR="00B07AB8" w:rsidRPr="00B07AB8" w:rsidRDefault="00B07AB8" w:rsidP="00C54B76">
      <w:pPr>
        <w:spacing w:after="0" w:line="360" w:lineRule="auto"/>
        <w:ind w:firstLine="567"/>
        <w:jc w:val="both"/>
        <w:rPr>
          <w:rFonts w:ascii="Arial Narrow" w:hAnsi="Arial Narrow"/>
          <w:sz w:val="24"/>
          <w:szCs w:val="24"/>
        </w:rPr>
      </w:pPr>
      <w:r w:rsidRPr="00B07AB8">
        <w:rPr>
          <w:rFonts w:ascii="Arial Narrow" w:hAnsi="Arial Narrow"/>
          <w:sz w:val="24"/>
          <w:szCs w:val="24"/>
        </w:rPr>
        <w:t>Согласно информации, представленной в документе Анализ данных об уровнях тарифов за период 2014–2016 годы в разрезе рынков присутствия субъектов естественных монополий (</w:t>
      </w:r>
      <w:hyperlink r:id="rId20" w:history="1">
        <w:r w:rsidRPr="00B07AB8">
          <w:rPr>
            <w:rFonts w:ascii="Arial Narrow" w:hAnsi="Arial Narrow"/>
            <w:sz w:val="24"/>
            <w:szCs w:val="24"/>
          </w:rPr>
          <w:t>http://tarif.nso.ru/page/60</w:t>
        </w:r>
      </w:hyperlink>
      <w:r w:rsidRPr="00B07AB8">
        <w:rPr>
          <w:rFonts w:ascii="Arial Narrow" w:hAnsi="Arial Narrow"/>
          <w:sz w:val="24"/>
          <w:szCs w:val="24"/>
        </w:rPr>
        <w:t xml:space="preserve">), установление тарифов (цен) на коммунальные ресурсы (услуги) в Новосибирской области осуществляется в соответствии с федеральным законодательством, регламентирующим вопросы ценового регулирования в соответствующих сферах деятельности, и параметрами согласованных Правительством Российской Федерации прогнозов социально-экономического развития страны на очередной и плановый период, определяющих ежегодные сроки и темпы роста (индексации) тарифов (цен) на продукцию (услуги) в инфраструктурных отраслях, а также </w:t>
      </w:r>
      <w:r w:rsidRPr="00B07AB8">
        <w:rPr>
          <w:rFonts w:ascii="Arial Narrow" w:hAnsi="Arial Narrow"/>
          <w:sz w:val="24"/>
          <w:szCs w:val="24"/>
        </w:rPr>
        <w:lastRenderedPageBreak/>
        <w:t>повышения платы населения за коммунальные услуги. Тарифы на железнодорожные перевозки пассажиров в пригородном сообщении не претерпели изменений за 2016 г.</w:t>
      </w:r>
    </w:p>
    <w:p w:rsidR="00B07AB8" w:rsidRPr="00B07AB8" w:rsidRDefault="00B07AB8" w:rsidP="00C54B76">
      <w:pPr>
        <w:spacing w:after="0" w:line="360" w:lineRule="auto"/>
        <w:ind w:firstLine="567"/>
        <w:jc w:val="both"/>
        <w:rPr>
          <w:rFonts w:ascii="Arial Narrow" w:hAnsi="Arial Narrow"/>
          <w:sz w:val="20"/>
          <w:szCs w:val="20"/>
        </w:rPr>
      </w:pPr>
    </w:p>
    <w:p w:rsidR="00B07AB8" w:rsidRPr="00B07AB8" w:rsidRDefault="00B07AB8" w:rsidP="00C54B76">
      <w:pPr>
        <w:spacing w:after="0" w:line="240" w:lineRule="auto"/>
        <w:jc w:val="both"/>
        <w:rPr>
          <w:rFonts w:ascii="Arial Narrow" w:hAnsi="Arial Narrow"/>
          <w:b/>
          <w:bCs/>
          <w:i/>
          <w:iCs/>
          <w:sz w:val="28"/>
          <w:szCs w:val="28"/>
        </w:rPr>
      </w:pPr>
      <w:bookmarkStart w:id="22" w:name="_Toc470587929"/>
      <w:r w:rsidRPr="00B07AB8">
        <w:rPr>
          <w:rFonts w:ascii="Arial Narrow" w:hAnsi="Arial Narrow"/>
          <w:b/>
          <w:bCs/>
          <w:i/>
          <w:iCs/>
          <w:sz w:val="28"/>
          <w:szCs w:val="28"/>
        </w:rPr>
        <w:t>5.5. Анализ удовлетворенности качеством товаров, работ и услуг на выявленных рынках присутствия субъектов естественных монополий на территории Новосибирской области со стороны субъектов предпринимательской деятельности, взаимодействующих прямо или косвенно в экономической деятельности с субъектами естественных монополий, и потребителей товаров, работ и услуг, предоставляемых субъектами естественных монополий</w:t>
      </w:r>
      <w:bookmarkEnd w:id="22"/>
    </w:p>
    <w:p w:rsidR="00B07AB8" w:rsidRDefault="00B07AB8" w:rsidP="00C54B76">
      <w:pPr>
        <w:spacing w:after="0" w:line="360" w:lineRule="auto"/>
        <w:ind w:firstLine="284"/>
        <w:jc w:val="both"/>
        <w:rPr>
          <w:rFonts w:ascii="Arial Narrow" w:hAnsi="Arial Narrow"/>
          <w:sz w:val="24"/>
          <w:szCs w:val="24"/>
        </w:rPr>
      </w:pPr>
    </w:p>
    <w:p w:rsidR="00B07AB8" w:rsidRPr="00B07AB8" w:rsidRDefault="00B07AB8" w:rsidP="00A64028">
      <w:pPr>
        <w:spacing w:after="0" w:line="312" w:lineRule="auto"/>
        <w:ind w:firstLine="284"/>
        <w:jc w:val="both"/>
        <w:rPr>
          <w:rFonts w:ascii="Arial Narrow" w:hAnsi="Arial Narrow"/>
          <w:sz w:val="24"/>
          <w:szCs w:val="24"/>
        </w:rPr>
      </w:pPr>
      <w:r w:rsidRPr="00B07AB8">
        <w:rPr>
          <w:rFonts w:ascii="Arial Narrow" w:hAnsi="Arial Narrow"/>
          <w:sz w:val="24"/>
          <w:szCs w:val="24"/>
        </w:rPr>
        <w:t>В рамках проведения Мониторинга субъектам предпринимательской деятельности, взаимодействующих прямо или косвенно в экономической деятельности с субъектами естественных монополий, и потребителям товаров, работ и услуг, предоставляемых субъектами естественных монополий (населению Новосибирской области),</w:t>
      </w:r>
      <w:r w:rsidRPr="00B07AB8">
        <w:rPr>
          <w:rFonts w:ascii="Arial Narrow" w:hAnsi="Arial Narrow"/>
        </w:rPr>
        <w:t xml:space="preserve"> </w:t>
      </w:r>
      <w:r w:rsidRPr="00B07AB8">
        <w:rPr>
          <w:rFonts w:ascii="Arial Narrow" w:hAnsi="Arial Narrow"/>
          <w:sz w:val="24"/>
          <w:szCs w:val="24"/>
        </w:rPr>
        <w:t>задавались вопросы об их удовлетворенности параметрами оказания услуг субъектами естественных монополий в сферах электроснабжения, водоснабжения/водоотведения, теплоснабжения, газоснабжения.</w:t>
      </w:r>
    </w:p>
    <w:p w:rsidR="00B07AB8" w:rsidRPr="00B07AB8" w:rsidRDefault="00B07AB8" w:rsidP="00A64028">
      <w:pPr>
        <w:spacing w:after="0" w:line="312" w:lineRule="auto"/>
        <w:ind w:firstLine="284"/>
        <w:jc w:val="both"/>
        <w:rPr>
          <w:rFonts w:ascii="Arial Narrow" w:hAnsi="Arial Narrow"/>
          <w:sz w:val="24"/>
          <w:szCs w:val="24"/>
        </w:rPr>
      </w:pPr>
      <w:r w:rsidRPr="00B07AB8">
        <w:rPr>
          <w:rFonts w:ascii="Arial Narrow" w:hAnsi="Arial Narrow"/>
          <w:sz w:val="24"/>
          <w:szCs w:val="24"/>
        </w:rPr>
        <w:t>Субъектам предпринимательской деятельности предлагалось оценить собственную удовлетворенность характеристиками услуг (стоимостью услуг, качеством услуг, сроками получения доступа, сложностью процедур подключения, стоимостью подключения) субъектов естественных монополий в Новосибирской области по следующей шкале оценок:</w:t>
      </w:r>
    </w:p>
    <w:p w:rsidR="00B07AB8" w:rsidRPr="00B07AB8" w:rsidRDefault="00B07AB8" w:rsidP="00A64028">
      <w:pPr>
        <w:spacing w:after="0" w:line="312" w:lineRule="auto"/>
        <w:ind w:firstLine="284"/>
        <w:jc w:val="both"/>
        <w:rPr>
          <w:rFonts w:ascii="Arial Narrow" w:hAnsi="Arial Narrow"/>
          <w:sz w:val="24"/>
          <w:szCs w:val="24"/>
        </w:rPr>
      </w:pPr>
      <w:r w:rsidRPr="00B07AB8">
        <w:rPr>
          <w:rFonts w:ascii="Arial Narrow" w:hAnsi="Arial Narrow"/>
          <w:sz w:val="24"/>
          <w:szCs w:val="24"/>
        </w:rPr>
        <w:t xml:space="preserve">1. Удовлетворительно. </w:t>
      </w:r>
    </w:p>
    <w:p w:rsidR="00B07AB8" w:rsidRPr="00B07AB8" w:rsidRDefault="00B07AB8" w:rsidP="00A64028">
      <w:pPr>
        <w:spacing w:after="0" w:line="312" w:lineRule="auto"/>
        <w:ind w:firstLine="284"/>
        <w:jc w:val="both"/>
        <w:rPr>
          <w:rFonts w:ascii="Arial Narrow" w:hAnsi="Arial Narrow"/>
          <w:sz w:val="24"/>
          <w:szCs w:val="24"/>
        </w:rPr>
      </w:pPr>
      <w:r w:rsidRPr="00B07AB8">
        <w:rPr>
          <w:rFonts w:ascii="Arial Narrow" w:hAnsi="Arial Narrow"/>
          <w:sz w:val="24"/>
          <w:szCs w:val="24"/>
        </w:rPr>
        <w:t xml:space="preserve">2. Неудовлетворительно. </w:t>
      </w:r>
    </w:p>
    <w:p w:rsidR="00B07AB8" w:rsidRPr="00B07AB8" w:rsidRDefault="00B07AB8" w:rsidP="00A64028">
      <w:pPr>
        <w:spacing w:after="0" w:line="312" w:lineRule="auto"/>
        <w:ind w:firstLine="284"/>
        <w:jc w:val="both"/>
        <w:rPr>
          <w:rFonts w:ascii="Arial Narrow" w:hAnsi="Arial Narrow"/>
          <w:sz w:val="24"/>
          <w:szCs w:val="24"/>
        </w:rPr>
      </w:pPr>
      <w:r w:rsidRPr="00B07AB8">
        <w:rPr>
          <w:rFonts w:ascii="Arial Narrow" w:hAnsi="Arial Narrow"/>
          <w:sz w:val="24"/>
          <w:szCs w:val="24"/>
        </w:rPr>
        <w:t>3. Затрудняюсь ответить.</w:t>
      </w:r>
    </w:p>
    <w:p w:rsidR="00B07AB8" w:rsidRPr="00B07AB8" w:rsidRDefault="00B07AB8" w:rsidP="00A64028">
      <w:pPr>
        <w:spacing w:after="0" w:line="312" w:lineRule="auto"/>
        <w:ind w:firstLine="284"/>
        <w:jc w:val="both"/>
        <w:rPr>
          <w:rFonts w:ascii="Arial Narrow" w:hAnsi="Arial Narrow"/>
          <w:sz w:val="24"/>
          <w:szCs w:val="24"/>
        </w:rPr>
      </w:pPr>
      <w:r w:rsidRPr="00B07AB8">
        <w:rPr>
          <w:rFonts w:ascii="Arial Narrow" w:hAnsi="Arial Narrow"/>
          <w:sz w:val="24"/>
          <w:szCs w:val="24"/>
        </w:rPr>
        <w:t>Результаты представлены в разделе 5.5.1 по каждой характеристике услуг субъектов естественных монополий, а также в разрезе отраслевой принадлежности, величины и местонахождения субъектов предпринимательства.</w:t>
      </w:r>
    </w:p>
    <w:p w:rsidR="00B07AB8" w:rsidRPr="00B07AB8" w:rsidRDefault="00B07AB8" w:rsidP="00A64028">
      <w:pPr>
        <w:spacing w:after="0" w:line="312" w:lineRule="auto"/>
        <w:ind w:firstLine="284"/>
        <w:jc w:val="both"/>
        <w:rPr>
          <w:rFonts w:ascii="Arial Narrow" w:hAnsi="Arial Narrow"/>
          <w:sz w:val="24"/>
          <w:szCs w:val="24"/>
        </w:rPr>
      </w:pPr>
      <w:r w:rsidRPr="00B07AB8">
        <w:rPr>
          <w:rFonts w:ascii="Arial Narrow" w:hAnsi="Arial Narrow"/>
          <w:sz w:val="24"/>
          <w:szCs w:val="24"/>
        </w:rPr>
        <w:t>Потребителям товаров, работ и услуг, предоставляемых субъектами естественных монополий, предлагалось оценить собственную удовлетворенность характеристиками услуг (стоимостью услуг, качеством услуг) субъектов естественных монополий в Новосибирской области по следующей шкале оценок:</w:t>
      </w:r>
    </w:p>
    <w:p w:rsidR="00B07AB8" w:rsidRPr="00B07AB8" w:rsidRDefault="00B07AB8" w:rsidP="00A64028">
      <w:pPr>
        <w:spacing w:after="0" w:line="312" w:lineRule="auto"/>
        <w:ind w:firstLine="284"/>
        <w:jc w:val="both"/>
        <w:rPr>
          <w:rFonts w:ascii="Arial Narrow" w:hAnsi="Arial Narrow"/>
          <w:sz w:val="24"/>
          <w:szCs w:val="24"/>
        </w:rPr>
      </w:pPr>
      <w:r w:rsidRPr="00B07AB8">
        <w:rPr>
          <w:rFonts w:ascii="Arial Narrow" w:hAnsi="Arial Narrow"/>
          <w:sz w:val="24"/>
          <w:szCs w:val="24"/>
        </w:rPr>
        <w:t xml:space="preserve">1. Удовлетворительно. </w:t>
      </w:r>
    </w:p>
    <w:p w:rsidR="00B07AB8" w:rsidRPr="00B07AB8" w:rsidRDefault="00B07AB8" w:rsidP="00A64028">
      <w:pPr>
        <w:spacing w:after="0" w:line="312" w:lineRule="auto"/>
        <w:ind w:firstLine="284"/>
        <w:jc w:val="both"/>
        <w:rPr>
          <w:rFonts w:ascii="Arial Narrow" w:hAnsi="Arial Narrow"/>
          <w:sz w:val="24"/>
          <w:szCs w:val="24"/>
        </w:rPr>
      </w:pPr>
      <w:r w:rsidRPr="00B07AB8">
        <w:rPr>
          <w:rFonts w:ascii="Arial Narrow" w:hAnsi="Arial Narrow"/>
          <w:sz w:val="24"/>
          <w:szCs w:val="24"/>
        </w:rPr>
        <w:t xml:space="preserve">2. Неудовлетворительно. </w:t>
      </w:r>
    </w:p>
    <w:p w:rsidR="00B07AB8" w:rsidRPr="00B07AB8" w:rsidRDefault="00B07AB8" w:rsidP="00A64028">
      <w:pPr>
        <w:spacing w:after="0" w:line="312" w:lineRule="auto"/>
        <w:ind w:firstLine="284"/>
        <w:jc w:val="both"/>
        <w:rPr>
          <w:rFonts w:ascii="Arial Narrow" w:hAnsi="Arial Narrow"/>
          <w:sz w:val="24"/>
          <w:szCs w:val="24"/>
        </w:rPr>
      </w:pPr>
      <w:r w:rsidRPr="00B07AB8">
        <w:rPr>
          <w:rFonts w:ascii="Arial Narrow" w:hAnsi="Arial Narrow"/>
          <w:sz w:val="24"/>
          <w:szCs w:val="24"/>
        </w:rPr>
        <w:t>3. Затрудняюсь ответить.</w:t>
      </w:r>
    </w:p>
    <w:p w:rsidR="00B07AB8" w:rsidRPr="00B07AB8" w:rsidRDefault="00B07AB8" w:rsidP="00A64028">
      <w:pPr>
        <w:spacing w:after="0" w:line="312" w:lineRule="auto"/>
        <w:ind w:firstLine="284"/>
        <w:jc w:val="both"/>
        <w:rPr>
          <w:rFonts w:ascii="Arial Narrow" w:hAnsi="Arial Narrow"/>
          <w:sz w:val="24"/>
          <w:szCs w:val="24"/>
        </w:rPr>
      </w:pPr>
      <w:r w:rsidRPr="00B07AB8">
        <w:rPr>
          <w:rFonts w:ascii="Arial Narrow" w:hAnsi="Arial Narrow"/>
          <w:sz w:val="24"/>
          <w:szCs w:val="24"/>
        </w:rPr>
        <w:t>Результаты представлены в разделе 5.5.2.</w:t>
      </w:r>
    </w:p>
    <w:p w:rsidR="00B07AB8" w:rsidRPr="00B07AB8" w:rsidRDefault="00B07AB8" w:rsidP="00A64028">
      <w:pPr>
        <w:spacing w:after="0" w:line="312" w:lineRule="auto"/>
        <w:ind w:firstLine="284"/>
        <w:jc w:val="both"/>
        <w:rPr>
          <w:rFonts w:ascii="Arial Narrow" w:hAnsi="Arial Narrow"/>
          <w:b/>
          <w:bCs/>
          <w:sz w:val="24"/>
          <w:szCs w:val="24"/>
        </w:rPr>
      </w:pPr>
      <w:r w:rsidRPr="00B07AB8">
        <w:rPr>
          <w:rFonts w:ascii="Arial Narrow" w:hAnsi="Arial Narrow"/>
          <w:sz w:val="24"/>
          <w:szCs w:val="24"/>
        </w:rPr>
        <w:t>Результаты представлены в разделе 5.5.2 по каждой характеристике услуг субъектов естественных монополий, а также в разрезе социально-демографических характеристик и территории проживания потребителей.</w:t>
      </w:r>
      <w:r w:rsidRPr="00B07AB8">
        <w:rPr>
          <w:rFonts w:ascii="Arial Narrow" w:hAnsi="Arial Narrow"/>
          <w:sz w:val="24"/>
          <w:szCs w:val="24"/>
        </w:rPr>
        <w:br w:type="page"/>
      </w:r>
    </w:p>
    <w:p w:rsidR="00B07AB8" w:rsidRPr="00B07AB8" w:rsidRDefault="00B07AB8" w:rsidP="004E1F15">
      <w:pPr>
        <w:spacing w:after="0"/>
        <w:jc w:val="both"/>
        <w:outlineLvl w:val="2"/>
        <w:rPr>
          <w:rFonts w:ascii="Arial Narrow" w:hAnsi="Arial Narrow"/>
          <w:b/>
          <w:bCs/>
          <w:sz w:val="26"/>
          <w:szCs w:val="26"/>
        </w:rPr>
      </w:pPr>
      <w:bookmarkStart w:id="23" w:name="_Toc475532247"/>
      <w:r w:rsidRPr="00B07AB8">
        <w:rPr>
          <w:rFonts w:ascii="Arial Narrow" w:hAnsi="Arial Narrow"/>
          <w:b/>
          <w:bCs/>
          <w:sz w:val="26"/>
          <w:szCs w:val="26"/>
        </w:rPr>
        <w:lastRenderedPageBreak/>
        <w:t>5.5.1. Удовлетворенность субъектов предпринимательской деятельности, взаимодействующих прямо или косвенно в экономической деятельности с субъектами естественных монополий, качеством товаров, работы и услуг естественных монополий</w:t>
      </w:r>
      <w:bookmarkEnd w:id="23"/>
    </w:p>
    <w:p w:rsidR="00B07AB8" w:rsidRPr="00B07AB8" w:rsidRDefault="00B07AB8" w:rsidP="00C54B76">
      <w:pPr>
        <w:spacing w:after="0"/>
        <w:outlineLvl w:val="2"/>
        <w:rPr>
          <w:rFonts w:ascii="Arial Narrow" w:hAnsi="Arial Narrow"/>
          <w:b/>
          <w:bCs/>
          <w:sz w:val="26"/>
          <w:szCs w:val="26"/>
        </w:rPr>
      </w:pPr>
    </w:p>
    <w:p w:rsidR="00B07AB8" w:rsidRPr="00B07AB8" w:rsidRDefault="00B07AB8" w:rsidP="00A43AC6">
      <w:pPr>
        <w:spacing w:after="0"/>
        <w:jc w:val="both"/>
        <w:outlineLvl w:val="2"/>
        <w:rPr>
          <w:rFonts w:ascii="Arial Narrow" w:hAnsi="Arial Narrow"/>
          <w:b/>
          <w:bCs/>
          <w:sz w:val="26"/>
          <w:szCs w:val="26"/>
        </w:rPr>
      </w:pPr>
      <w:bookmarkStart w:id="24" w:name="_Toc475532248"/>
      <w:r w:rsidRPr="00B07AB8">
        <w:rPr>
          <w:rFonts w:ascii="Arial Narrow" w:hAnsi="Arial Narrow"/>
          <w:b/>
          <w:bCs/>
          <w:sz w:val="26"/>
          <w:szCs w:val="26"/>
        </w:rPr>
        <w:t>5.5.1.1. Удовлетворенность стоимостью услуг</w:t>
      </w:r>
      <w:bookmarkEnd w:id="24"/>
    </w:p>
    <w:p w:rsidR="00B07AB8" w:rsidRPr="00B07AB8" w:rsidRDefault="00B07AB8" w:rsidP="00C54B76">
      <w:pPr>
        <w:spacing w:after="0"/>
        <w:rPr>
          <w:rFonts w:ascii="Arial Narrow" w:hAnsi="Arial Narrow"/>
          <w:sz w:val="24"/>
          <w:szCs w:val="24"/>
        </w:rPr>
      </w:pP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Стоимостью услуг всех оцениваемых естественных монополий удовлетворены примерно одинаковые доли субъектов предпринимательства: от 29,5 % до 38,7 %. Доли неудовлетворенных выше: от 34,2 % до 38,7 % опрошенных.</w:t>
      </w:r>
    </w:p>
    <w:p w:rsidR="00B07AB8" w:rsidRPr="00B07AB8" w:rsidRDefault="00B07AB8" w:rsidP="00C54B76">
      <w:pPr>
        <w:spacing w:after="0" w:line="360" w:lineRule="auto"/>
        <w:ind w:firstLine="284"/>
        <w:jc w:val="both"/>
        <w:rPr>
          <w:rFonts w:ascii="Arial Narrow" w:hAnsi="Arial Narrow"/>
          <w:sz w:val="24"/>
          <w:szCs w:val="24"/>
          <w:u w:val="single"/>
        </w:rPr>
      </w:pPr>
      <w:r w:rsidRPr="00B07AB8">
        <w:rPr>
          <w:rFonts w:ascii="Arial Narrow" w:hAnsi="Arial Narrow"/>
          <w:sz w:val="24"/>
          <w:szCs w:val="24"/>
          <w:u w:val="single"/>
        </w:rPr>
        <w:t>Рейтинг удовлетворенности субъектов предпринимательства стоимостью услуг естественных монополий:</w:t>
      </w: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1. Водоснабжение/водоотведение (</w:t>
      </w:r>
      <w:r w:rsidRPr="00B07AB8">
        <w:rPr>
          <w:rFonts w:ascii="Arial Narrow" w:hAnsi="Arial Narrow"/>
          <w:b/>
          <w:sz w:val="24"/>
          <w:szCs w:val="24"/>
        </w:rPr>
        <w:t>38,7 %</w:t>
      </w:r>
      <w:r w:rsidRPr="00B07AB8">
        <w:rPr>
          <w:rFonts w:ascii="Arial Narrow" w:hAnsi="Arial Narrow"/>
          <w:sz w:val="24"/>
          <w:szCs w:val="24"/>
        </w:rPr>
        <w:t xml:space="preserve"> опрошенных удовлетворены, 37,5 % не удовлетворены); </w:t>
      </w: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2. Электроснабжение (</w:t>
      </w:r>
      <w:r w:rsidRPr="00B07AB8">
        <w:rPr>
          <w:rFonts w:ascii="Arial Narrow" w:hAnsi="Arial Narrow"/>
          <w:b/>
          <w:sz w:val="24"/>
          <w:szCs w:val="24"/>
        </w:rPr>
        <w:t>34,5 %</w:t>
      </w:r>
      <w:r w:rsidRPr="00B07AB8">
        <w:rPr>
          <w:rFonts w:ascii="Arial Narrow" w:hAnsi="Arial Narrow"/>
          <w:sz w:val="24"/>
          <w:szCs w:val="24"/>
        </w:rPr>
        <w:t xml:space="preserve"> опрошенных удовлетворены, 43,6 % не удовлетворены); </w:t>
      </w: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3. Теплоснабжение (</w:t>
      </w:r>
      <w:r w:rsidRPr="00B07AB8">
        <w:rPr>
          <w:rFonts w:ascii="Arial Narrow" w:eastAsia="Calibri" w:hAnsi="Arial Narrow" w:cs="Arial"/>
          <w:b/>
          <w:sz w:val="24"/>
          <w:szCs w:val="24"/>
        </w:rPr>
        <w:t>33,4 %</w:t>
      </w:r>
      <w:r w:rsidRPr="00B07AB8">
        <w:rPr>
          <w:rFonts w:ascii="Arial Narrow" w:eastAsia="Calibri" w:hAnsi="Arial Narrow" w:cs="Arial"/>
          <w:sz w:val="24"/>
          <w:szCs w:val="24"/>
        </w:rPr>
        <w:t xml:space="preserve"> </w:t>
      </w:r>
      <w:r w:rsidRPr="00B07AB8">
        <w:rPr>
          <w:rFonts w:ascii="Arial Narrow" w:hAnsi="Arial Narrow"/>
          <w:sz w:val="24"/>
          <w:szCs w:val="24"/>
        </w:rPr>
        <w:t xml:space="preserve">опрошенных удовлетворены, </w:t>
      </w:r>
      <w:r w:rsidRPr="00B07AB8">
        <w:rPr>
          <w:rFonts w:ascii="Arial Narrow" w:eastAsia="Calibri" w:hAnsi="Arial Narrow" w:cs="Arial"/>
          <w:sz w:val="24"/>
          <w:szCs w:val="24"/>
        </w:rPr>
        <w:t>40,8 %</w:t>
      </w:r>
      <w:r w:rsidRPr="00B07AB8">
        <w:rPr>
          <w:rFonts w:ascii="Arial Narrow" w:hAnsi="Arial Narrow"/>
          <w:sz w:val="24"/>
          <w:szCs w:val="24"/>
        </w:rPr>
        <w:t xml:space="preserve"> не удовлетворены); </w:t>
      </w: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4. Газоснабжение (29,5 % опрошенных удовлетворены, 34,2 % не удовлетворены).</w:t>
      </w: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 xml:space="preserve">Наибольшая неудовлетворенность зафиксирована для услуг электроснабжения (43,6 %). </w:t>
      </w: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В отношении оценки стоимости газоснабжения респонденты чаще всего затруднялись ответить (36,3 %).</w:t>
      </w:r>
    </w:p>
    <w:p w:rsidR="00B07AB8" w:rsidRPr="00B07AB8" w:rsidRDefault="00B07AB8" w:rsidP="00B07AB8">
      <w:pPr>
        <w:jc w:val="center"/>
        <w:rPr>
          <w:rFonts w:ascii="Arial Narrow" w:hAnsi="Arial Narrow"/>
          <w:b/>
          <w:bCs/>
        </w:rPr>
      </w:pPr>
      <w:r w:rsidRPr="00B07AB8">
        <w:rPr>
          <w:rFonts w:ascii="Arial Narrow" w:hAnsi="Arial Narrow"/>
          <w:noProof/>
          <w:lang w:eastAsia="ru-RU"/>
        </w:rPr>
        <w:drawing>
          <wp:inline distT="0" distB="0" distL="0" distR="0">
            <wp:extent cx="6029325" cy="2571750"/>
            <wp:effectExtent l="0" t="0" r="0" b="0"/>
            <wp:docPr id="546"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B07AB8" w:rsidRPr="00B07AB8" w:rsidRDefault="00B07AB8" w:rsidP="00B07AB8">
      <w:pPr>
        <w:jc w:val="center"/>
        <w:rPr>
          <w:rFonts w:ascii="Arial Narrow" w:hAnsi="Arial Narrow"/>
          <w:b/>
          <w:bCs/>
        </w:rPr>
      </w:pPr>
    </w:p>
    <w:p w:rsidR="00B07AB8" w:rsidRPr="00B07AB8" w:rsidRDefault="00B07AB8" w:rsidP="00B07AB8">
      <w:pPr>
        <w:jc w:val="center"/>
        <w:rPr>
          <w:rFonts w:ascii="Arial Narrow" w:hAnsi="Arial Narrow"/>
          <w:b/>
          <w:bCs/>
        </w:rPr>
      </w:pPr>
      <w:r w:rsidRPr="00B07AB8">
        <w:rPr>
          <w:rFonts w:ascii="Arial Narrow" w:hAnsi="Arial Narrow"/>
          <w:bCs/>
        </w:rPr>
        <w:t>Диаграмма 5.5.1</w:t>
      </w:r>
      <w:r w:rsidRPr="00B07AB8">
        <w:rPr>
          <w:rFonts w:ascii="Arial Narrow" w:hAnsi="Arial Narrow"/>
          <w:b/>
          <w:bCs/>
        </w:rPr>
        <w:t xml:space="preserve"> – Удовлетворенность субъектов предпринимательской деятельности стоимостью услуг субъектов естественных монополий, % от числа опрошенных</w:t>
      </w:r>
    </w:p>
    <w:p w:rsidR="00B07AB8" w:rsidRPr="00B07AB8" w:rsidRDefault="00B07AB8" w:rsidP="00B07AB8">
      <w:pPr>
        <w:jc w:val="both"/>
        <w:rPr>
          <w:rFonts w:ascii="Arial Narrow" w:hAnsi="Arial Narrow"/>
        </w:rPr>
      </w:pPr>
    </w:p>
    <w:p w:rsidR="00B07AB8" w:rsidRPr="00B07AB8" w:rsidRDefault="00B07AB8" w:rsidP="00B07AB8">
      <w:pPr>
        <w:rPr>
          <w:rFonts w:ascii="Arial Narrow" w:hAnsi="Arial Narrow"/>
          <w:sz w:val="24"/>
          <w:szCs w:val="24"/>
        </w:rPr>
      </w:pPr>
      <w:r w:rsidRPr="00B07AB8">
        <w:rPr>
          <w:rFonts w:ascii="Arial Narrow" w:hAnsi="Arial Narrow"/>
          <w:sz w:val="24"/>
          <w:szCs w:val="24"/>
        </w:rPr>
        <w:br w:type="page"/>
      </w:r>
    </w:p>
    <w:p w:rsidR="00B07AB8" w:rsidRPr="00B07AB8" w:rsidRDefault="00B07AB8" w:rsidP="00C54B76">
      <w:pPr>
        <w:spacing w:after="0" w:line="240" w:lineRule="auto"/>
        <w:rPr>
          <w:rFonts w:ascii="Arial Narrow" w:hAnsi="Arial Narrow"/>
          <w:sz w:val="24"/>
          <w:szCs w:val="24"/>
        </w:rPr>
      </w:pPr>
      <w:r w:rsidRPr="00B07AB8">
        <w:rPr>
          <w:rFonts w:ascii="Arial Narrow" w:hAnsi="Arial Narrow"/>
          <w:sz w:val="24"/>
          <w:szCs w:val="24"/>
        </w:rPr>
        <w:lastRenderedPageBreak/>
        <w:t xml:space="preserve">Таблица </w:t>
      </w:r>
      <w:r w:rsidR="00614BC7">
        <w:rPr>
          <w:rFonts w:ascii="Arial Narrow" w:hAnsi="Arial Narrow"/>
          <w:sz w:val="24"/>
          <w:szCs w:val="24"/>
        </w:rPr>
        <w:t>5</w:t>
      </w:r>
      <w:r w:rsidR="00A43AC6">
        <w:rPr>
          <w:rFonts w:ascii="Arial Narrow" w:hAnsi="Arial Narrow"/>
          <w:sz w:val="24"/>
          <w:szCs w:val="24"/>
        </w:rPr>
        <w:t>.</w:t>
      </w:r>
      <w:r w:rsidRPr="00B07AB8">
        <w:rPr>
          <w:rFonts w:ascii="Arial Narrow" w:hAnsi="Arial Narrow"/>
          <w:sz w:val="24"/>
          <w:szCs w:val="24"/>
        </w:rPr>
        <w:t xml:space="preserve">2 – </w:t>
      </w:r>
      <w:r w:rsidRPr="00B07AB8">
        <w:rPr>
          <w:rFonts w:ascii="Arial Narrow" w:hAnsi="Arial Narrow"/>
          <w:b/>
          <w:sz w:val="24"/>
          <w:szCs w:val="24"/>
        </w:rPr>
        <w:t>Удовлетворенность субъектов предпринимательской деятельности стоимостью услуг, предоставляемых естественными монополиями (% от числа опрошенных)</w:t>
      </w:r>
    </w:p>
    <w:tbl>
      <w:tblPr>
        <w:tblW w:w="5700"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2459"/>
        <w:gridCol w:w="2227"/>
        <w:gridCol w:w="1014"/>
      </w:tblGrid>
      <w:tr w:rsidR="00B07AB8" w:rsidRPr="00B07AB8" w:rsidTr="003425A3">
        <w:trPr>
          <w:cantSplit/>
        </w:trPr>
        <w:tc>
          <w:tcPr>
            <w:tcW w:w="2459" w:type="dxa"/>
            <w:vMerge w:val="restart"/>
            <w:shd w:val="clear" w:color="auto" w:fill="FFFFFF"/>
            <w:vAlign w:val="center"/>
          </w:tcPr>
          <w:p w:rsidR="00B07AB8" w:rsidRPr="00B07AB8" w:rsidRDefault="00B07AB8" w:rsidP="00C54B76">
            <w:pPr>
              <w:spacing w:after="0" w:line="240" w:lineRule="auto"/>
              <w:ind w:left="125"/>
              <w:rPr>
                <w:rFonts w:ascii="Arial Narrow" w:hAnsi="Arial Narrow" w:cs="Arial"/>
                <w:sz w:val="20"/>
                <w:szCs w:val="20"/>
              </w:rPr>
            </w:pPr>
            <w:r w:rsidRPr="00B07AB8">
              <w:rPr>
                <w:rFonts w:ascii="Arial Narrow" w:hAnsi="Arial Narrow" w:cs="Arial"/>
                <w:sz w:val="20"/>
                <w:szCs w:val="20"/>
              </w:rPr>
              <w:t>Водоснабжение, водоотведение</w:t>
            </w:r>
          </w:p>
        </w:tc>
        <w:tc>
          <w:tcPr>
            <w:tcW w:w="2227" w:type="dxa"/>
            <w:shd w:val="clear" w:color="auto" w:fill="FFFFFF"/>
            <w:vAlign w:val="center"/>
          </w:tcPr>
          <w:p w:rsidR="00B07AB8" w:rsidRPr="00B07AB8" w:rsidRDefault="00B07AB8" w:rsidP="00C54B76">
            <w:pPr>
              <w:spacing w:after="0" w:line="240" w:lineRule="auto"/>
              <w:ind w:left="125"/>
              <w:rPr>
                <w:rFonts w:ascii="Arial Narrow" w:hAnsi="Arial Narrow" w:cs="Arial"/>
                <w:sz w:val="20"/>
                <w:szCs w:val="20"/>
              </w:rPr>
            </w:pPr>
            <w:r w:rsidRPr="00B07AB8">
              <w:rPr>
                <w:rFonts w:ascii="Arial Narrow" w:hAnsi="Arial Narrow" w:cs="Arial"/>
                <w:sz w:val="20"/>
                <w:szCs w:val="20"/>
              </w:rPr>
              <w:t>Удовлетворительно</w:t>
            </w:r>
          </w:p>
        </w:tc>
        <w:tc>
          <w:tcPr>
            <w:tcW w:w="1014" w:type="dxa"/>
            <w:shd w:val="clear" w:color="auto" w:fill="FFFFFF"/>
            <w:vAlign w:val="center"/>
          </w:tcPr>
          <w:p w:rsidR="00B07AB8" w:rsidRPr="00B07AB8" w:rsidRDefault="00B07AB8" w:rsidP="00C54B76">
            <w:pPr>
              <w:spacing w:after="0" w:line="240" w:lineRule="auto"/>
              <w:ind w:left="125"/>
              <w:rPr>
                <w:rFonts w:ascii="Arial Narrow" w:hAnsi="Arial Narrow" w:cs="Arial"/>
                <w:sz w:val="20"/>
                <w:szCs w:val="20"/>
              </w:rPr>
            </w:pPr>
            <w:r w:rsidRPr="00B07AB8">
              <w:rPr>
                <w:rFonts w:ascii="Arial Narrow" w:eastAsia="Calibri" w:hAnsi="Arial Narrow" w:cs="Arial"/>
                <w:sz w:val="20"/>
                <w:szCs w:val="20"/>
              </w:rPr>
              <w:t>38,7%</w:t>
            </w:r>
          </w:p>
        </w:tc>
      </w:tr>
      <w:tr w:rsidR="00B07AB8" w:rsidRPr="00B07AB8" w:rsidTr="003425A3">
        <w:trPr>
          <w:cantSplit/>
        </w:trPr>
        <w:tc>
          <w:tcPr>
            <w:tcW w:w="2459" w:type="dxa"/>
            <w:vMerge/>
            <w:shd w:val="clear" w:color="auto" w:fill="FFFFFF"/>
            <w:vAlign w:val="center"/>
          </w:tcPr>
          <w:p w:rsidR="00B07AB8" w:rsidRPr="00B07AB8" w:rsidRDefault="00B07AB8" w:rsidP="00C54B76">
            <w:pPr>
              <w:spacing w:after="0" w:line="240" w:lineRule="auto"/>
              <w:ind w:left="125"/>
              <w:rPr>
                <w:rFonts w:ascii="Arial Narrow" w:hAnsi="Arial Narrow" w:cs="Arial"/>
                <w:sz w:val="20"/>
                <w:szCs w:val="20"/>
              </w:rPr>
            </w:pPr>
          </w:p>
        </w:tc>
        <w:tc>
          <w:tcPr>
            <w:tcW w:w="2227" w:type="dxa"/>
            <w:shd w:val="clear" w:color="auto" w:fill="FFFFFF"/>
            <w:vAlign w:val="center"/>
          </w:tcPr>
          <w:p w:rsidR="00B07AB8" w:rsidRPr="00B07AB8" w:rsidRDefault="00B07AB8" w:rsidP="00C54B76">
            <w:pPr>
              <w:spacing w:after="0" w:line="240" w:lineRule="auto"/>
              <w:ind w:left="125"/>
              <w:rPr>
                <w:rFonts w:ascii="Arial Narrow" w:hAnsi="Arial Narrow" w:cs="Arial"/>
                <w:sz w:val="20"/>
                <w:szCs w:val="20"/>
              </w:rPr>
            </w:pPr>
            <w:r w:rsidRPr="00B07AB8">
              <w:rPr>
                <w:rFonts w:ascii="Arial Narrow" w:hAnsi="Arial Narrow" w:cs="Arial"/>
                <w:sz w:val="20"/>
                <w:szCs w:val="20"/>
              </w:rPr>
              <w:t>Неудовлетворительно</w:t>
            </w:r>
          </w:p>
        </w:tc>
        <w:tc>
          <w:tcPr>
            <w:tcW w:w="1014" w:type="dxa"/>
            <w:shd w:val="clear" w:color="auto" w:fill="FFFFFF"/>
            <w:vAlign w:val="center"/>
          </w:tcPr>
          <w:p w:rsidR="00B07AB8" w:rsidRPr="00B07AB8" w:rsidRDefault="00B07AB8" w:rsidP="00C54B76">
            <w:pPr>
              <w:spacing w:after="0" w:line="240" w:lineRule="auto"/>
              <w:ind w:left="125"/>
              <w:rPr>
                <w:rFonts w:ascii="Arial Narrow" w:hAnsi="Arial Narrow" w:cs="Arial"/>
                <w:sz w:val="20"/>
                <w:szCs w:val="20"/>
              </w:rPr>
            </w:pPr>
            <w:r w:rsidRPr="00B07AB8">
              <w:rPr>
                <w:rFonts w:ascii="Arial Narrow" w:eastAsia="Calibri" w:hAnsi="Arial Narrow" w:cs="Arial"/>
                <w:sz w:val="20"/>
                <w:szCs w:val="20"/>
              </w:rPr>
              <w:t>37,5%</w:t>
            </w:r>
          </w:p>
        </w:tc>
      </w:tr>
      <w:tr w:rsidR="00B07AB8" w:rsidRPr="00B07AB8" w:rsidTr="003425A3">
        <w:trPr>
          <w:cantSplit/>
        </w:trPr>
        <w:tc>
          <w:tcPr>
            <w:tcW w:w="2459" w:type="dxa"/>
            <w:vMerge/>
            <w:shd w:val="clear" w:color="auto" w:fill="FFFFFF"/>
            <w:vAlign w:val="center"/>
          </w:tcPr>
          <w:p w:rsidR="00B07AB8" w:rsidRPr="00B07AB8" w:rsidRDefault="00B07AB8" w:rsidP="00C54B76">
            <w:pPr>
              <w:spacing w:after="0" w:line="240" w:lineRule="auto"/>
              <w:ind w:left="125"/>
              <w:rPr>
                <w:rFonts w:ascii="Arial Narrow" w:hAnsi="Arial Narrow" w:cs="Arial"/>
                <w:sz w:val="20"/>
                <w:szCs w:val="20"/>
              </w:rPr>
            </w:pPr>
          </w:p>
        </w:tc>
        <w:tc>
          <w:tcPr>
            <w:tcW w:w="2227" w:type="dxa"/>
            <w:shd w:val="clear" w:color="auto" w:fill="FFFFFF"/>
            <w:vAlign w:val="center"/>
          </w:tcPr>
          <w:p w:rsidR="00B07AB8" w:rsidRPr="00B07AB8" w:rsidRDefault="00B07AB8" w:rsidP="00C54B76">
            <w:pPr>
              <w:spacing w:after="0" w:line="240" w:lineRule="auto"/>
              <w:ind w:left="125"/>
              <w:rPr>
                <w:rFonts w:ascii="Arial Narrow" w:hAnsi="Arial Narrow" w:cs="Arial"/>
                <w:sz w:val="20"/>
                <w:szCs w:val="20"/>
              </w:rPr>
            </w:pPr>
            <w:r w:rsidRPr="00B07AB8">
              <w:rPr>
                <w:rFonts w:ascii="Arial Narrow" w:hAnsi="Arial Narrow" w:cs="Arial"/>
                <w:sz w:val="20"/>
                <w:szCs w:val="20"/>
              </w:rPr>
              <w:t>Затрудняюсь ответить</w:t>
            </w:r>
          </w:p>
        </w:tc>
        <w:tc>
          <w:tcPr>
            <w:tcW w:w="1014" w:type="dxa"/>
            <w:shd w:val="clear" w:color="auto" w:fill="FFFFFF"/>
            <w:vAlign w:val="center"/>
          </w:tcPr>
          <w:p w:rsidR="00B07AB8" w:rsidRPr="00B07AB8" w:rsidRDefault="00B07AB8" w:rsidP="00C54B76">
            <w:pPr>
              <w:spacing w:after="0" w:line="240" w:lineRule="auto"/>
              <w:ind w:left="125"/>
              <w:rPr>
                <w:rFonts w:ascii="Arial Narrow" w:hAnsi="Arial Narrow" w:cs="Arial"/>
                <w:sz w:val="20"/>
                <w:szCs w:val="20"/>
              </w:rPr>
            </w:pPr>
            <w:r w:rsidRPr="00B07AB8">
              <w:rPr>
                <w:rFonts w:ascii="Arial Narrow" w:eastAsia="Calibri" w:hAnsi="Arial Narrow" w:cs="Arial"/>
                <w:sz w:val="20"/>
                <w:szCs w:val="20"/>
              </w:rPr>
              <w:t>23,8%</w:t>
            </w:r>
          </w:p>
        </w:tc>
      </w:tr>
      <w:tr w:rsidR="00B07AB8" w:rsidRPr="00B07AB8" w:rsidTr="003425A3">
        <w:trPr>
          <w:cantSplit/>
        </w:trPr>
        <w:tc>
          <w:tcPr>
            <w:tcW w:w="2459" w:type="dxa"/>
            <w:vMerge w:val="restart"/>
            <w:shd w:val="clear" w:color="auto" w:fill="FFFFFF"/>
            <w:vAlign w:val="center"/>
          </w:tcPr>
          <w:p w:rsidR="00B07AB8" w:rsidRPr="00B07AB8" w:rsidRDefault="00B07AB8" w:rsidP="00C54B76">
            <w:pPr>
              <w:spacing w:after="0" w:line="240" w:lineRule="auto"/>
              <w:ind w:left="125"/>
              <w:rPr>
                <w:rFonts w:ascii="Arial Narrow" w:hAnsi="Arial Narrow" w:cs="Arial"/>
                <w:sz w:val="20"/>
                <w:szCs w:val="20"/>
              </w:rPr>
            </w:pPr>
            <w:r w:rsidRPr="00B07AB8">
              <w:rPr>
                <w:rFonts w:ascii="Arial Narrow" w:hAnsi="Arial Narrow" w:cs="Arial"/>
                <w:sz w:val="20"/>
                <w:szCs w:val="20"/>
              </w:rPr>
              <w:t>Газоснабжение</w:t>
            </w:r>
          </w:p>
        </w:tc>
        <w:tc>
          <w:tcPr>
            <w:tcW w:w="2227" w:type="dxa"/>
            <w:shd w:val="clear" w:color="auto" w:fill="FFFFFF"/>
            <w:vAlign w:val="center"/>
          </w:tcPr>
          <w:p w:rsidR="00B07AB8" w:rsidRPr="00B07AB8" w:rsidRDefault="00B07AB8" w:rsidP="00C54B76">
            <w:pPr>
              <w:spacing w:after="0" w:line="240" w:lineRule="auto"/>
              <w:ind w:left="125"/>
              <w:rPr>
                <w:rFonts w:ascii="Arial Narrow" w:hAnsi="Arial Narrow" w:cs="Arial"/>
                <w:sz w:val="20"/>
                <w:szCs w:val="20"/>
              </w:rPr>
            </w:pPr>
            <w:r w:rsidRPr="00B07AB8">
              <w:rPr>
                <w:rFonts w:ascii="Arial Narrow" w:hAnsi="Arial Narrow" w:cs="Arial"/>
                <w:sz w:val="20"/>
                <w:szCs w:val="20"/>
              </w:rPr>
              <w:t>Удовлетворительно</w:t>
            </w:r>
          </w:p>
        </w:tc>
        <w:tc>
          <w:tcPr>
            <w:tcW w:w="1014" w:type="dxa"/>
            <w:shd w:val="clear" w:color="auto" w:fill="FFFFFF"/>
            <w:vAlign w:val="center"/>
          </w:tcPr>
          <w:p w:rsidR="00B07AB8" w:rsidRPr="00B07AB8" w:rsidRDefault="00B07AB8" w:rsidP="00C54B76">
            <w:pPr>
              <w:spacing w:after="0" w:line="240" w:lineRule="auto"/>
              <w:ind w:left="125"/>
              <w:rPr>
                <w:rFonts w:ascii="Arial Narrow" w:hAnsi="Arial Narrow" w:cs="Arial"/>
                <w:sz w:val="20"/>
                <w:szCs w:val="20"/>
              </w:rPr>
            </w:pPr>
            <w:r w:rsidRPr="00B07AB8">
              <w:rPr>
                <w:rFonts w:ascii="Arial Narrow" w:eastAsia="Calibri" w:hAnsi="Arial Narrow" w:cs="Arial"/>
                <w:sz w:val="20"/>
                <w:szCs w:val="20"/>
              </w:rPr>
              <w:t>29,5%</w:t>
            </w:r>
          </w:p>
        </w:tc>
      </w:tr>
      <w:tr w:rsidR="00B07AB8" w:rsidRPr="00B07AB8" w:rsidTr="003425A3">
        <w:trPr>
          <w:cantSplit/>
        </w:trPr>
        <w:tc>
          <w:tcPr>
            <w:tcW w:w="2459" w:type="dxa"/>
            <w:vMerge/>
            <w:shd w:val="clear" w:color="auto" w:fill="FFFFFF"/>
            <w:vAlign w:val="center"/>
          </w:tcPr>
          <w:p w:rsidR="00B07AB8" w:rsidRPr="00B07AB8" w:rsidRDefault="00B07AB8" w:rsidP="00C54B76">
            <w:pPr>
              <w:spacing w:after="0" w:line="240" w:lineRule="auto"/>
              <w:ind w:left="125"/>
              <w:rPr>
                <w:rFonts w:ascii="Arial Narrow" w:hAnsi="Arial Narrow" w:cs="Arial"/>
                <w:sz w:val="20"/>
                <w:szCs w:val="20"/>
              </w:rPr>
            </w:pPr>
          </w:p>
        </w:tc>
        <w:tc>
          <w:tcPr>
            <w:tcW w:w="2227" w:type="dxa"/>
            <w:shd w:val="clear" w:color="auto" w:fill="FFFFFF"/>
            <w:vAlign w:val="center"/>
          </w:tcPr>
          <w:p w:rsidR="00B07AB8" w:rsidRPr="00B07AB8" w:rsidRDefault="00B07AB8" w:rsidP="00C54B76">
            <w:pPr>
              <w:spacing w:after="0" w:line="240" w:lineRule="auto"/>
              <w:ind w:left="125"/>
              <w:rPr>
                <w:rFonts w:ascii="Arial Narrow" w:hAnsi="Arial Narrow" w:cs="Arial"/>
                <w:sz w:val="20"/>
                <w:szCs w:val="20"/>
              </w:rPr>
            </w:pPr>
            <w:r w:rsidRPr="00B07AB8">
              <w:rPr>
                <w:rFonts w:ascii="Arial Narrow" w:hAnsi="Arial Narrow" w:cs="Arial"/>
                <w:sz w:val="20"/>
                <w:szCs w:val="20"/>
              </w:rPr>
              <w:t>Неудовлетворительно</w:t>
            </w:r>
          </w:p>
        </w:tc>
        <w:tc>
          <w:tcPr>
            <w:tcW w:w="1014" w:type="dxa"/>
            <w:shd w:val="clear" w:color="auto" w:fill="FFFFFF"/>
            <w:vAlign w:val="center"/>
          </w:tcPr>
          <w:p w:rsidR="00B07AB8" w:rsidRPr="00B07AB8" w:rsidRDefault="00B07AB8" w:rsidP="00C54B76">
            <w:pPr>
              <w:spacing w:after="0" w:line="240" w:lineRule="auto"/>
              <w:ind w:left="125"/>
              <w:rPr>
                <w:rFonts w:ascii="Arial Narrow" w:hAnsi="Arial Narrow" w:cs="Arial"/>
                <w:sz w:val="20"/>
                <w:szCs w:val="20"/>
              </w:rPr>
            </w:pPr>
            <w:r w:rsidRPr="00B07AB8">
              <w:rPr>
                <w:rFonts w:ascii="Arial Narrow" w:eastAsia="Calibri" w:hAnsi="Arial Narrow" w:cs="Arial"/>
                <w:sz w:val="20"/>
                <w:szCs w:val="20"/>
              </w:rPr>
              <w:t>34,2%</w:t>
            </w:r>
          </w:p>
        </w:tc>
      </w:tr>
      <w:tr w:rsidR="00B07AB8" w:rsidRPr="00B07AB8" w:rsidTr="003425A3">
        <w:trPr>
          <w:cantSplit/>
        </w:trPr>
        <w:tc>
          <w:tcPr>
            <w:tcW w:w="2459" w:type="dxa"/>
            <w:vMerge/>
            <w:shd w:val="clear" w:color="auto" w:fill="FFFFFF"/>
            <w:vAlign w:val="center"/>
          </w:tcPr>
          <w:p w:rsidR="00B07AB8" w:rsidRPr="00B07AB8" w:rsidRDefault="00B07AB8" w:rsidP="00C54B76">
            <w:pPr>
              <w:spacing w:after="0" w:line="240" w:lineRule="auto"/>
              <w:ind w:left="125"/>
              <w:rPr>
                <w:rFonts w:ascii="Arial Narrow" w:hAnsi="Arial Narrow" w:cs="Arial"/>
                <w:sz w:val="20"/>
                <w:szCs w:val="20"/>
              </w:rPr>
            </w:pPr>
          </w:p>
        </w:tc>
        <w:tc>
          <w:tcPr>
            <w:tcW w:w="2227" w:type="dxa"/>
            <w:shd w:val="clear" w:color="auto" w:fill="FFFFFF"/>
            <w:vAlign w:val="center"/>
          </w:tcPr>
          <w:p w:rsidR="00B07AB8" w:rsidRPr="00B07AB8" w:rsidRDefault="00B07AB8" w:rsidP="00C54B76">
            <w:pPr>
              <w:spacing w:after="0" w:line="240" w:lineRule="auto"/>
              <w:ind w:left="125"/>
              <w:rPr>
                <w:rFonts w:ascii="Arial Narrow" w:hAnsi="Arial Narrow" w:cs="Arial"/>
                <w:sz w:val="20"/>
                <w:szCs w:val="20"/>
              </w:rPr>
            </w:pPr>
            <w:r w:rsidRPr="00B07AB8">
              <w:rPr>
                <w:rFonts w:ascii="Arial Narrow" w:hAnsi="Arial Narrow" w:cs="Arial"/>
                <w:sz w:val="20"/>
                <w:szCs w:val="20"/>
              </w:rPr>
              <w:t>Затрудняюсь ответить</w:t>
            </w:r>
          </w:p>
        </w:tc>
        <w:tc>
          <w:tcPr>
            <w:tcW w:w="1014" w:type="dxa"/>
            <w:shd w:val="clear" w:color="auto" w:fill="FFFFFF"/>
            <w:vAlign w:val="center"/>
          </w:tcPr>
          <w:p w:rsidR="00B07AB8" w:rsidRPr="00B07AB8" w:rsidRDefault="00B07AB8" w:rsidP="00C54B76">
            <w:pPr>
              <w:spacing w:after="0" w:line="240" w:lineRule="auto"/>
              <w:ind w:left="125"/>
              <w:rPr>
                <w:rFonts w:ascii="Arial Narrow" w:hAnsi="Arial Narrow" w:cs="Arial"/>
                <w:sz w:val="20"/>
                <w:szCs w:val="20"/>
              </w:rPr>
            </w:pPr>
            <w:r w:rsidRPr="00B07AB8">
              <w:rPr>
                <w:rFonts w:ascii="Arial Narrow" w:eastAsia="Calibri" w:hAnsi="Arial Narrow" w:cs="Arial"/>
                <w:sz w:val="20"/>
                <w:szCs w:val="20"/>
              </w:rPr>
              <w:t>36,3%</w:t>
            </w:r>
          </w:p>
        </w:tc>
      </w:tr>
      <w:tr w:rsidR="00B07AB8" w:rsidRPr="00B07AB8" w:rsidTr="003425A3">
        <w:trPr>
          <w:cantSplit/>
        </w:trPr>
        <w:tc>
          <w:tcPr>
            <w:tcW w:w="2459" w:type="dxa"/>
            <w:vMerge w:val="restart"/>
            <w:shd w:val="clear" w:color="auto" w:fill="FFFFFF"/>
            <w:vAlign w:val="center"/>
          </w:tcPr>
          <w:p w:rsidR="00B07AB8" w:rsidRPr="00B07AB8" w:rsidRDefault="00B07AB8" w:rsidP="00C54B76">
            <w:pPr>
              <w:spacing w:after="0" w:line="240" w:lineRule="auto"/>
              <w:ind w:left="125"/>
              <w:rPr>
                <w:rFonts w:ascii="Arial Narrow" w:hAnsi="Arial Narrow" w:cs="Arial"/>
                <w:sz w:val="20"/>
                <w:szCs w:val="20"/>
              </w:rPr>
            </w:pPr>
            <w:r w:rsidRPr="00B07AB8">
              <w:rPr>
                <w:rFonts w:ascii="Arial Narrow" w:hAnsi="Arial Narrow" w:cs="Arial"/>
                <w:sz w:val="20"/>
                <w:szCs w:val="20"/>
              </w:rPr>
              <w:t>Электроснабжение</w:t>
            </w:r>
          </w:p>
        </w:tc>
        <w:tc>
          <w:tcPr>
            <w:tcW w:w="2227" w:type="dxa"/>
            <w:shd w:val="clear" w:color="auto" w:fill="FFFFFF"/>
            <w:vAlign w:val="center"/>
          </w:tcPr>
          <w:p w:rsidR="00B07AB8" w:rsidRPr="00B07AB8" w:rsidRDefault="00B07AB8" w:rsidP="00C54B76">
            <w:pPr>
              <w:spacing w:after="0" w:line="240" w:lineRule="auto"/>
              <w:ind w:left="125"/>
              <w:rPr>
                <w:rFonts w:ascii="Arial Narrow" w:hAnsi="Arial Narrow" w:cs="Arial"/>
                <w:sz w:val="20"/>
                <w:szCs w:val="20"/>
              </w:rPr>
            </w:pPr>
            <w:r w:rsidRPr="00B07AB8">
              <w:rPr>
                <w:rFonts w:ascii="Arial Narrow" w:hAnsi="Arial Narrow" w:cs="Arial"/>
                <w:sz w:val="20"/>
                <w:szCs w:val="20"/>
              </w:rPr>
              <w:t>Удовлетворительно</w:t>
            </w:r>
          </w:p>
        </w:tc>
        <w:tc>
          <w:tcPr>
            <w:tcW w:w="1014" w:type="dxa"/>
            <w:shd w:val="clear" w:color="auto" w:fill="FFFFFF"/>
            <w:vAlign w:val="center"/>
          </w:tcPr>
          <w:p w:rsidR="00B07AB8" w:rsidRPr="00B07AB8" w:rsidRDefault="00B07AB8" w:rsidP="00C54B76">
            <w:pPr>
              <w:spacing w:after="0" w:line="240" w:lineRule="auto"/>
              <w:ind w:left="125"/>
              <w:rPr>
                <w:rFonts w:ascii="Arial Narrow" w:hAnsi="Arial Narrow" w:cs="Arial"/>
                <w:sz w:val="20"/>
                <w:szCs w:val="20"/>
              </w:rPr>
            </w:pPr>
            <w:r w:rsidRPr="00B07AB8">
              <w:rPr>
                <w:rFonts w:ascii="Arial Narrow" w:eastAsia="Calibri" w:hAnsi="Arial Narrow" w:cs="Arial"/>
                <w:sz w:val="20"/>
                <w:szCs w:val="20"/>
              </w:rPr>
              <w:t>34,5%</w:t>
            </w:r>
          </w:p>
        </w:tc>
      </w:tr>
      <w:tr w:rsidR="00B07AB8" w:rsidRPr="00B07AB8" w:rsidTr="003425A3">
        <w:trPr>
          <w:cantSplit/>
        </w:trPr>
        <w:tc>
          <w:tcPr>
            <w:tcW w:w="2459" w:type="dxa"/>
            <w:vMerge/>
            <w:shd w:val="clear" w:color="auto" w:fill="FFFFFF"/>
            <w:vAlign w:val="center"/>
          </w:tcPr>
          <w:p w:rsidR="00B07AB8" w:rsidRPr="00B07AB8" w:rsidRDefault="00B07AB8" w:rsidP="00C54B76">
            <w:pPr>
              <w:spacing w:after="0" w:line="240" w:lineRule="auto"/>
              <w:ind w:left="125"/>
              <w:rPr>
                <w:rFonts w:ascii="Arial Narrow" w:hAnsi="Arial Narrow" w:cs="Arial"/>
                <w:sz w:val="20"/>
                <w:szCs w:val="20"/>
              </w:rPr>
            </w:pPr>
          </w:p>
        </w:tc>
        <w:tc>
          <w:tcPr>
            <w:tcW w:w="2227" w:type="dxa"/>
            <w:shd w:val="clear" w:color="auto" w:fill="FFFFFF"/>
            <w:vAlign w:val="center"/>
          </w:tcPr>
          <w:p w:rsidR="00B07AB8" w:rsidRPr="00B07AB8" w:rsidRDefault="00B07AB8" w:rsidP="00C54B76">
            <w:pPr>
              <w:spacing w:after="0" w:line="240" w:lineRule="auto"/>
              <w:ind w:left="125"/>
              <w:rPr>
                <w:rFonts w:ascii="Arial Narrow" w:hAnsi="Arial Narrow" w:cs="Arial"/>
                <w:sz w:val="20"/>
                <w:szCs w:val="20"/>
              </w:rPr>
            </w:pPr>
            <w:r w:rsidRPr="00B07AB8">
              <w:rPr>
                <w:rFonts w:ascii="Arial Narrow" w:hAnsi="Arial Narrow" w:cs="Arial"/>
                <w:sz w:val="20"/>
                <w:szCs w:val="20"/>
              </w:rPr>
              <w:t>Неудовлетворительно</w:t>
            </w:r>
          </w:p>
        </w:tc>
        <w:tc>
          <w:tcPr>
            <w:tcW w:w="1014" w:type="dxa"/>
            <w:shd w:val="clear" w:color="auto" w:fill="FFFFFF"/>
            <w:vAlign w:val="center"/>
          </w:tcPr>
          <w:p w:rsidR="00B07AB8" w:rsidRPr="00B07AB8" w:rsidRDefault="00B07AB8" w:rsidP="00C54B76">
            <w:pPr>
              <w:spacing w:after="0" w:line="240" w:lineRule="auto"/>
              <w:ind w:left="125"/>
              <w:rPr>
                <w:rFonts w:ascii="Arial Narrow" w:hAnsi="Arial Narrow" w:cs="Arial"/>
                <w:sz w:val="20"/>
                <w:szCs w:val="20"/>
              </w:rPr>
            </w:pPr>
            <w:r w:rsidRPr="00B07AB8">
              <w:rPr>
                <w:rFonts w:ascii="Arial Narrow" w:eastAsia="Calibri" w:hAnsi="Arial Narrow" w:cs="Arial"/>
                <w:sz w:val="20"/>
                <w:szCs w:val="20"/>
              </w:rPr>
              <w:t>43,6%</w:t>
            </w:r>
          </w:p>
        </w:tc>
      </w:tr>
      <w:tr w:rsidR="00B07AB8" w:rsidRPr="00B07AB8" w:rsidTr="003425A3">
        <w:trPr>
          <w:cantSplit/>
        </w:trPr>
        <w:tc>
          <w:tcPr>
            <w:tcW w:w="2459" w:type="dxa"/>
            <w:vMerge/>
            <w:shd w:val="clear" w:color="auto" w:fill="FFFFFF"/>
            <w:vAlign w:val="center"/>
          </w:tcPr>
          <w:p w:rsidR="00B07AB8" w:rsidRPr="00B07AB8" w:rsidRDefault="00B07AB8" w:rsidP="00C54B76">
            <w:pPr>
              <w:spacing w:after="0" w:line="240" w:lineRule="auto"/>
              <w:ind w:left="125"/>
              <w:rPr>
                <w:rFonts w:ascii="Arial Narrow" w:hAnsi="Arial Narrow" w:cs="Arial"/>
                <w:sz w:val="20"/>
                <w:szCs w:val="20"/>
              </w:rPr>
            </w:pPr>
          </w:p>
        </w:tc>
        <w:tc>
          <w:tcPr>
            <w:tcW w:w="2227" w:type="dxa"/>
            <w:shd w:val="clear" w:color="auto" w:fill="FFFFFF"/>
            <w:vAlign w:val="center"/>
          </w:tcPr>
          <w:p w:rsidR="00B07AB8" w:rsidRPr="00B07AB8" w:rsidRDefault="00B07AB8" w:rsidP="00C54B76">
            <w:pPr>
              <w:spacing w:after="0" w:line="240" w:lineRule="auto"/>
              <w:ind w:left="125"/>
              <w:rPr>
                <w:rFonts w:ascii="Arial Narrow" w:hAnsi="Arial Narrow" w:cs="Arial"/>
                <w:sz w:val="20"/>
                <w:szCs w:val="20"/>
              </w:rPr>
            </w:pPr>
            <w:r w:rsidRPr="00B07AB8">
              <w:rPr>
                <w:rFonts w:ascii="Arial Narrow" w:hAnsi="Arial Narrow" w:cs="Arial"/>
                <w:sz w:val="20"/>
                <w:szCs w:val="20"/>
              </w:rPr>
              <w:t>Затрудняюсь ответить</w:t>
            </w:r>
          </w:p>
        </w:tc>
        <w:tc>
          <w:tcPr>
            <w:tcW w:w="1014" w:type="dxa"/>
            <w:shd w:val="clear" w:color="auto" w:fill="FFFFFF"/>
            <w:vAlign w:val="center"/>
          </w:tcPr>
          <w:p w:rsidR="00B07AB8" w:rsidRPr="00B07AB8" w:rsidRDefault="00B07AB8" w:rsidP="00C54B76">
            <w:pPr>
              <w:spacing w:after="0" w:line="240" w:lineRule="auto"/>
              <w:ind w:left="125"/>
              <w:rPr>
                <w:rFonts w:ascii="Arial Narrow" w:hAnsi="Arial Narrow" w:cs="Arial"/>
                <w:sz w:val="20"/>
                <w:szCs w:val="20"/>
              </w:rPr>
            </w:pPr>
            <w:r w:rsidRPr="00B07AB8">
              <w:rPr>
                <w:rFonts w:ascii="Arial Narrow" w:eastAsia="Calibri" w:hAnsi="Arial Narrow" w:cs="Arial"/>
                <w:sz w:val="20"/>
                <w:szCs w:val="20"/>
              </w:rPr>
              <w:t>22,0%</w:t>
            </w:r>
          </w:p>
        </w:tc>
      </w:tr>
      <w:tr w:rsidR="00B07AB8" w:rsidRPr="00B07AB8" w:rsidTr="003425A3">
        <w:trPr>
          <w:cantSplit/>
        </w:trPr>
        <w:tc>
          <w:tcPr>
            <w:tcW w:w="2459" w:type="dxa"/>
            <w:vMerge w:val="restart"/>
            <w:shd w:val="clear" w:color="auto" w:fill="FFFFFF"/>
            <w:vAlign w:val="center"/>
          </w:tcPr>
          <w:p w:rsidR="00B07AB8" w:rsidRPr="00B07AB8" w:rsidRDefault="00B07AB8" w:rsidP="00C54B76">
            <w:pPr>
              <w:spacing w:after="0" w:line="240" w:lineRule="auto"/>
              <w:ind w:left="125"/>
              <w:rPr>
                <w:rFonts w:ascii="Arial Narrow" w:hAnsi="Arial Narrow" w:cs="Arial"/>
                <w:sz w:val="20"/>
                <w:szCs w:val="20"/>
              </w:rPr>
            </w:pPr>
            <w:r w:rsidRPr="00B07AB8">
              <w:rPr>
                <w:rFonts w:ascii="Arial Narrow" w:hAnsi="Arial Narrow" w:cs="Arial"/>
                <w:sz w:val="20"/>
                <w:szCs w:val="20"/>
              </w:rPr>
              <w:t>Теплоснабжение</w:t>
            </w:r>
          </w:p>
        </w:tc>
        <w:tc>
          <w:tcPr>
            <w:tcW w:w="2227" w:type="dxa"/>
            <w:shd w:val="clear" w:color="auto" w:fill="FFFFFF"/>
            <w:vAlign w:val="center"/>
          </w:tcPr>
          <w:p w:rsidR="00B07AB8" w:rsidRPr="00B07AB8" w:rsidRDefault="00B07AB8" w:rsidP="00C54B76">
            <w:pPr>
              <w:spacing w:after="0" w:line="240" w:lineRule="auto"/>
              <w:ind w:left="125"/>
              <w:rPr>
                <w:rFonts w:ascii="Arial Narrow" w:hAnsi="Arial Narrow" w:cs="Arial"/>
                <w:sz w:val="20"/>
                <w:szCs w:val="20"/>
              </w:rPr>
            </w:pPr>
            <w:r w:rsidRPr="00B07AB8">
              <w:rPr>
                <w:rFonts w:ascii="Arial Narrow" w:hAnsi="Arial Narrow" w:cs="Arial"/>
                <w:sz w:val="20"/>
                <w:szCs w:val="20"/>
              </w:rPr>
              <w:t>Удовлетворительно</w:t>
            </w:r>
          </w:p>
        </w:tc>
        <w:tc>
          <w:tcPr>
            <w:tcW w:w="1014" w:type="dxa"/>
            <w:shd w:val="clear" w:color="auto" w:fill="FFFFFF"/>
            <w:vAlign w:val="center"/>
          </w:tcPr>
          <w:p w:rsidR="00B07AB8" w:rsidRPr="00B07AB8" w:rsidRDefault="00B07AB8" w:rsidP="00C54B76">
            <w:pPr>
              <w:spacing w:after="0" w:line="240" w:lineRule="auto"/>
              <w:ind w:left="125"/>
              <w:rPr>
                <w:rFonts w:ascii="Arial Narrow" w:hAnsi="Arial Narrow" w:cs="Arial"/>
                <w:sz w:val="20"/>
                <w:szCs w:val="20"/>
              </w:rPr>
            </w:pPr>
            <w:r w:rsidRPr="00B07AB8">
              <w:rPr>
                <w:rFonts w:ascii="Arial Narrow" w:eastAsia="Calibri" w:hAnsi="Arial Narrow" w:cs="Arial"/>
                <w:sz w:val="20"/>
                <w:szCs w:val="20"/>
              </w:rPr>
              <w:t>33,4%</w:t>
            </w:r>
          </w:p>
        </w:tc>
      </w:tr>
      <w:tr w:rsidR="00B07AB8" w:rsidRPr="00B07AB8" w:rsidTr="003425A3">
        <w:trPr>
          <w:cantSplit/>
        </w:trPr>
        <w:tc>
          <w:tcPr>
            <w:tcW w:w="2459" w:type="dxa"/>
            <w:vMerge/>
            <w:shd w:val="clear" w:color="auto" w:fill="FFFFFF"/>
            <w:vAlign w:val="center"/>
          </w:tcPr>
          <w:p w:rsidR="00B07AB8" w:rsidRPr="00B07AB8" w:rsidRDefault="00B07AB8" w:rsidP="00C54B76">
            <w:pPr>
              <w:spacing w:after="0" w:line="240" w:lineRule="auto"/>
              <w:ind w:left="125"/>
              <w:rPr>
                <w:rFonts w:ascii="Arial Narrow" w:hAnsi="Arial Narrow" w:cs="Arial"/>
                <w:sz w:val="20"/>
                <w:szCs w:val="20"/>
              </w:rPr>
            </w:pPr>
          </w:p>
        </w:tc>
        <w:tc>
          <w:tcPr>
            <w:tcW w:w="2227" w:type="dxa"/>
            <w:shd w:val="clear" w:color="auto" w:fill="FFFFFF"/>
            <w:vAlign w:val="center"/>
          </w:tcPr>
          <w:p w:rsidR="00B07AB8" w:rsidRPr="00B07AB8" w:rsidRDefault="00B07AB8" w:rsidP="00C54B76">
            <w:pPr>
              <w:spacing w:after="0" w:line="240" w:lineRule="auto"/>
              <w:ind w:left="125"/>
              <w:rPr>
                <w:rFonts w:ascii="Arial Narrow" w:hAnsi="Arial Narrow" w:cs="Arial"/>
                <w:sz w:val="20"/>
                <w:szCs w:val="20"/>
              </w:rPr>
            </w:pPr>
            <w:r w:rsidRPr="00B07AB8">
              <w:rPr>
                <w:rFonts w:ascii="Arial Narrow" w:hAnsi="Arial Narrow" w:cs="Arial"/>
                <w:sz w:val="20"/>
                <w:szCs w:val="20"/>
              </w:rPr>
              <w:t>Неудовлетворительно</w:t>
            </w:r>
          </w:p>
        </w:tc>
        <w:tc>
          <w:tcPr>
            <w:tcW w:w="1014" w:type="dxa"/>
            <w:shd w:val="clear" w:color="auto" w:fill="FFFFFF"/>
            <w:vAlign w:val="center"/>
          </w:tcPr>
          <w:p w:rsidR="00B07AB8" w:rsidRPr="00B07AB8" w:rsidRDefault="00B07AB8" w:rsidP="00C54B76">
            <w:pPr>
              <w:spacing w:after="0" w:line="240" w:lineRule="auto"/>
              <w:ind w:left="125"/>
              <w:rPr>
                <w:rFonts w:ascii="Arial Narrow" w:hAnsi="Arial Narrow" w:cs="Arial"/>
                <w:sz w:val="20"/>
                <w:szCs w:val="20"/>
              </w:rPr>
            </w:pPr>
            <w:r w:rsidRPr="00B07AB8">
              <w:rPr>
                <w:rFonts w:ascii="Arial Narrow" w:eastAsia="Calibri" w:hAnsi="Arial Narrow" w:cs="Arial"/>
                <w:sz w:val="20"/>
                <w:szCs w:val="20"/>
              </w:rPr>
              <w:t>40,8%</w:t>
            </w:r>
          </w:p>
        </w:tc>
      </w:tr>
      <w:tr w:rsidR="00B07AB8" w:rsidRPr="00B07AB8" w:rsidTr="003425A3">
        <w:trPr>
          <w:cantSplit/>
        </w:trPr>
        <w:tc>
          <w:tcPr>
            <w:tcW w:w="2459" w:type="dxa"/>
            <w:vMerge/>
            <w:shd w:val="clear" w:color="auto" w:fill="FFFFFF"/>
            <w:vAlign w:val="center"/>
          </w:tcPr>
          <w:p w:rsidR="00B07AB8" w:rsidRPr="00B07AB8" w:rsidRDefault="00B07AB8" w:rsidP="00C54B76">
            <w:pPr>
              <w:spacing w:after="0" w:line="240" w:lineRule="auto"/>
              <w:ind w:left="125"/>
              <w:rPr>
                <w:rFonts w:ascii="Arial Narrow" w:hAnsi="Arial Narrow" w:cs="Arial"/>
                <w:sz w:val="20"/>
                <w:szCs w:val="20"/>
              </w:rPr>
            </w:pPr>
          </w:p>
        </w:tc>
        <w:tc>
          <w:tcPr>
            <w:tcW w:w="2227" w:type="dxa"/>
            <w:shd w:val="clear" w:color="auto" w:fill="FFFFFF"/>
            <w:vAlign w:val="center"/>
          </w:tcPr>
          <w:p w:rsidR="00B07AB8" w:rsidRPr="00B07AB8" w:rsidRDefault="00B07AB8" w:rsidP="00C54B76">
            <w:pPr>
              <w:spacing w:after="0" w:line="240" w:lineRule="auto"/>
              <w:ind w:left="125"/>
              <w:rPr>
                <w:rFonts w:ascii="Arial Narrow" w:hAnsi="Arial Narrow" w:cs="Arial"/>
                <w:sz w:val="20"/>
                <w:szCs w:val="20"/>
              </w:rPr>
            </w:pPr>
            <w:r w:rsidRPr="00B07AB8">
              <w:rPr>
                <w:rFonts w:ascii="Arial Narrow" w:hAnsi="Arial Narrow" w:cs="Arial"/>
                <w:sz w:val="20"/>
                <w:szCs w:val="20"/>
              </w:rPr>
              <w:t>Затрудняюсь ответить</w:t>
            </w:r>
          </w:p>
        </w:tc>
        <w:tc>
          <w:tcPr>
            <w:tcW w:w="1014" w:type="dxa"/>
            <w:shd w:val="clear" w:color="auto" w:fill="FFFFFF"/>
            <w:vAlign w:val="center"/>
          </w:tcPr>
          <w:p w:rsidR="00B07AB8" w:rsidRPr="00B07AB8" w:rsidRDefault="00B07AB8" w:rsidP="00C54B76">
            <w:pPr>
              <w:spacing w:after="0" w:line="240" w:lineRule="auto"/>
              <w:ind w:left="125"/>
              <w:rPr>
                <w:rFonts w:ascii="Arial Narrow" w:hAnsi="Arial Narrow" w:cs="Arial"/>
                <w:sz w:val="20"/>
                <w:szCs w:val="20"/>
              </w:rPr>
            </w:pPr>
            <w:r w:rsidRPr="00B07AB8">
              <w:rPr>
                <w:rFonts w:ascii="Arial Narrow" w:eastAsia="Calibri" w:hAnsi="Arial Narrow" w:cs="Arial"/>
                <w:sz w:val="20"/>
                <w:szCs w:val="20"/>
              </w:rPr>
              <w:t>25,8%</w:t>
            </w:r>
          </w:p>
        </w:tc>
      </w:tr>
    </w:tbl>
    <w:p w:rsidR="00B07AB8" w:rsidRPr="00B07AB8" w:rsidRDefault="00B07AB8" w:rsidP="00B07AB8">
      <w:pPr>
        <w:outlineLvl w:val="2"/>
        <w:rPr>
          <w:rFonts w:ascii="Arial Narrow" w:hAnsi="Arial Narrow"/>
          <w:b/>
          <w:bCs/>
          <w:sz w:val="26"/>
          <w:szCs w:val="26"/>
        </w:rPr>
      </w:pPr>
    </w:p>
    <w:p w:rsidR="00B07AB8" w:rsidRPr="00B07AB8" w:rsidRDefault="00B07AB8" w:rsidP="00B07AB8">
      <w:pPr>
        <w:jc w:val="both"/>
        <w:outlineLvl w:val="2"/>
        <w:rPr>
          <w:rFonts w:ascii="Arial Narrow" w:hAnsi="Arial Narrow"/>
          <w:b/>
          <w:bCs/>
          <w:sz w:val="26"/>
          <w:szCs w:val="26"/>
        </w:rPr>
      </w:pPr>
    </w:p>
    <w:p w:rsidR="00B07AB8" w:rsidRPr="00B07AB8" w:rsidRDefault="00B07AB8" w:rsidP="00A43AC6">
      <w:pPr>
        <w:jc w:val="both"/>
        <w:outlineLvl w:val="2"/>
        <w:rPr>
          <w:rFonts w:ascii="Arial Narrow" w:hAnsi="Arial Narrow"/>
          <w:b/>
          <w:bCs/>
          <w:sz w:val="26"/>
          <w:szCs w:val="26"/>
        </w:rPr>
      </w:pPr>
      <w:bookmarkStart w:id="25" w:name="_Toc475532249"/>
      <w:r w:rsidRPr="00B07AB8">
        <w:rPr>
          <w:rFonts w:ascii="Arial Narrow" w:hAnsi="Arial Narrow"/>
          <w:b/>
          <w:bCs/>
          <w:sz w:val="26"/>
          <w:szCs w:val="26"/>
        </w:rPr>
        <w:t>5.5.1.1.1. Удовлетворенность стоимостью услуг электроснабжения в разрезе отраслевой принадлежности, величины и местонахождения субъектов предпринимательства</w:t>
      </w:r>
      <w:bookmarkEnd w:id="25"/>
    </w:p>
    <w:p w:rsidR="00B07AB8" w:rsidRPr="00B07AB8" w:rsidRDefault="00B07AB8" w:rsidP="00C54B76">
      <w:pPr>
        <w:spacing w:after="0" w:line="360" w:lineRule="auto"/>
        <w:ind w:firstLine="567"/>
        <w:jc w:val="center"/>
        <w:rPr>
          <w:rFonts w:ascii="Arial Narrow" w:hAnsi="Arial Narrow"/>
        </w:rPr>
      </w:pP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Самые высокие доли субъектов предпринимательства, удовлетворенных стоимостью услуг электроснабжения (более 50 %), зафиксированы среди следующих групп респондентов:</w:t>
      </w: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 представители рынка услуг дошкольного образования (70,0 %),</w:t>
      </w: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 представители рынка услуг детского отдыха и оздоровления (60,0 %),</w:t>
      </w: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 субъекты предпринимательства, ведущие деятельность в Болотнинском (61,5 %), Колыванском (52,2 %) районах, г. Оби, Здвинском, Усть-Таркском районах (по 50,0 %).</w:t>
      </w: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Средние и малые предприятия удовлетворены данным параметром примерно в одинаковой степени (27,3 % и 34,5 % соответственно).</w:t>
      </w: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Меньше всего удовлетворены стоимостью услуг электроснабжения представители рынка услуг перевозок пассажиров наземным транспортом (15,0 %), рынка услуг в сфере культуры (20,0 %), организации, ведущие деятельность в Сузунском (18,8 %), Каргатском (16,7 %), Убинском (14,3 %), Чановском (12,1 %), Искитимском (11,8 %), Новосибирском (9,1 %), Доволенском районах (0,0 %).</w:t>
      </w:r>
    </w:p>
    <w:p w:rsidR="00B07AB8" w:rsidRPr="00B07AB8" w:rsidRDefault="00B07AB8" w:rsidP="00C54B76">
      <w:pPr>
        <w:spacing w:after="0" w:line="360" w:lineRule="auto"/>
        <w:ind w:firstLine="567"/>
        <w:jc w:val="both"/>
        <w:rPr>
          <w:rFonts w:ascii="Arial Narrow" w:hAnsi="Arial Narrow"/>
          <w:sz w:val="12"/>
          <w:szCs w:val="12"/>
        </w:rPr>
      </w:pPr>
    </w:p>
    <w:p w:rsidR="00B07AB8" w:rsidRPr="00B07AB8" w:rsidRDefault="00B07AB8" w:rsidP="00B07AB8">
      <w:pPr>
        <w:jc w:val="center"/>
        <w:rPr>
          <w:rFonts w:ascii="Arial Narrow" w:hAnsi="Arial Narrow"/>
          <w:b/>
          <w:bCs/>
        </w:rPr>
      </w:pPr>
      <w:r w:rsidRPr="00B07AB8">
        <w:rPr>
          <w:rFonts w:ascii="Arial Narrow" w:hAnsi="Arial Narrow"/>
          <w:noProof/>
          <w:lang w:eastAsia="ru-RU"/>
        </w:rPr>
        <w:lastRenderedPageBreak/>
        <w:drawing>
          <wp:inline distT="0" distB="0" distL="0" distR="0">
            <wp:extent cx="6326091" cy="5200153"/>
            <wp:effectExtent l="19050" t="0" r="0" b="0"/>
            <wp:docPr id="547" name="Диаграмма 7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B07AB8" w:rsidRPr="00B07AB8" w:rsidRDefault="00B07AB8" w:rsidP="00B07AB8">
      <w:pPr>
        <w:jc w:val="center"/>
        <w:rPr>
          <w:rFonts w:ascii="Arial Narrow" w:hAnsi="Arial Narrow"/>
          <w:b/>
          <w:bCs/>
          <w:color w:val="595959"/>
          <w:sz w:val="20"/>
          <w:szCs w:val="20"/>
        </w:rPr>
      </w:pPr>
      <w:r w:rsidRPr="00B07AB8">
        <w:rPr>
          <w:rFonts w:ascii="Arial Narrow" w:hAnsi="Arial Narrow"/>
          <w:bCs/>
        </w:rPr>
        <w:t>Диаграмма 5.5.2</w:t>
      </w:r>
      <w:r w:rsidRPr="00B07AB8">
        <w:rPr>
          <w:rFonts w:ascii="Arial Narrow" w:hAnsi="Arial Narrow"/>
          <w:b/>
          <w:bCs/>
        </w:rPr>
        <w:t xml:space="preserve"> – Удовлетворенность субъектов предпринимательской деятельности стоимостью услуг электроснабжения, в % от числа опрошенных в разрезе социально значимых и приоритетных рынков</w:t>
      </w:r>
    </w:p>
    <w:p w:rsidR="00B07AB8" w:rsidRPr="00B07AB8" w:rsidRDefault="00B07AB8" w:rsidP="00B07AB8">
      <w:pPr>
        <w:rPr>
          <w:rFonts w:ascii="Arial Narrow" w:hAnsi="Arial Narrow"/>
          <w:noProof/>
        </w:rPr>
      </w:pPr>
    </w:p>
    <w:p w:rsidR="00B07AB8" w:rsidRPr="00B07AB8" w:rsidRDefault="00B07AB8" w:rsidP="00B07AB8">
      <w:pPr>
        <w:ind w:firstLine="567"/>
        <w:jc w:val="center"/>
        <w:rPr>
          <w:rFonts w:ascii="Arial Narrow" w:hAnsi="Arial Narrow"/>
          <w:b/>
          <w:bCs/>
        </w:rPr>
      </w:pPr>
      <w:r w:rsidRPr="00B07AB8">
        <w:rPr>
          <w:rFonts w:ascii="Arial Narrow" w:hAnsi="Arial Narrow"/>
          <w:noProof/>
          <w:lang w:eastAsia="ru-RU"/>
        </w:rPr>
        <w:drawing>
          <wp:inline distT="0" distB="0" distL="0" distR="0">
            <wp:extent cx="6035040" cy="1892410"/>
            <wp:effectExtent l="0" t="0" r="0" b="0"/>
            <wp:docPr id="548"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B07AB8" w:rsidRPr="00B07AB8" w:rsidRDefault="00B07AB8" w:rsidP="00B07AB8">
      <w:pPr>
        <w:ind w:firstLine="567"/>
        <w:jc w:val="center"/>
        <w:rPr>
          <w:rFonts w:ascii="Arial Narrow" w:hAnsi="Arial Narrow"/>
          <w:b/>
          <w:bCs/>
          <w:color w:val="595959"/>
        </w:rPr>
      </w:pPr>
      <w:r w:rsidRPr="00B07AB8">
        <w:rPr>
          <w:rFonts w:ascii="Arial Narrow" w:hAnsi="Arial Narrow"/>
          <w:bCs/>
        </w:rPr>
        <w:t>Диаграмма 5.5.3</w:t>
      </w:r>
      <w:r w:rsidRPr="00B07AB8">
        <w:rPr>
          <w:rFonts w:ascii="Arial Narrow" w:hAnsi="Arial Narrow"/>
          <w:b/>
          <w:bCs/>
        </w:rPr>
        <w:t xml:space="preserve"> – Удовлетворенность субъектов предпринимательской деятельности стоимостью услуг электроснабжения, в % от числа опрошенных в группах по величине предприятий</w:t>
      </w:r>
    </w:p>
    <w:p w:rsidR="00B07AB8" w:rsidRPr="00B07AB8" w:rsidRDefault="00B07AB8" w:rsidP="00B07AB8">
      <w:pPr>
        <w:jc w:val="center"/>
        <w:rPr>
          <w:rFonts w:ascii="Arial Narrow" w:hAnsi="Arial Narrow"/>
          <w:b/>
          <w:bCs/>
        </w:rPr>
      </w:pPr>
      <w:r w:rsidRPr="00B07AB8">
        <w:rPr>
          <w:rFonts w:ascii="Arial Narrow" w:hAnsi="Arial Narrow"/>
          <w:noProof/>
          <w:color w:val="986297"/>
          <w:lang w:eastAsia="ru-RU"/>
        </w:rPr>
        <w:lastRenderedPageBreak/>
        <w:drawing>
          <wp:inline distT="0" distB="0" distL="0" distR="0">
            <wp:extent cx="6241774" cy="8046720"/>
            <wp:effectExtent l="0" t="0" r="0" b="0"/>
            <wp:docPr id="549"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B07AB8" w:rsidRPr="00B07AB8" w:rsidRDefault="00B07AB8" w:rsidP="00A64028">
      <w:pPr>
        <w:jc w:val="center"/>
        <w:rPr>
          <w:rFonts w:ascii="Arial Narrow" w:hAnsi="Arial Narrow"/>
          <w:b/>
          <w:bCs/>
          <w:sz w:val="26"/>
          <w:szCs w:val="26"/>
        </w:rPr>
      </w:pPr>
      <w:r w:rsidRPr="00B07AB8">
        <w:rPr>
          <w:rFonts w:ascii="Arial Narrow" w:hAnsi="Arial Narrow"/>
          <w:bCs/>
        </w:rPr>
        <w:t>Диаграмма 5.5.4</w:t>
      </w:r>
      <w:r w:rsidRPr="00B07AB8">
        <w:rPr>
          <w:rFonts w:ascii="Arial Narrow" w:hAnsi="Arial Narrow"/>
          <w:b/>
          <w:bCs/>
        </w:rPr>
        <w:t xml:space="preserve"> – Удовлетворенность субъектов предпринимательской деятельности стоимостью услуг электроснабжения, в % от числа опрошенных по территориям</w:t>
      </w:r>
      <w:r w:rsidRPr="00B07AB8">
        <w:rPr>
          <w:rFonts w:ascii="Arial Narrow" w:hAnsi="Arial Narrow"/>
          <w:b/>
          <w:bCs/>
          <w:sz w:val="26"/>
          <w:szCs w:val="26"/>
        </w:rPr>
        <w:br w:type="page"/>
      </w:r>
    </w:p>
    <w:p w:rsidR="00B07AB8" w:rsidRPr="00B07AB8" w:rsidRDefault="00B07AB8" w:rsidP="00614BC7">
      <w:pPr>
        <w:jc w:val="both"/>
        <w:outlineLvl w:val="2"/>
        <w:rPr>
          <w:rFonts w:ascii="Arial Narrow" w:hAnsi="Arial Narrow"/>
          <w:b/>
          <w:bCs/>
          <w:sz w:val="26"/>
          <w:szCs w:val="26"/>
        </w:rPr>
      </w:pPr>
      <w:bookmarkStart w:id="26" w:name="_Toc475532250"/>
      <w:r w:rsidRPr="00B07AB8">
        <w:rPr>
          <w:rFonts w:ascii="Arial Narrow" w:hAnsi="Arial Narrow"/>
          <w:b/>
          <w:bCs/>
          <w:sz w:val="26"/>
          <w:szCs w:val="26"/>
        </w:rPr>
        <w:lastRenderedPageBreak/>
        <w:t>5.5.1.1.2. Удовлетворенность стоимостью услуг водоснабжения/водоотведения в разрезе отраслевой принадлежности, величины и местонахождения субъектов предпринимательства</w:t>
      </w:r>
      <w:bookmarkEnd w:id="26"/>
    </w:p>
    <w:p w:rsidR="00B07AB8" w:rsidRPr="00B07AB8" w:rsidRDefault="00B07AB8" w:rsidP="00B07AB8">
      <w:pPr>
        <w:spacing w:after="0" w:line="360" w:lineRule="auto"/>
        <w:ind w:firstLine="284"/>
        <w:jc w:val="both"/>
        <w:rPr>
          <w:rFonts w:ascii="Arial Narrow" w:hAnsi="Arial Narrow"/>
        </w:rPr>
      </w:pP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Самые высокие доли субъектов предпринимательства, удовлетворенных стоимостью услуг водоснабжения/водоотведения (более 50 %), зафиксированы среди следующих групп респондентов:</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 представители рынка услуг дошкольного образования (70,0 %),</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 представители рынка услуг детского отдыха и оздоровления (60,0 %),</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 xml:space="preserve">- субъекты предпринимательства, ведущие деятельность в Здвинском (100,0 %), Болотнинском (84,6 %), Усть-Таркском (83,3 %), Купинском (80,0 %), Черепановском (69,4 %), Кыштовском (66,7 %), Краснозерском (62,5 %), Тогучинском (58,3 %), Кочковском (57,1 %), Мошковском (55,6 %), Чистоозерном (54,5 %), Карасукском (52,9 %), Баганском (50,0 %), Северном (50,0 %) районах, г. Оби (50,0 %). </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Средние и малые предприятия удовлетворены данным параметром примерно в одинаковой степени (36,4 % и 38,7 % соответственно).</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Меньше всего удовлетворены стоимостью услуг водоснабжения/водоотведения представители рынка услуг связи (15,0 %), услуг перевозок пассажиров наземным транспортом (15,0 %), рынка услуг в сфере культуры (24,0 %), организации, ведущие деятельность в Каргатском (0,0 %), Новосибирском (0,0 %), Венгеровском (14,3 %), Чановском (15,2 %), Искитимском (17,6 %) районах.</w:t>
      </w:r>
    </w:p>
    <w:p w:rsidR="00B07AB8" w:rsidRPr="00B07AB8" w:rsidRDefault="00B07AB8" w:rsidP="00B07AB8">
      <w:pPr>
        <w:rPr>
          <w:rFonts w:ascii="Arial Narrow" w:hAnsi="Arial Narrow"/>
          <w:sz w:val="24"/>
          <w:szCs w:val="24"/>
        </w:rPr>
      </w:pPr>
    </w:p>
    <w:p w:rsidR="00B07AB8" w:rsidRPr="00B07AB8" w:rsidRDefault="00B07AB8" w:rsidP="00B07AB8">
      <w:pPr>
        <w:jc w:val="center"/>
        <w:rPr>
          <w:rFonts w:ascii="Arial Narrow" w:hAnsi="Arial Narrow"/>
          <w:b/>
          <w:bCs/>
          <w:color w:val="595959"/>
        </w:rPr>
      </w:pPr>
      <w:r w:rsidRPr="00B07AB8">
        <w:rPr>
          <w:rFonts w:ascii="Arial Narrow" w:hAnsi="Arial Narrow"/>
          <w:noProof/>
          <w:lang w:eastAsia="ru-RU"/>
        </w:rPr>
        <w:lastRenderedPageBreak/>
        <w:drawing>
          <wp:inline distT="0" distB="0" distL="0" distR="0">
            <wp:extent cx="6248400" cy="5162550"/>
            <wp:effectExtent l="19050" t="0" r="0" b="0"/>
            <wp:docPr id="550"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B07AB8" w:rsidRPr="00B07AB8" w:rsidRDefault="00B07AB8" w:rsidP="00B07AB8">
      <w:pPr>
        <w:jc w:val="center"/>
        <w:rPr>
          <w:rFonts w:ascii="Arial Narrow" w:hAnsi="Arial Narrow"/>
          <w:b/>
          <w:bCs/>
        </w:rPr>
      </w:pPr>
      <w:r w:rsidRPr="00B07AB8">
        <w:rPr>
          <w:rFonts w:ascii="Arial Narrow" w:hAnsi="Arial Narrow"/>
          <w:bCs/>
        </w:rPr>
        <w:t>Диаграмма 5.5.5</w:t>
      </w:r>
      <w:r w:rsidRPr="00B07AB8">
        <w:rPr>
          <w:rFonts w:ascii="Arial Narrow" w:hAnsi="Arial Narrow"/>
          <w:b/>
          <w:bCs/>
        </w:rPr>
        <w:t xml:space="preserve"> – Удовлетворенность субъектов предпринимательской деятельности стоимостью услуг водоснабжения, водоотведения, в % от числа опрошенных в социально значимых и приоритетных рынках</w:t>
      </w:r>
    </w:p>
    <w:p w:rsidR="00B07AB8" w:rsidRPr="00B07AB8" w:rsidRDefault="00B07AB8" w:rsidP="00B07AB8">
      <w:pPr>
        <w:ind w:firstLine="567"/>
        <w:jc w:val="both"/>
        <w:rPr>
          <w:rFonts w:ascii="Arial Narrow" w:hAnsi="Arial Narrow"/>
        </w:rPr>
      </w:pPr>
    </w:p>
    <w:p w:rsidR="00B07AB8" w:rsidRPr="00B07AB8" w:rsidRDefault="00B07AB8" w:rsidP="00B07AB8">
      <w:pPr>
        <w:ind w:firstLine="567"/>
        <w:jc w:val="center"/>
        <w:rPr>
          <w:rFonts w:ascii="Arial Narrow" w:hAnsi="Arial Narrow"/>
          <w:b/>
          <w:bCs/>
          <w:color w:val="595959"/>
          <w:sz w:val="20"/>
          <w:szCs w:val="20"/>
        </w:rPr>
      </w:pPr>
      <w:r w:rsidRPr="00B07AB8">
        <w:rPr>
          <w:rFonts w:ascii="Arial Narrow" w:hAnsi="Arial Narrow"/>
          <w:noProof/>
          <w:lang w:eastAsia="ru-RU"/>
        </w:rPr>
        <w:drawing>
          <wp:inline distT="0" distB="0" distL="0" distR="0">
            <wp:extent cx="6031406" cy="1707688"/>
            <wp:effectExtent l="0" t="0" r="0" b="0"/>
            <wp:docPr id="551"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B07AB8" w:rsidRPr="00B07AB8" w:rsidRDefault="00B07AB8" w:rsidP="00B07AB8">
      <w:pPr>
        <w:ind w:firstLine="567"/>
        <w:jc w:val="center"/>
        <w:rPr>
          <w:rFonts w:ascii="Arial Narrow" w:hAnsi="Arial Narrow"/>
          <w:b/>
          <w:bCs/>
        </w:rPr>
      </w:pPr>
      <w:r w:rsidRPr="00B07AB8">
        <w:rPr>
          <w:rFonts w:ascii="Arial Narrow" w:hAnsi="Arial Narrow"/>
          <w:bCs/>
        </w:rPr>
        <w:t>Диаграмма 5.5.6</w:t>
      </w:r>
      <w:r w:rsidRPr="00B07AB8">
        <w:rPr>
          <w:rFonts w:ascii="Arial Narrow" w:hAnsi="Arial Narrow"/>
          <w:b/>
          <w:bCs/>
        </w:rPr>
        <w:t xml:space="preserve"> – Удовлетворенность субъектов предпринимательской деятельности стоимостью услуг водоснабжения, водоотведения, в % от числа опрошенных в группах по величине предприятия</w:t>
      </w:r>
    </w:p>
    <w:p w:rsidR="00B07AB8" w:rsidRPr="00B07AB8" w:rsidRDefault="00B07AB8" w:rsidP="00B07AB8">
      <w:pPr>
        <w:ind w:firstLine="567"/>
        <w:jc w:val="center"/>
        <w:rPr>
          <w:rFonts w:ascii="Arial Narrow" w:hAnsi="Arial Narrow"/>
          <w:b/>
          <w:sz w:val="24"/>
          <w:szCs w:val="24"/>
        </w:rPr>
      </w:pPr>
    </w:p>
    <w:p w:rsidR="00B07AB8" w:rsidRPr="00B07AB8" w:rsidRDefault="00B07AB8" w:rsidP="00B07AB8">
      <w:pPr>
        <w:jc w:val="center"/>
        <w:rPr>
          <w:rFonts w:ascii="Arial Narrow" w:hAnsi="Arial Narrow"/>
          <w:b/>
          <w:bCs/>
          <w:color w:val="595959"/>
          <w:sz w:val="20"/>
          <w:szCs w:val="20"/>
        </w:rPr>
      </w:pPr>
      <w:r w:rsidRPr="00B07AB8">
        <w:rPr>
          <w:rFonts w:ascii="Arial Narrow" w:hAnsi="Arial Narrow"/>
          <w:noProof/>
          <w:color w:val="986297"/>
          <w:lang w:eastAsia="ru-RU"/>
        </w:rPr>
        <w:lastRenderedPageBreak/>
        <w:drawing>
          <wp:inline distT="0" distB="0" distL="0" distR="0">
            <wp:extent cx="6316566" cy="8134184"/>
            <wp:effectExtent l="0" t="0" r="0" b="0"/>
            <wp:docPr id="552" name="Диаграмма 2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B07AB8" w:rsidRPr="00B07AB8" w:rsidRDefault="00B07AB8" w:rsidP="00B07AB8">
      <w:pPr>
        <w:jc w:val="center"/>
        <w:rPr>
          <w:rFonts w:ascii="Arial Narrow" w:hAnsi="Arial Narrow"/>
          <w:b/>
          <w:bCs/>
        </w:rPr>
      </w:pPr>
      <w:r w:rsidRPr="00B07AB8">
        <w:rPr>
          <w:rFonts w:ascii="Arial Narrow" w:hAnsi="Arial Narrow"/>
          <w:bCs/>
        </w:rPr>
        <w:t>Диаграмма 5.5.7</w:t>
      </w:r>
      <w:r w:rsidRPr="00B07AB8">
        <w:rPr>
          <w:rFonts w:ascii="Arial Narrow" w:hAnsi="Arial Narrow"/>
          <w:b/>
          <w:bCs/>
        </w:rPr>
        <w:t xml:space="preserve"> – Удовлетворенность субъектов предпринимательской деятельности стоимостью услуг водоснабжения, водоотведения, в % от числа опрошенных по территориям</w:t>
      </w:r>
    </w:p>
    <w:p w:rsidR="00B07AB8" w:rsidRPr="00B07AB8" w:rsidRDefault="00B07AB8" w:rsidP="00A43AC6">
      <w:pPr>
        <w:jc w:val="both"/>
        <w:rPr>
          <w:rFonts w:ascii="Arial Narrow" w:hAnsi="Arial Narrow"/>
          <w:b/>
          <w:bCs/>
          <w:sz w:val="26"/>
          <w:szCs w:val="26"/>
        </w:rPr>
      </w:pPr>
      <w:r w:rsidRPr="00B07AB8">
        <w:rPr>
          <w:rFonts w:ascii="Arial Narrow" w:hAnsi="Arial Narrow"/>
          <w:b/>
          <w:bCs/>
          <w:sz w:val="26"/>
          <w:szCs w:val="26"/>
        </w:rPr>
        <w:br w:type="page"/>
      </w:r>
      <w:bookmarkStart w:id="27" w:name="_Toc475532251"/>
      <w:r w:rsidRPr="00B07AB8">
        <w:rPr>
          <w:rFonts w:ascii="Arial Narrow" w:hAnsi="Arial Narrow"/>
          <w:b/>
          <w:bCs/>
          <w:sz w:val="26"/>
          <w:szCs w:val="26"/>
        </w:rPr>
        <w:lastRenderedPageBreak/>
        <w:t>5.5.1.1.3. Удовлетворенность стоимостью услуг теплоснабжения в разрезе отраслевой принадлежности, величины и местонахождения субъектов предпринимательства</w:t>
      </w:r>
      <w:bookmarkEnd w:id="27"/>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Самые высокие доли субъектов предпринимательства, удовлетворенных стоимостью услуг теплоснабжения (более 50 %), зафиксированы среди следующих групп респондентов:</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 представители рынка услуг дошкольного образования (70,0 %),</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 представители рынка услуг детского отдыха и оздоровления (60,0 %),</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 xml:space="preserve">- субъекты предпринимательства, ведущие деятельность в Болотнинском (76,9 %), Здвинском (66,7 %), Усть-Таркском (66,7 %), Карасукском (52,9 %) районах, г. Оби (50,0 %). </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Малые предприятия более удовлетворены данным параметром, чем средние предприятия (33,5 % и 18,2 % соответственно).</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Меньше всего удовлетворены стоимостью услуг теплоснабжения представители рынка услуг перевозок пассажиров наземным транспортом (15,0 %), рынка услуг в сфере культуры (24,0 %), рынка развития, производства, переработки и хранения сельскохозяйственной продукции (27,0 %), организации, ведущие деятельность в Каргатском (0,0 %), Новосибирском (0,0 %), Искитимском (11,8 %), Чановском (12,1 %) районах, р. п. Кольцово (12,5 %), Краснозерском (12,5 %), Убинском (14,3 %), Доволенском (14,3 %), Венгеровском (14,3 %) районах.</w:t>
      </w:r>
    </w:p>
    <w:p w:rsidR="00B07AB8" w:rsidRPr="00B07AB8" w:rsidRDefault="00B07AB8" w:rsidP="00B07AB8">
      <w:pPr>
        <w:spacing w:line="360" w:lineRule="auto"/>
        <w:ind w:firstLine="567"/>
        <w:jc w:val="both"/>
        <w:rPr>
          <w:rFonts w:ascii="Arial Narrow" w:hAnsi="Arial Narrow"/>
          <w:sz w:val="12"/>
          <w:szCs w:val="12"/>
        </w:rPr>
      </w:pPr>
    </w:p>
    <w:p w:rsidR="00B07AB8" w:rsidRPr="00B07AB8" w:rsidRDefault="00B07AB8" w:rsidP="00B07AB8">
      <w:pPr>
        <w:jc w:val="center"/>
        <w:rPr>
          <w:rFonts w:ascii="Arial Narrow" w:hAnsi="Arial Narrow"/>
          <w:b/>
          <w:bCs/>
          <w:color w:val="595959"/>
          <w:sz w:val="20"/>
          <w:szCs w:val="20"/>
        </w:rPr>
      </w:pPr>
      <w:r w:rsidRPr="00B07AB8">
        <w:rPr>
          <w:rFonts w:ascii="Arial Narrow" w:hAnsi="Arial Narrow"/>
          <w:noProof/>
          <w:lang w:eastAsia="ru-RU"/>
        </w:rPr>
        <w:lastRenderedPageBreak/>
        <w:drawing>
          <wp:inline distT="0" distB="0" distL="0" distR="0">
            <wp:extent cx="6391275" cy="5153025"/>
            <wp:effectExtent l="19050" t="0" r="0" b="0"/>
            <wp:docPr id="553"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B07AB8" w:rsidRPr="00B07AB8" w:rsidRDefault="00B07AB8" w:rsidP="00B07AB8">
      <w:pPr>
        <w:jc w:val="center"/>
        <w:rPr>
          <w:rFonts w:ascii="Arial Narrow" w:hAnsi="Arial Narrow"/>
          <w:b/>
          <w:bCs/>
        </w:rPr>
      </w:pPr>
      <w:r w:rsidRPr="00B07AB8">
        <w:rPr>
          <w:rFonts w:ascii="Arial Narrow" w:hAnsi="Arial Narrow"/>
          <w:bCs/>
        </w:rPr>
        <w:t>Диаграмма 5.5.11</w:t>
      </w:r>
      <w:r w:rsidRPr="00B07AB8">
        <w:rPr>
          <w:rFonts w:ascii="Arial Narrow" w:hAnsi="Arial Narrow"/>
          <w:b/>
          <w:bCs/>
        </w:rPr>
        <w:t xml:space="preserve"> – Удовлетворенность субъектов предпринимательской деятельности стоимостью услуг теплоснабжения, в % от числа опрошенных от числа социально значимых и приоритетных рынков</w:t>
      </w:r>
    </w:p>
    <w:p w:rsidR="00B07AB8" w:rsidRPr="00B07AB8" w:rsidRDefault="00B07AB8" w:rsidP="00B07AB8">
      <w:pPr>
        <w:jc w:val="right"/>
        <w:rPr>
          <w:rFonts w:ascii="Arial Narrow" w:hAnsi="Arial Narrow"/>
          <w:b/>
          <w:bCs/>
          <w:color w:val="595959"/>
          <w:sz w:val="20"/>
          <w:szCs w:val="20"/>
        </w:rPr>
      </w:pPr>
    </w:p>
    <w:p w:rsidR="00B07AB8" w:rsidRPr="00B07AB8" w:rsidRDefault="00B07AB8" w:rsidP="00B07AB8">
      <w:pPr>
        <w:ind w:firstLine="567"/>
        <w:jc w:val="center"/>
        <w:rPr>
          <w:rFonts w:ascii="Arial Narrow" w:hAnsi="Arial Narrow"/>
          <w:b/>
          <w:bCs/>
          <w:sz w:val="20"/>
          <w:szCs w:val="20"/>
        </w:rPr>
      </w:pPr>
      <w:r w:rsidRPr="00B07AB8">
        <w:rPr>
          <w:rFonts w:ascii="Arial Narrow" w:hAnsi="Arial Narrow"/>
          <w:noProof/>
          <w:lang w:eastAsia="ru-RU"/>
        </w:rPr>
        <w:drawing>
          <wp:inline distT="0" distB="0" distL="0" distR="0">
            <wp:extent cx="6031230" cy="1828800"/>
            <wp:effectExtent l="0" t="0" r="0" b="0"/>
            <wp:docPr id="554"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B07AB8" w:rsidRPr="00B07AB8" w:rsidRDefault="00B07AB8" w:rsidP="00B07AB8">
      <w:pPr>
        <w:ind w:firstLine="567"/>
        <w:jc w:val="center"/>
        <w:rPr>
          <w:rFonts w:ascii="Arial Narrow" w:hAnsi="Arial Narrow"/>
          <w:b/>
          <w:bCs/>
          <w:color w:val="595959"/>
        </w:rPr>
      </w:pPr>
      <w:r w:rsidRPr="00B07AB8">
        <w:rPr>
          <w:rFonts w:ascii="Arial Narrow" w:hAnsi="Arial Narrow"/>
          <w:bCs/>
        </w:rPr>
        <w:t>Диаграмма 5.5.12</w:t>
      </w:r>
      <w:r w:rsidRPr="00B07AB8">
        <w:rPr>
          <w:rFonts w:ascii="Arial Narrow" w:hAnsi="Arial Narrow"/>
          <w:b/>
          <w:bCs/>
        </w:rPr>
        <w:t xml:space="preserve"> – Удовлетворенность субъектов предпринимательской деятельности стоимостью услуг теплоснабжения, в % от числа опрошенных в группах по величине предприятий</w:t>
      </w:r>
    </w:p>
    <w:p w:rsidR="00B07AB8" w:rsidRPr="00B07AB8" w:rsidRDefault="00B07AB8" w:rsidP="00B07AB8">
      <w:pPr>
        <w:jc w:val="center"/>
        <w:rPr>
          <w:rFonts w:ascii="Arial Narrow" w:hAnsi="Arial Narrow"/>
          <w:b/>
          <w:bCs/>
          <w:color w:val="595959"/>
          <w:sz w:val="20"/>
          <w:szCs w:val="20"/>
        </w:rPr>
      </w:pPr>
      <w:r w:rsidRPr="00B07AB8">
        <w:rPr>
          <w:rFonts w:ascii="Arial Narrow" w:hAnsi="Arial Narrow"/>
          <w:noProof/>
          <w:color w:val="986297"/>
          <w:lang w:eastAsia="ru-RU"/>
        </w:rPr>
        <w:lastRenderedPageBreak/>
        <w:drawing>
          <wp:inline distT="0" distB="0" distL="0" distR="0">
            <wp:extent cx="6488265" cy="7999012"/>
            <wp:effectExtent l="0" t="0" r="0" b="0"/>
            <wp:docPr id="555" name="Диаграмма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B07AB8" w:rsidRPr="00B07AB8" w:rsidRDefault="00B07AB8" w:rsidP="00B07AB8">
      <w:pPr>
        <w:jc w:val="center"/>
        <w:rPr>
          <w:rFonts w:ascii="Arial Narrow" w:hAnsi="Arial Narrow"/>
          <w:b/>
          <w:bCs/>
        </w:rPr>
      </w:pPr>
      <w:r w:rsidRPr="00B07AB8">
        <w:rPr>
          <w:rFonts w:ascii="Arial Narrow" w:hAnsi="Arial Narrow"/>
          <w:bCs/>
        </w:rPr>
        <w:t>Диаграмма 5.5.13</w:t>
      </w:r>
      <w:r w:rsidRPr="00B07AB8">
        <w:rPr>
          <w:rFonts w:ascii="Arial Narrow" w:hAnsi="Arial Narrow"/>
          <w:b/>
          <w:bCs/>
        </w:rPr>
        <w:t xml:space="preserve"> – Удовлетворенность субъектов предпринимательской деятельности стоимостью услуг теплоснабжения, в % от числа опрошенных по территориям</w:t>
      </w:r>
    </w:p>
    <w:p w:rsidR="00B07AB8" w:rsidRPr="00B07AB8" w:rsidRDefault="00B07AB8" w:rsidP="00A43AC6">
      <w:pPr>
        <w:jc w:val="both"/>
        <w:outlineLvl w:val="2"/>
        <w:rPr>
          <w:rFonts w:ascii="Arial Narrow" w:hAnsi="Arial Narrow"/>
          <w:b/>
          <w:bCs/>
          <w:sz w:val="26"/>
          <w:szCs w:val="26"/>
        </w:rPr>
      </w:pPr>
      <w:bookmarkStart w:id="28" w:name="_Toc475532252"/>
      <w:r w:rsidRPr="00B07AB8">
        <w:rPr>
          <w:rFonts w:ascii="Arial Narrow" w:hAnsi="Arial Narrow"/>
          <w:b/>
          <w:bCs/>
          <w:sz w:val="26"/>
          <w:szCs w:val="26"/>
        </w:rPr>
        <w:lastRenderedPageBreak/>
        <w:t>5.5.1.1.4. Удовлетворенность стоимостью услуг газоснабжения в разрезе отраслевой принадлежности, величины и местонахождения субъектов предпринимательства</w:t>
      </w:r>
      <w:bookmarkEnd w:id="28"/>
    </w:p>
    <w:p w:rsidR="00B07AB8" w:rsidRPr="00B07AB8" w:rsidRDefault="00B07AB8" w:rsidP="00B07AB8">
      <w:pPr>
        <w:spacing w:after="0" w:line="360" w:lineRule="auto"/>
        <w:ind w:firstLine="567"/>
        <w:jc w:val="center"/>
        <w:rPr>
          <w:rFonts w:ascii="Arial Narrow" w:hAnsi="Arial Narrow"/>
        </w:rPr>
      </w:pP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Самые высокие доли субъектов предпринимательства, удовлетворенных стоимостью услуг газоснабжения (более 50 %), зафиксированы среди следующих групп респондентов:</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 представители рынка услуг дошкольного образования (70,0 %),</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 представители рынка услуг детского отдыха и оздоровления (60,0 %),</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 xml:space="preserve">- субъекты предпринимательства, ведущие деятельность в г. Оби (50,0 %). </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Средние и малые и предприятия удовлетворены данным параметром примерно в равной степени (27,3 % и 29,5 % соответственно).</w:t>
      </w:r>
    </w:p>
    <w:p w:rsidR="00B07AB8" w:rsidRPr="00B07AB8" w:rsidRDefault="00B07AB8" w:rsidP="00B07AB8">
      <w:pPr>
        <w:tabs>
          <w:tab w:val="left" w:pos="2003"/>
        </w:tabs>
        <w:spacing w:after="0" w:line="360" w:lineRule="auto"/>
        <w:ind w:firstLine="284"/>
        <w:jc w:val="both"/>
        <w:rPr>
          <w:rFonts w:ascii="Arial Narrow" w:hAnsi="Arial Narrow"/>
          <w:sz w:val="24"/>
          <w:szCs w:val="24"/>
        </w:rPr>
      </w:pPr>
      <w:r w:rsidRPr="00B07AB8">
        <w:rPr>
          <w:rFonts w:ascii="Arial Narrow" w:hAnsi="Arial Narrow"/>
          <w:sz w:val="24"/>
          <w:szCs w:val="24"/>
        </w:rPr>
        <w:t>Меньше всего удовлетворены стоимостью услуг газоснабжения представители рынка услуг перевозок пассажиров наземным транспортом (3,3 %), рынка развития, производства, переработки и хранения с/х продукции (15,0 %), рынка услуг в сфере культуры (16,0 %), организации, ведущие деятельность в Венгеровском (14,3 %), Доволенском (14,3 %), Кочковском (14,3 %), Убинском (14,3 %), Купинском (13,3 %), р. п. Кольцово (12,5 %), Новосибирском (9,1 %), Тогучинском (4,2 %), Баганском (0,0 %), Искитимском (0,0 %), Каргатском (0,0 %), Краснозерском (0,0 %), Кыштовском (0,0 %) районах.</w:t>
      </w:r>
    </w:p>
    <w:p w:rsidR="00B07AB8" w:rsidRPr="00B07AB8" w:rsidRDefault="00B07AB8" w:rsidP="00B07AB8">
      <w:pPr>
        <w:spacing w:line="360" w:lineRule="auto"/>
        <w:ind w:firstLine="567"/>
        <w:jc w:val="both"/>
        <w:rPr>
          <w:rFonts w:ascii="Arial Narrow" w:hAnsi="Arial Narrow"/>
          <w:sz w:val="12"/>
          <w:szCs w:val="12"/>
        </w:rPr>
      </w:pPr>
    </w:p>
    <w:p w:rsidR="00B07AB8" w:rsidRPr="00B07AB8" w:rsidRDefault="00B07AB8" w:rsidP="00B07AB8">
      <w:pPr>
        <w:jc w:val="both"/>
        <w:rPr>
          <w:rFonts w:ascii="Arial Narrow" w:hAnsi="Arial Narrow"/>
          <w:b/>
          <w:bCs/>
          <w:noProof/>
          <w:color w:val="595959"/>
          <w:sz w:val="20"/>
          <w:szCs w:val="20"/>
        </w:rPr>
      </w:pPr>
      <w:r w:rsidRPr="00B07AB8">
        <w:rPr>
          <w:rFonts w:ascii="Arial Narrow" w:hAnsi="Arial Narrow"/>
          <w:noProof/>
          <w:lang w:eastAsia="ru-RU"/>
        </w:rPr>
        <w:lastRenderedPageBreak/>
        <w:drawing>
          <wp:inline distT="0" distB="0" distL="0" distR="0">
            <wp:extent cx="5295569" cy="5247861"/>
            <wp:effectExtent l="19050" t="0" r="0" b="0"/>
            <wp:docPr id="556"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B07AB8" w:rsidRPr="00B07AB8" w:rsidRDefault="00B07AB8" w:rsidP="00B07AB8">
      <w:pPr>
        <w:jc w:val="center"/>
        <w:rPr>
          <w:rFonts w:ascii="Arial Narrow" w:hAnsi="Arial Narrow"/>
          <w:b/>
          <w:bCs/>
        </w:rPr>
      </w:pPr>
      <w:r w:rsidRPr="00B07AB8">
        <w:rPr>
          <w:rFonts w:ascii="Arial Narrow" w:hAnsi="Arial Narrow"/>
          <w:bCs/>
        </w:rPr>
        <w:t>Диаграмма 5.5.8</w:t>
      </w:r>
      <w:r w:rsidRPr="00B07AB8">
        <w:rPr>
          <w:rFonts w:ascii="Arial Narrow" w:hAnsi="Arial Narrow"/>
          <w:b/>
          <w:bCs/>
        </w:rPr>
        <w:t xml:space="preserve"> – Удовлетворенность субъектов предпринимательской деятельности стоимостью услуг газоснабжения, в % от числа опрошенных по социально значимым и приоритетным рынкам</w:t>
      </w:r>
    </w:p>
    <w:p w:rsidR="00B07AB8" w:rsidRPr="00B07AB8" w:rsidRDefault="00B07AB8" w:rsidP="00B07AB8">
      <w:pPr>
        <w:jc w:val="both"/>
        <w:rPr>
          <w:rFonts w:ascii="Arial Narrow" w:hAnsi="Arial Narrow"/>
        </w:rPr>
      </w:pPr>
    </w:p>
    <w:p w:rsidR="00B07AB8" w:rsidRPr="00B07AB8" w:rsidRDefault="00B07AB8" w:rsidP="00B07AB8">
      <w:pPr>
        <w:ind w:firstLine="567"/>
        <w:jc w:val="center"/>
        <w:rPr>
          <w:rFonts w:ascii="Arial Narrow" w:hAnsi="Arial Narrow"/>
          <w:b/>
          <w:bCs/>
        </w:rPr>
      </w:pPr>
      <w:r w:rsidRPr="00B07AB8">
        <w:rPr>
          <w:rFonts w:ascii="Arial Narrow" w:hAnsi="Arial Narrow"/>
          <w:noProof/>
          <w:lang w:eastAsia="ru-RU"/>
        </w:rPr>
        <w:drawing>
          <wp:inline distT="0" distB="0" distL="0" distR="0">
            <wp:extent cx="5136542" cy="1971924"/>
            <wp:effectExtent l="0" t="0" r="0" b="0"/>
            <wp:docPr id="557"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B07AB8" w:rsidRPr="00B07AB8" w:rsidRDefault="00B07AB8" w:rsidP="00B07AB8">
      <w:pPr>
        <w:ind w:firstLine="567"/>
        <w:jc w:val="center"/>
        <w:rPr>
          <w:rFonts w:ascii="Arial Narrow" w:hAnsi="Arial Narrow"/>
          <w:b/>
          <w:bCs/>
          <w:color w:val="595959"/>
          <w:sz w:val="20"/>
          <w:szCs w:val="20"/>
        </w:rPr>
      </w:pPr>
      <w:r w:rsidRPr="00B07AB8">
        <w:rPr>
          <w:rFonts w:ascii="Arial Narrow" w:hAnsi="Arial Narrow"/>
          <w:bCs/>
        </w:rPr>
        <w:t>Диаграмма 5.5.9</w:t>
      </w:r>
      <w:r w:rsidRPr="00B07AB8">
        <w:rPr>
          <w:rFonts w:ascii="Arial Narrow" w:hAnsi="Arial Narrow"/>
          <w:b/>
          <w:bCs/>
        </w:rPr>
        <w:t xml:space="preserve"> – Удовлетворенность субъектов предпринимательской деятельности стоимостью услуг газоснабжения, в % от числа опрошенных в группах по величине предприятий</w:t>
      </w:r>
    </w:p>
    <w:p w:rsidR="00B07AB8" w:rsidRPr="00B07AB8" w:rsidRDefault="00B07AB8" w:rsidP="00B07AB8">
      <w:pPr>
        <w:jc w:val="center"/>
        <w:rPr>
          <w:rFonts w:ascii="Arial Narrow" w:hAnsi="Arial Narrow"/>
          <w:b/>
          <w:bCs/>
        </w:rPr>
      </w:pPr>
      <w:r w:rsidRPr="00B07AB8">
        <w:rPr>
          <w:rFonts w:ascii="Arial Narrow" w:hAnsi="Arial Narrow"/>
          <w:noProof/>
          <w:color w:val="986297"/>
          <w:lang w:eastAsia="ru-RU"/>
        </w:rPr>
        <w:lastRenderedPageBreak/>
        <w:drawing>
          <wp:inline distT="0" distB="0" distL="0" distR="0">
            <wp:extent cx="6233822" cy="8022866"/>
            <wp:effectExtent l="0" t="0" r="0" b="0"/>
            <wp:docPr id="558" name="Диаграмма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B07AB8" w:rsidRPr="00B07AB8" w:rsidRDefault="00B07AB8" w:rsidP="00B07AB8">
      <w:pPr>
        <w:jc w:val="center"/>
        <w:rPr>
          <w:rFonts w:ascii="Arial Narrow" w:hAnsi="Arial Narrow"/>
          <w:b/>
          <w:bCs/>
          <w:color w:val="595959"/>
          <w:sz w:val="20"/>
          <w:szCs w:val="20"/>
        </w:rPr>
      </w:pPr>
      <w:r w:rsidRPr="00B07AB8">
        <w:rPr>
          <w:rFonts w:ascii="Arial Narrow" w:hAnsi="Arial Narrow"/>
          <w:bCs/>
        </w:rPr>
        <w:t>Диаграмма 5.5.10</w:t>
      </w:r>
      <w:r w:rsidRPr="00B07AB8">
        <w:rPr>
          <w:rFonts w:ascii="Arial Narrow" w:hAnsi="Arial Narrow"/>
          <w:b/>
          <w:bCs/>
        </w:rPr>
        <w:t xml:space="preserve"> – Удовлетворенность субъектов предпринимательской деятельности стоимостью услуг газоснабжения, в % от числа опрошенных по территориям</w:t>
      </w:r>
    </w:p>
    <w:p w:rsidR="00B07AB8" w:rsidRPr="00B07AB8" w:rsidRDefault="00B07AB8" w:rsidP="00A43AC6">
      <w:pPr>
        <w:tabs>
          <w:tab w:val="center" w:pos="4986"/>
        </w:tabs>
        <w:jc w:val="both"/>
        <w:rPr>
          <w:rFonts w:ascii="Arial Narrow" w:hAnsi="Arial Narrow"/>
          <w:b/>
          <w:bCs/>
          <w:sz w:val="26"/>
          <w:szCs w:val="26"/>
        </w:rPr>
      </w:pPr>
      <w:r w:rsidRPr="00B07AB8">
        <w:rPr>
          <w:rFonts w:ascii="Arial Narrow" w:hAnsi="Arial Narrow"/>
          <w:b/>
          <w:bCs/>
          <w:color w:val="595959"/>
          <w:sz w:val="20"/>
          <w:szCs w:val="20"/>
        </w:rPr>
        <w:br w:type="page"/>
      </w:r>
      <w:r w:rsidRPr="00B07AB8">
        <w:rPr>
          <w:rFonts w:ascii="Arial Narrow" w:hAnsi="Arial Narrow"/>
          <w:b/>
          <w:bCs/>
          <w:sz w:val="26"/>
          <w:szCs w:val="26"/>
        </w:rPr>
        <w:lastRenderedPageBreak/>
        <w:t>5.5.1.2. Удовлетворенность качеством услуг, предоставляемых субъектами естественных монополий</w:t>
      </w:r>
    </w:p>
    <w:p w:rsidR="00B07AB8" w:rsidRPr="00B07AB8" w:rsidRDefault="00B07AB8" w:rsidP="00B07AB8">
      <w:pPr>
        <w:spacing w:after="0" w:line="360" w:lineRule="auto"/>
        <w:ind w:firstLine="567"/>
        <w:rPr>
          <w:rFonts w:ascii="Arial Narrow" w:hAnsi="Arial Narrow"/>
          <w:b/>
        </w:rPr>
      </w:pP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Большинство опрошенных субъектов предпринимательства удовлетворены качеством услуг, предоставляемых естественными монополиями (52,4–65,6 %). Доли неудовлетворенных значительно ниже: от 12,8 % до 17,4 % опрошенных.</w:t>
      </w:r>
    </w:p>
    <w:p w:rsidR="00B07AB8" w:rsidRPr="00B07AB8" w:rsidRDefault="00B07AB8" w:rsidP="00B07AB8">
      <w:pPr>
        <w:spacing w:after="0" w:line="360" w:lineRule="auto"/>
        <w:ind w:firstLine="284"/>
        <w:jc w:val="both"/>
        <w:rPr>
          <w:rFonts w:ascii="Arial Narrow" w:hAnsi="Arial Narrow"/>
          <w:sz w:val="24"/>
          <w:szCs w:val="24"/>
          <w:u w:val="single"/>
        </w:rPr>
      </w:pPr>
      <w:r w:rsidRPr="00B07AB8">
        <w:rPr>
          <w:rFonts w:ascii="Arial Narrow" w:hAnsi="Arial Narrow"/>
          <w:sz w:val="24"/>
          <w:szCs w:val="24"/>
          <w:u w:val="single"/>
        </w:rPr>
        <w:t>Рейтинг удовлетворенности субъектов предпринимательства качеством услуг естественных монополий:</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1. Электроснабжение (</w:t>
      </w:r>
      <w:r w:rsidRPr="00B07AB8">
        <w:rPr>
          <w:rFonts w:ascii="Arial Narrow" w:eastAsia="Calibri" w:hAnsi="Arial Narrow" w:cs="Arial"/>
          <w:sz w:val="24"/>
          <w:szCs w:val="24"/>
        </w:rPr>
        <w:t>65,6 %</w:t>
      </w:r>
      <w:r w:rsidRPr="00B07AB8">
        <w:rPr>
          <w:rFonts w:ascii="Arial Narrow" w:hAnsi="Arial Narrow"/>
          <w:sz w:val="24"/>
          <w:szCs w:val="24"/>
        </w:rPr>
        <w:t xml:space="preserve"> удовлетворены, </w:t>
      </w:r>
      <w:r w:rsidRPr="00B07AB8">
        <w:rPr>
          <w:rFonts w:ascii="Arial Narrow" w:eastAsia="Calibri" w:hAnsi="Arial Narrow" w:cs="Arial"/>
          <w:sz w:val="24"/>
          <w:szCs w:val="24"/>
        </w:rPr>
        <w:t>16,4 %</w:t>
      </w:r>
      <w:r w:rsidRPr="00B07AB8">
        <w:rPr>
          <w:rFonts w:ascii="Arial Narrow" w:hAnsi="Arial Narrow"/>
          <w:sz w:val="24"/>
          <w:szCs w:val="24"/>
        </w:rPr>
        <w:t xml:space="preserve"> не удовлетворены);</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2. Водоснабжение, водоотведение (</w:t>
      </w:r>
      <w:r w:rsidRPr="00B07AB8">
        <w:rPr>
          <w:rFonts w:ascii="Arial Narrow" w:eastAsia="Calibri" w:hAnsi="Arial Narrow" w:cs="Arial"/>
          <w:sz w:val="24"/>
          <w:szCs w:val="24"/>
        </w:rPr>
        <w:t>62,6 %</w:t>
      </w:r>
      <w:r w:rsidRPr="00B07AB8">
        <w:rPr>
          <w:rFonts w:ascii="Arial Narrow" w:hAnsi="Arial Narrow"/>
          <w:sz w:val="24"/>
          <w:szCs w:val="24"/>
        </w:rPr>
        <w:t xml:space="preserve"> удовлетворены, </w:t>
      </w:r>
      <w:r w:rsidRPr="00B07AB8">
        <w:rPr>
          <w:rFonts w:ascii="Arial Narrow" w:eastAsia="Calibri" w:hAnsi="Arial Narrow" w:cs="Arial"/>
          <w:sz w:val="24"/>
          <w:szCs w:val="24"/>
        </w:rPr>
        <w:t>17,4 %</w:t>
      </w:r>
      <w:r w:rsidRPr="00B07AB8">
        <w:rPr>
          <w:rFonts w:ascii="Arial Narrow" w:hAnsi="Arial Narrow"/>
          <w:sz w:val="24"/>
          <w:szCs w:val="24"/>
        </w:rPr>
        <w:t xml:space="preserve"> не удовлетворены); </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3. Теплоснабжение (</w:t>
      </w:r>
      <w:r w:rsidRPr="00B07AB8">
        <w:rPr>
          <w:rFonts w:ascii="Arial Narrow" w:eastAsia="Calibri" w:hAnsi="Arial Narrow" w:cs="Arial"/>
          <w:sz w:val="24"/>
          <w:szCs w:val="24"/>
        </w:rPr>
        <w:t>61,5 %</w:t>
      </w:r>
      <w:r w:rsidRPr="00B07AB8">
        <w:rPr>
          <w:rFonts w:ascii="Arial Narrow" w:hAnsi="Arial Narrow"/>
          <w:sz w:val="24"/>
          <w:szCs w:val="24"/>
        </w:rPr>
        <w:t xml:space="preserve"> удовлетворены, </w:t>
      </w:r>
      <w:r w:rsidRPr="00B07AB8">
        <w:rPr>
          <w:rFonts w:ascii="Arial Narrow" w:eastAsia="Calibri" w:hAnsi="Arial Narrow" w:cs="Arial"/>
          <w:sz w:val="24"/>
          <w:szCs w:val="24"/>
        </w:rPr>
        <w:t>16,1 %</w:t>
      </w:r>
      <w:r w:rsidRPr="00B07AB8">
        <w:rPr>
          <w:rFonts w:ascii="Arial Narrow" w:hAnsi="Arial Narrow"/>
          <w:sz w:val="24"/>
          <w:szCs w:val="24"/>
        </w:rPr>
        <w:t xml:space="preserve"> не удовлетворены); </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4. Газоснабжение (</w:t>
      </w:r>
      <w:r w:rsidRPr="00B07AB8">
        <w:rPr>
          <w:rFonts w:ascii="Arial Narrow" w:eastAsia="Calibri" w:hAnsi="Arial Narrow" w:cs="Arial"/>
          <w:sz w:val="24"/>
          <w:szCs w:val="24"/>
        </w:rPr>
        <w:t>52,4 %</w:t>
      </w:r>
      <w:r w:rsidRPr="00B07AB8">
        <w:rPr>
          <w:rFonts w:ascii="Arial Narrow" w:hAnsi="Arial Narrow"/>
          <w:sz w:val="24"/>
          <w:szCs w:val="24"/>
        </w:rPr>
        <w:t xml:space="preserve"> удовлетворены, </w:t>
      </w:r>
      <w:r w:rsidRPr="00B07AB8">
        <w:rPr>
          <w:rFonts w:ascii="Arial Narrow" w:eastAsia="Calibri" w:hAnsi="Arial Narrow" w:cs="Arial"/>
          <w:sz w:val="24"/>
          <w:szCs w:val="24"/>
        </w:rPr>
        <w:t>12,8 %</w:t>
      </w:r>
      <w:r w:rsidRPr="00B07AB8">
        <w:rPr>
          <w:rFonts w:ascii="Arial Narrow" w:hAnsi="Arial Narrow"/>
          <w:sz w:val="24"/>
          <w:szCs w:val="24"/>
        </w:rPr>
        <w:t xml:space="preserve"> не удовлетворены). </w:t>
      </w:r>
    </w:p>
    <w:p w:rsid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Субъекты предпринимательства удовлетворены электроснабжением, теплоснабжением и водоснабжением в примерно равной степени. Немного отстает удовлетворенность качеством газоснабжения, за счет высокой доли затруднившихся дать ответ (34,8 %).</w:t>
      </w:r>
    </w:p>
    <w:p w:rsidR="00B07AB8" w:rsidRPr="00B07AB8" w:rsidRDefault="00B07AB8" w:rsidP="00B07AB8">
      <w:pPr>
        <w:spacing w:after="0" w:line="360" w:lineRule="auto"/>
        <w:ind w:firstLine="284"/>
        <w:jc w:val="both"/>
        <w:rPr>
          <w:rFonts w:ascii="Arial Narrow" w:hAnsi="Arial Narrow"/>
          <w:sz w:val="24"/>
          <w:szCs w:val="24"/>
        </w:rPr>
      </w:pPr>
    </w:p>
    <w:p w:rsidR="00B07AB8" w:rsidRPr="00B07AB8" w:rsidRDefault="00B07AB8" w:rsidP="00B07AB8">
      <w:pPr>
        <w:jc w:val="center"/>
        <w:rPr>
          <w:rFonts w:ascii="Arial Narrow" w:hAnsi="Arial Narrow"/>
          <w:b/>
          <w:bCs/>
        </w:rPr>
      </w:pPr>
      <w:r w:rsidRPr="00B07AB8">
        <w:rPr>
          <w:rFonts w:ascii="Arial Narrow" w:hAnsi="Arial Narrow"/>
          <w:noProof/>
          <w:color w:val="986297"/>
          <w:lang w:eastAsia="ru-RU"/>
        </w:rPr>
        <w:drawing>
          <wp:inline distT="0" distB="0" distL="0" distR="0">
            <wp:extent cx="6029325" cy="2686050"/>
            <wp:effectExtent l="0" t="0" r="0" b="0"/>
            <wp:docPr id="559"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B07AB8" w:rsidRPr="00B07AB8" w:rsidRDefault="00B07AB8" w:rsidP="00B07AB8">
      <w:pPr>
        <w:jc w:val="center"/>
        <w:rPr>
          <w:rFonts w:ascii="Arial Narrow" w:hAnsi="Arial Narrow"/>
          <w:b/>
          <w:bCs/>
        </w:rPr>
      </w:pPr>
    </w:p>
    <w:p w:rsidR="00B07AB8" w:rsidRPr="00B07AB8" w:rsidRDefault="00B07AB8" w:rsidP="00B07AB8">
      <w:pPr>
        <w:jc w:val="center"/>
        <w:rPr>
          <w:rFonts w:ascii="Arial Narrow" w:hAnsi="Arial Narrow"/>
          <w:b/>
          <w:bCs/>
        </w:rPr>
      </w:pPr>
      <w:r w:rsidRPr="00B07AB8">
        <w:rPr>
          <w:rFonts w:ascii="Arial Narrow" w:hAnsi="Arial Narrow"/>
          <w:bCs/>
        </w:rPr>
        <w:t>Диаграмма 5.5.14</w:t>
      </w:r>
      <w:r w:rsidRPr="00B07AB8">
        <w:rPr>
          <w:rFonts w:ascii="Arial Narrow" w:hAnsi="Arial Narrow"/>
          <w:b/>
          <w:bCs/>
        </w:rPr>
        <w:t xml:space="preserve"> – Удовлетворенность субъектов предпринимательской деятельности качеством услуг субъектов естественных монополий, в % от числа опрошенных</w:t>
      </w:r>
    </w:p>
    <w:p w:rsidR="00B07AB8" w:rsidRPr="00B07AB8" w:rsidRDefault="00B07AB8" w:rsidP="00B07AB8">
      <w:pPr>
        <w:jc w:val="center"/>
        <w:rPr>
          <w:rFonts w:ascii="Arial Narrow" w:hAnsi="Arial Narrow"/>
        </w:rPr>
      </w:pPr>
    </w:p>
    <w:p w:rsidR="00B07AB8" w:rsidRPr="00B07AB8" w:rsidRDefault="00B07AB8" w:rsidP="00B07AB8">
      <w:pPr>
        <w:rPr>
          <w:rFonts w:ascii="Arial Narrow" w:hAnsi="Arial Narrow"/>
          <w:sz w:val="24"/>
          <w:szCs w:val="24"/>
        </w:rPr>
      </w:pPr>
      <w:r w:rsidRPr="00B07AB8">
        <w:rPr>
          <w:rFonts w:ascii="Arial Narrow" w:hAnsi="Arial Narrow"/>
          <w:sz w:val="24"/>
          <w:szCs w:val="24"/>
        </w:rPr>
        <w:br w:type="page"/>
      </w:r>
    </w:p>
    <w:p w:rsidR="00B07AB8" w:rsidRPr="00B07AB8" w:rsidRDefault="00B07AB8" w:rsidP="00B07AB8">
      <w:pPr>
        <w:rPr>
          <w:rFonts w:ascii="Arial Narrow" w:hAnsi="Arial Narrow"/>
          <w:b/>
          <w:sz w:val="24"/>
          <w:szCs w:val="24"/>
        </w:rPr>
      </w:pPr>
      <w:r w:rsidRPr="00B07AB8">
        <w:rPr>
          <w:rFonts w:ascii="Arial Narrow" w:hAnsi="Arial Narrow"/>
          <w:sz w:val="24"/>
          <w:szCs w:val="24"/>
        </w:rPr>
        <w:lastRenderedPageBreak/>
        <w:t xml:space="preserve">Таблица </w:t>
      </w:r>
      <w:r w:rsidR="00614BC7">
        <w:rPr>
          <w:rFonts w:ascii="Arial Narrow" w:hAnsi="Arial Narrow"/>
          <w:sz w:val="24"/>
          <w:szCs w:val="24"/>
        </w:rPr>
        <w:t>5</w:t>
      </w:r>
      <w:r w:rsidR="00A43AC6">
        <w:rPr>
          <w:rFonts w:ascii="Arial Narrow" w:hAnsi="Arial Narrow"/>
          <w:sz w:val="24"/>
          <w:szCs w:val="24"/>
        </w:rPr>
        <w:t>.</w:t>
      </w:r>
      <w:r w:rsidRPr="00B07AB8">
        <w:rPr>
          <w:rFonts w:ascii="Arial Narrow" w:hAnsi="Arial Narrow"/>
          <w:sz w:val="24"/>
          <w:szCs w:val="24"/>
        </w:rPr>
        <w:t xml:space="preserve">3. – </w:t>
      </w:r>
      <w:r w:rsidRPr="00B07AB8">
        <w:rPr>
          <w:rFonts w:ascii="Arial Narrow" w:hAnsi="Arial Narrow"/>
          <w:b/>
          <w:sz w:val="24"/>
          <w:szCs w:val="24"/>
        </w:rPr>
        <w:t>Удовлетворенность субъектов предпринимательской деятельности</w:t>
      </w:r>
      <w:r w:rsidRPr="00B07AB8">
        <w:rPr>
          <w:rFonts w:ascii="Arial Narrow" w:hAnsi="Arial Narrow"/>
          <w:b/>
          <w:bCs/>
          <w:color w:val="595959"/>
          <w:sz w:val="24"/>
          <w:szCs w:val="24"/>
        </w:rPr>
        <w:t xml:space="preserve"> </w:t>
      </w:r>
      <w:r w:rsidRPr="00B07AB8">
        <w:rPr>
          <w:rFonts w:ascii="Arial Narrow" w:hAnsi="Arial Narrow"/>
          <w:b/>
          <w:sz w:val="24"/>
          <w:szCs w:val="24"/>
        </w:rPr>
        <w:t>качеством услуг, предоставляемых субъектами естественных монополий (% от числа опрошенных)</w:t>
      </w:r>
    </w:p>
    <w:tbl>
      <w:tblPr>
        <w:tblW w:w="5700"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2459"/>
        <w:gridCol w:w="2227"/>
        <w:gridCol w:w="1014"/>
      </w:tblGrid>
      <w:tr w:rsidR="00B07AB8" w:rsidRPr="00B07AB8" w:rsidTr="003425A3">
        <w:trPr>
          <w:cantSplit/>
        </w:trPr>
        <w:tc>
          <w:tcPr>
            <w:tcW w:w="2459" w:type="dxa"/>
            <w:vMerge w:val="restart"/>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r w:rsidRPr="00B07AB8">
              <w:rPr>
                <w:rFonts w:ascii="Arial Narrow" w:hAnsi="Arial Narrow" w:cs="Arial"/>
                <w:sz w:val="20"/>
                <w:szCs w:val="20"/>
              </w:rPr>
              <w:t>Водоснабжение, водоотведение</w:t>
            </w:r>
          </w:p>
        </w:tc>
        <w:tc>
          <w:tcPr>
            <w:tcW w:w="2227" w:type="dxa"/>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r w:rsidRPr="00B07AB8">
              <w:rPr>
                <w:rFonts w:ascii="Arial Narrow" w:hAnsi="Arial Narrow" w:cs="Arial"/>
                <w:sz w:val="20"/>
                <w:szCs w:val="20"/>
              </w:rPr>
              <w:t>Удовлетворительно</w:t>
            </w:r>
          </w:p>
        </w:tc>
        <w:tc>
          <w:tcPr>
            <w:tcW w:w="1014" w:type="dxa"/>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r w:rsidRPr="00B07AB8">
              <w:rPr>
                <w:rFonts w:ascii="Arial Narrow" w:eastAsia="Calibri" w:hAnsi="Arial Narrow" w:cs="Arial"/>
                <w:sz w:val="20"/>
                <w:szCs w:val="20"/>
              </w:rPr>
              <w:t>62,6%</w:t>
            </w:r>
          </w:p>
        </w:tc>
      </w:tr>
      <w:tr w:rsidR="00B07AB8" w:rsidRPr="00B07AB8" w:rsidTr="003425A3">
        <w:trPr>
          <w:cantSplit/>
        </w:trPr>
        <w:tc>
          <w:tcPr>
            <w:tcW w:w="2459" w:type="dxa"/>
            <w:vMerge/>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p>
        </w:tc>
        <w:tc>
          <w:tcPr>
            <w:tcW w:w="2227" w:type="dxa"/>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r w:rsidRPr="00B07AB8">
              <w:rPr>
                <w:rFonts w:ascii="Arial Narrow" w:hAnsi="Arial Narrow" w:cs="Arial"/>
                <w:sz w:val="20"/>
                <w:szCs w:val="20"/>
              </w:rPr>
              <w:t>Неудовлетворительно</w:t>
            </w:r>
          </w:p>
        </w:tc>
        <w:tc>
          <w:tcPr>
            <w:tcW w:w="1014" w:type="dxa"/>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r w:rsidRPr="00B07AB8">
              <w:rPr>
                <w:rFonts w:ascii="Arial Narrow" w:eastAsia="Calibri" w:hAnsi="Arial Narrow" w:cs="Arial"/>
                <w:sz w:val="20"/>
                <w:szCs w:val="20"/>
              </w:rPr>
              <w:t>17,4%</w:t>
            </w:r>
          </w:p>
        </w:tc>
      </w:tr>
      <w:tr w:rsidR="00B07AB8" w:rsidRPr="00B07AB8" w:rsidTr="003425A3">
        <w:trPr>
          <w:cantSplit/>
        </w:trPr>
        <w:tc>
          <w:tcPr>
            <w:tcW w:w="2459" w:type="dxa"/>
            <w:vMerge/>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p>
        </w:tc>
        <w:tc>
          <w:tcPr>
            <w:tcW w:w="2227" w:type="dxa"/>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r w:rsidRPr="00B07AB8">
              <w:rPr>
                <w:rFonts w:ascii="Arial Narrow" w:hAnsi="Arial Narrow" w:cs="Arial"/>
                <w:sz w:val="20"/>
                <w:szCs w:val="20"/>
              </w:rPr>
              <w:t>Затрудняюсь ответить</w:t>
            </w:r>
          </w:p>
        </w:tc>
        <w:tc>
          <w:tcPr>
            <w:tcW w:w="1014" w:type="dxa"/>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r w:rsidRPr="00B07AB8">
              <w:rPr>
                <w:rFonts w:ascii="Arial Narrow" w:eastAsia="Calibri" w:hAnsi="Arial Narrow" w:cs="Arial"/>
                <w:sz w:val="20"/>
                <w:szCs w:val="20"/>
              </w:rPr>
              <w:t>20,0%</w:t>
            </w:r>
          </w:p>
        </w:tc>
      </w:tr>
      <w:tr w:rsidR="00B07AB8" w:rsidRPr="00B07AB8" w:rsidTr="003425A3">
        <w:trPr>
          <w:cantSplit/>
        </w:trPr>
        <w:tc>
          <w:tcPr>
            <w:tcW w:w="2459" w:type="dxa"/>
            <w:vMerge w:val="restart"/>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r w:rsidRPr="00B07AB8">
              <w:rPr>
                <w:rFonts w:ascii="Arial Narrow" w:hAnsi="Arial Narrow" w:cs="Arial"/>
                <w:sz w:val="20"/>
                <w:szCs w:val="20"/>
              </w:rPr>
              <w:t>Газоснабжение</w:t>
            </w:r>
          </w:p>
        </w:tc>
        <w:tc>
          <w:tcPr>
            <w:tcW w:w="2227" w:type="dxa"/>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r w:rsidRPr="00B07AB8">
              <w:rPr>
                <w:rFonts w:ascii="Arial Narrow" w:hAnsi="Arial Narrow" w:cs="Arial"/>
                <w:sz w:val="20"/>
                <w:szCs w:val="20"/>
              </w:rPr>
              <w:t>Удовлетворительно</w:t>
            </w:r>
          </w:p>
        </w:tc>
        <w:tc>
          <w:tcPr>
            <w:tcW w:w="1014" w:type="dxa"/>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r w:rsidRPr="00B07AB8">
              <w:rPr>
                <w:rFonts w:ascii="Arial Narrow" w:eastAsia="Calibri" w:hAnsi="Arial Narrow" w:cs="Arial"/>
                <w:sz w:val="20"/>
                <w:szCs w:val="20"/>
              </w:rPr>
              <w:t>52,4%</w:t>
            </w:r>
          </w:p>
        </w:tc>
      </w:tr>
      <w:tr w:rsidR="00B07AB8" w:rsidRPr="00B07AB8" w:rsidTr="003425A3">
        <w:trPr>
          <w:cantSplit/>
        </w:trPr>
        <w:tc>
          <w:tcPr>
            <w:tcW w:w="2459" w:type="dxa"/>
            <w:vMerge/>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p>
        </w:tc>
        <w:tc>
          <w:tcPr>
            <w:tcW w:w="2227" w:type="dxa"/>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r w:rsidRPr="00B07AB8">
              <w:rPr>
                <w:rFonts w:ascii="Arial Narrow" w:hAnsi="Arial Narrow" w:cs="Arial"/>
                <w:sz w:val="20"/>
                <w:szCs w:val="20"/>
              </w:rPr>
              <w:t>Неудовлетворительно</w:t>
            </w:r>
          </w:p>
        </w:tc>
        <w:tc>
          <w:tcPr>
            <w:tcW w:w="1014" w:type="dxa"/>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r w:rsidRPr="00B07AB8">
              <w:rPr>
                <w:rFonts w:ascii="Arial Narrow" w:eastAsia="Calibri" w:hAnsi="Arial Narrow" w:cs="Arial"/>
                <w:sz w:val="20"/>
                <w:szCs w:val="20"/>
              </w:rPr>
              <w:t>12,8%</w:t>
            </w:r>
          </w:p>
        </w:tc>
      </w:tr>
      <w:tr w:rsidR="00B07AB8" w:rsidRPr="00B07AB8" w:rsidTr="003425A3">
        <w:trPr>
          <w:cantSplit/>
        </w:trPr>
        <w:tc>
          <w:tcPr>
            <w:tcW w:w="2459" w:type="dxa"/>
            <w:vMerge/>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p>
        </w:tc>
        <w:tc>
          <w:tcPr>
            <w:tcW w:w="2227" w:type="dxa"/>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r w:rsidRPr="00B07AB8">
              <w:rPr>
                <w:rFonts w:ascii="Arial Narrow" w:hAnsi="Arial Narrow" w:cs="Arial"/>
                <w:sz w:val="20"/>
                <w:szCs w:val="20"/>
              </w:rPr>
              <w:t>Затрудняюсь ответить</w:t>
            </w:r>
          </w:p>
        </w:tc>
        <w:tc>
          <w:tcPr>
            <w:tcW w:w="1014" w:type="dxa"/>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r w:rsidRPr="00B07AB8">
              <w:rPr>
                <w:rFonts w:ascii="Arial Narrow" w:eastAsia="Calibri" w:hAnsi="Arial Narrow" w:cs="Arial"/>
                <w:sz w:val="20"/>
                <w:szCs w:val="20"/>
              </w:rPr>
              <w:t>34,8%</w:t>
            </w:r>
          </w:p>
        </w:tc>
      </w:tr>
      <w:tr w:rsidR="00B07AB8" w:rsidRPr="00B07AB8" w:rsidTr="003425A3">
        <w:trPr>
          <w:cantSplit/>
        </w:trPr>
        <w:tc>
          <w:tcPr>
            <w:tcW w:w="2459" w:type="dxa"/>
            <w:vMerge w:val="restart"/>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r w:rsidRPr="00B07AB8">
              <w:rPr>
                <w:rFonts w:ascii="Arial Narrow" w:hAnsi="Arial Narrow" w:cs="Arial"/>
                <w:sz w:val="20"/>
                <w:szCs w:val="20"/>
              </w:rPr>
              <w:t>Электроснабжение</w:t>
            </w:r>
          </w:p>
        </w:tc>
        <w:tc>
          <w:tcPr>
            <w:tcW w:w="2227" w:type="dxa"/>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r w:rsidRPr="00B07AB8">
              <w:rPr>
                <w:rFonts w:ascii="Arial Narrow" w:hAnsi="Arial Narrow" w:cs="Arial"/>
                <w:sz w:val="20"/>
                <w:szCs w:val="20"/>
              </w:rPr>
              <w:t>Удовлетворительно</w:t>
            </w:r>
          </w:p>
        </w:tc>
        <w:tc>
          <w:tcPr>
            <w:tcW w:w="1014" w:type="dxa"/>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r w:rsidRPr="00B07AB8">
              <w:rPr>
                <w:rFonts w:ascii="Arial Narrow" w:eastAsia="Calibri" w:hAnsi="Arial Narrow" w:cs="Arial"/>
                <w:sz w:val="20"/>
                <w:szCs w:val="20"/>
              </w:rPr>
              <w:t>65,6%</w:t>
            </w:r>
          </w:p>
        </w:tc>
      </w:tr>
      <w:tr w:rsidR="00B07AB8" w:rsidRPr="00B07AB8" w:rsidTr="003425A3">
        <w:trPr>
          <w:cantSplit/>
        </w:trPr>
        <w:tc>
          <w:tcPr>
            <w:tcW w:w="2459" w:type="dxa"/>
            <w:vMerge/>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p>
        </w:tc>
        <w:tc>
          <w:tcPr>
            <w:tcW w:w="2227" w:type="dxa"/>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r w:rsidRPr="00B07AB8">
              <w:rPr>
                <w:rFonts w:ascii="Arial Narrow" w:hAnsi="Arial Narrow" w:cs="Arial"/>
                <w:sz w:val="20"/>
                <w:szCs w:val="20"/>
              </w:rPr>
              <w:t>Неудовлетворительно</w:t>
            </w:r>
          </w:p>
        </w:tc>
        <w:tc>
          <w:tcPr>
            <w:tcW w:w="1014" w:type="dxa"/>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r w:rsidRPr="00B07AB8">
              <w:rPr>
                <w:rFonts w:ascii="Arial Narrow" w:eastAsia="Calibri" w:hAnsi="Arial Narrow" w:cs="Arial"/>
                <w:sz w:val="20"/>
                <w:szCs w:val="20"/>
              </w:rPr>
              <w:t>16,4%</w:t>
            </w:r>
          </w:p>
        </w:tc>
      </w:tr>
      <w:tr w:rsidR="00B07AB8" w:rsidRPr="00B07AB8" w:rsidTr="003425A3">
        <w:trPr>
          <w:cantSplit/>
        </w:trPr>
        <w:tc>
          <w:tcPr>
            <w:tcW w:w="2459" w:type="dxa"/>
            <w:vMerge/>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p>
        </w:tc>
        <w:tc>
          <w:tcPr>
            <w:tcW w:w="2227" w:type="dxa"/>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r w:rsidRPr="00B07AB8">
              <w:rPr>
                <w:rFonts w:ascii="Arial Narrow" w:hAnsi="Arial Narrow" w:cs="Arial"/>
                <w:sz w:val="20"/>
                <w:szCs w:val="20"/>
              </w:rPr>
              <w:t>Затрудняюсь ответить</w:t>
            </w:r>
          </w:p>
        </w:tc>
        <w:tc>
          <w:tcPr>
            <w:tcW w:w="1014" w:type="dxa"/>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r w:rsidRPr="00B07AB8">
              <w:rPr>
                <w:rFonts w:ascii="Arial Narrow" w:eastAsia="Calibri" w:hAnsi="Arial Narrow" w:cs="Arial"/>
                <w:sz w:val="20"/>
                <w:szCs w:val="20"/>
              </w:rPr>
              <w:t>18,0%</w:t>
            </w:r>
          </w:p>
        </w:tc>
      </w:tr>
      <w:tr w:rsidR="00B07AB8" w:rsidRPr="00B07AB8" w:rsidTr="003425A3">
        <w:trPr>
          <w:cantSplit/>
        </w:trPr>
        <w:tc>
          <w:tcPr>
            <w:tcW w:w="2459" w:type="dxa"/>
            <w:vMerge w:val="restart"/>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r w:rsidRPr="00B07AB8">
              <w:rPr>
                <w:rFonts w:ascii="Arial Narrow" w:hAnsi="Arial Narrow" w:cs="Arial"/>
                <w:sz w:val="20"/>
                <w:szCs w:val="20"/>
              </w:rPr>
              <w:t>Теплоснабжение</w:t>
            </w:r>
          </w:p>
        </w:tc>
        <w:tc>
          <w:tcPr>
            <w:tcW w:w="2227" w:type="dxa"/>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r w:rsidRPr="00B07AB8">
              <w:rPr>
                <w:rFonts w:ascii="Arial Narrow" w:hAnsi="Arial Narrow" w:cs="Arial"/>
                <w:sz w:val="20"/>
                <w:szCs w:val="20"/>
              </w:rPr>
              <w:t>Удовлетворительно</w:t>
            </w:r>
          </w:p>
        </w:tc>
        <w:tc>
          <w:tcPr>
            <w:tcW w:w="1014" w:type="dxa"/>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r w:rsidRPr="00B07AB8">
              <w:rPr>
                <w:rFonts w:ascii="Arial Narrow" w:eastAsia="Calibri" w:hAnsi="Arial Narrow" w:cs="Arial"/>
                <w:sz w:val="20"/>
                <w:szCs w:val="20"/>
              </w:rPr>
              <w:t>61,5%</w:t>
            </w:r>
          </w:p>
        </w:tc>
      </w:tr>
      <w:tr w:rsidR="00B07AB8" w:rsidRPr="00B07AB8" w:rsidTr="003425A3">
        <w:trPr>
          <w:cantSplit/>
        </w:trPr>
        <w:tc>
          <w:tcPr>
            <w:tcW w:w="2459" w:type="dxa"/>
            <w:vMerge/>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p>
        </w:tc>
        <w:tc>
          <w:tcPr>
            <w:tcW w:w="2227" w:type="dxa"/>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r w:rsidRPr="00B07AB8">
              <w:rPr>
                <w:rFonts w:ascii="Arial Narrow" w:hAnsi="Arial Narrow" w:cs="Arial"/>
                <w:sz w:val="20"/>
                <w:szCs w:val="20"/>
              </w:rPr>
              <w:t>Неудовлетворительно</w:t>
            </w:r>
          </w:p>
        </w:tc>
        <w:tc>
          <w:tcPr>
            <w:tcW w:w="1014" w:type="dxa"/>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r w:rsidRPr="00B07AB8">
              <w:rPr>
                <w:rFonts w:ascii="Arial Narrow" w:eastAsia="Calibri" w:hAnsi="Arial Narrow" w:cs="Arial"/>
                <w:sz w:val="20"/>
                <w:szCs w:val="20"/>
              </w:rPr>
              <w:t>16,1%</w:t>
            </w:r>
          </w:p>
        </w:tc>
      </w:tr>
      <w:tr w:rsidR="00B07AB8" w:rsidRPr="00B07AB8" w:rsidTr="003425A3">
        <w:trPr>
          <w:cantSplit/>
        </w:trPr>
        <w:tc>
          <w:tcPr>
            <w:tcW w:w="2459" w:type="dxa"/>
            <w:vMerge/>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p>
        </w:tc>
        <w:tc>
          <w:tcPr>
            <w:tcW w:w="2227" w:type="dxa"/>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r w:rsidRPr="00B07AB8">
              <w:rPr>
                <w:rFonts w:ascii="Arial Narrow" w:hAnsi="Arial Narrow" w:cs="Arial"/>
                <w:sz w:val="20"/>
                <w:szCs w:val="20"/>
              </w:rPr>
              <w:t>Затрудняюсь ответить</w:t>
            </w:r>
          </w:p>
        </w:tc>
        <w:tc>
          <w:tcPr>
            <w:tcW w:w="1014" w:type="dxa"/>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r w:rsidRPr="00B07AB8">
              <w:rPr>
                <w:rFonts w:ascii="Arial Narrow" w:eastAsia="Calibri" w:hAnsi="Arial Narrow" w:cs="Arial"/>
                <w:sz w:val="20"/>
                <w:szCs w:val="20"/>
              </w:rPr>
              <w:t>22,4%</w:t>
            </w:r>
          </w:p>
        </w:tc>
      </w:tr>
    </w:tbl>
    <w:p w:rsidR="00DD748B" w:rsidRDefault="00DD748B" w:rsidP="00B07AB8">
      <w:pPr>
        <w:jc w:val="both"/>
        <w:rPr>
          <w:rFonts w:ascii="Arial Narrow" w:hAnsi="Arial Narrow"/>
          <w:b/>
          <w:bCs/>
          <w:sz w:val="26"/>
          <w:szCs w:val="26"/>
        </w:rPr>
      </w:pPr>
    </w:p>
    <w:p w:rsidR="00B07AB8" w:rsidRPr="00B07AB8" w:rsidRDefault="00B07AB8" w:rsidP="00A43AC6">
      <w:pPr>
        <w:jc w:val="both"/>
        <w:rPr>
          <w:rFonts w:ascii="Arial Narrow" w:hAnsi="Arial Narrow"/>
          <w:b/>
          <w:bCs/>
          <w:sz w:val="26"/>
          <w:szCs w:val="26"/>
        </w:rPr>
      </w:pPr>
      <w:r w:rsidRPr="00B07AB8">
        <w:rPr>
          <w:rFonts w:ascii="Arial Narrow" w:hAnsi="Arial Narrow"/>
          <w:b/>
          <w:bCs/>
          <w:sz w:val="26"/>
          <w:szCs w:val="26"/>
        </w:rPr>
        <w:t>5.5.1.2.1. Удовлетворенность качеством услуг электроснабжения в разрезе отраслевой принадлежности, величины и местонахождения субъектов предпринимательства</w:t>
      </w:r>
    </w:p>
    <w:p w:rsidR="00B07AB8" w:rsidRPr="00B07AB8" w:rsidRDefault="00B07AB8" w:rsidP="00B07AB8">
      <w:pPr>
        <w:ind w:firstLine="567"/>
        <w:jc w:val="center"/>
        <w:rPr>
          <w:rFonts w:ascii="Arial Narrow" w:hAnsi="Arial Narrow"/>
        </w:rPr>
      </w:pP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Самые высокие доли субъектов предпринимательства, удовлетворенных качеством услуг электроснабжения (80 % и более), зафиксированы среди следующих групп респондентов:</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 представители рынка медицинских услуг (81,4 %),</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 представители рынка услуг детского отдыха и оздоровления (80,0 %),</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 субъекты предпринимательства, ведущие деятельность в Баганском (87,5 %), Тогучинском (87,5 %), Купинском (86,7 %), Черепановском (86,1 %), Болотнинском (84,6 %), Усть-Таркском (83,3 %) районах, г. Искитиме (83,0 %), Карасукском (82,4%) районе.</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Средние и малые предприятия удовлетворены данным параметром примерно в одинаковой степени (72,7 % и 65,5 % соответственно).</w:t>
      </w:r>
    </w:p>
    <w:p w:rsidR="00B07AB8" w:rsidRPr="00B07AB8" w:rsidRDefault="00B07AB8" w:rsidP="00B07AB8">
      <w:pPr>
        <w:spacing w:after="0" w:line="360" w:lineRule="auto"/>
        <w:ind w:firstLine="284"/>
        <w:jc w:val="both"/>
        <w:rPr>
          <w:rFonts w:ascii="Arial Narrow" w:hAnsi="Arial Narrow"/>
        </w:rPr>
      </w:pPr>
      <w:r w:rsidRPr="00B07AB8">
        <w:rPr>
          <w:rFonts w:ascii="Arial Narrow" w:hAnsi="Arial Narrow"/>
          <w:sz w:val="24"/>
          <w:szCs w:val="24"/>
        </w:rPr>
        <w:t>Меньше всего удовлетворены качеством услуг электроснабжения представители рынка услуг перевозок пассажиров наземным транспортом (45,0 %), организации, ведущие деятельность в Новосибирском (0,0 %), Венгеровском (28,6 %), Кыштовском (33,3 %) районах.</w:t>
      </w:r>
    </w:p>
    <w:p w:rsidR="00B07AB8" w:rsidRPr="00B07AB8" w:rsidRDefault="00B07AB8" w:rsidP="00B07AB8">
      <w:pPr>
        <w:jc w:val="center"/>
        <w:rPr>
          <w:rFonts w:ascii="Arial Narrow" w:hAnsi="Arial Narrow"/>
          <w:b/>
          <w:bCs/>
        </w:rPr>
      </w:pPr>
      <w:r w:rsidRPr="00B07AB8">
        <w:rPr>
          <w:rFonts w:ascii="Arial Narrow" w:hAnsi="Arial Narrow"/>
          <w:noProof/>
          <w:lang w:eastAsia="ru-RU"/>
        </w:rPr>
        <w:lastRenderedPageBreak/>
        <w:drawing>
          <wp:inline distT="0" distB="0" distL="0" distR="0">
            <wp:extent cx="6042991" cy="5955527"/>
            <wp:effectExtent l="0" t="0" r="0" b="0"/>
            <wp:docPr id="560"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B07AB8" w:rsidRPr="00B07AB8" w:rsidRDefault="00B07AB8" w:rsidP="00B07AB8">
      <w:pPr>
        <w:jc w:val="center"/>
        <w:rPr>
          <w:rFonts w:ascii="Arial Narrow" w:hAnsi="Arial Narrow"/>
          <w:b/>
          <w:bCs/>
        </w:rPr>
      </w:pPr>
      <w:r w:rsidRPr="00B07AB8">
        <w:rPr>
          <w:rFonts w:ascii="Arial Narrow" w:hAnsi="Arial Narrow"/>
          <w:bCs/>
        </w:rPr>
        <w:t>Диаграмма 5.5.15</w:t>
      </w:r>
      <w:r w:rsidRPr="00B07AB8">
        <w:rPr>
          <w:rFonts w:ascii="Arial Narrow" w:hAnsi="Arial Narrow"/>
          <w:b/>
          <w:bCs/>
        </w:rPr>
        <w:t xml:space="preserve"> – Удовлетворенность субъектов предпринимательской деятельности качеством услуг электроснабжения, в % от числа опрошенных по сферам деятельности</w:t>
      </w:r>
    </w:p>
    <w:p w:rsidR="00B07AB8" w:rsidRPr="00B07AB8" w:rsidRDefault="00B07AB8" w:rsidP="00B07AB8">
      <w:pPr>
        <w:ind w:firstLine="567"/>
        <w:jc w:val="center"/>
        <w:rPr>
          <w:rFonts w:ascii="Arial Narrow" w:hAnsi="Arial Narrow"/>
          <w:b/>
          <w:bCs/>
        </w:rPr>
      </w:pPr>
      <w:r w:rsidRPr="00B07AB8">
        <w:rPr>
          <w:rFonts w:ascii="Arial Narrow" w:hAnsi="Arial Narrow"/>
          <w:noProof/>
          <w:lang w:eastAsia="ru-RU"/>
        </w:rPr>
        <w:drawing>
          <wp:inline distT="0" distB="0" distL="0" distR="0">
            <wp:extent cx="5478449" cy="1510748"/>
            <wp:effectExtent l="0" t="0" r="0" b="0"/>
            <wp:docPr id="561"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B07AB8" w:rsidRPr="00B07AB8" w:rsidRDefault="00B07AB8" w:rsidP="00B07AB8">
      <w:pPr>
        <w:ind w:firstLine="567"/>
        <w:jc w:val="center"/>
        <w:rPr>
          <w:rFonts w:ascii="Arial Narrow" w:hAnsi="Arial Narrow"/>
          <w:b/>
          <w:bCs/>
          <w:sz w:val="20"/>
          <w:szCs w:val="20"/>
        </w:rPr>
      </w:pPr>
      <w:r w:rsidRPr="00B07AB8">
        <w:rPr>
          <w:rFonts w:ascii="Arial Narrow" w:hAnsi="Arial Narrow"/>
          <w:bCs/>
        </w:rPr>
        <w:t>Диаграмма 5.5.16</w:t>
      </w:r>
      <w:r w:rsidRPr="00B07AB8">
        <w:rPr>
          <w:rFonts w:ascii="Arial Narrow" w:hAnsi="Arial Narrow"/>
          <w:b/>
          <w:bCs/>
        </w:rPr>
        <w:t xml:space="preserve"> – Удовлетворенность субъектов предпринимательской деятельности качеством услуг электроснабжения, в % от числа опрошенных в группах по величине предприятий</w:t>
      </w:r>
    </w:p>
    <w:p w:rsidR="00B07AB8" w:rsidRPr="00B07AB8" w:rsidRDefault="00B07AB8" w:rsidP="00B07AB8">
      <w:pPr>
        <w:jc w:val="center"/>
        <w:rPr>
          <w:rFonts w:ascii="Arial Narrow" w:hAnsi="Arial Narrow"/>
          <w:b/>
          <w:bCs/>
        </w:rPr>
      </w:pPr>
      <w:r w:rsidRPr="00B07AB8">
        <w:rPr>
          <w:rFonts w:ascii="Arial Narrow" w:hAnsi="Arial Narrow"/>
          <w:noProof/>
          <w:color w:val="986297"/>
          <w:lang w:eastAsia="ru-RU"/>
        </w:rPr>
        <w:lastRenderedPageBreak/>
        <w:drawing>
          <wp:inline distT="0" distB="0" distL="0" distR="0">
            <wp:extent cx="6122505" cy="8062622"/>
            <wp:effectExtent l="0" t="0" r="0" b="0"/>
            <wp:docPr id="562"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B07AB8" w:rsidRPr="00B07AB8" w:rsidRDefault="00B07AB8" w:rsidP="00B07AB8">
      <w:pPr>
        <w:jc w:val="center"/>
        <w:rPr>
          <w:rFonts w:ascii="Arial Narrow" w:hAnsi="Arial Narrow"/>
          <w:b/>
          <w:bCs/>
          <w:color w:val="595959"/>
          <w:sz w:val="20"/>
          <w:szCs w:val="20"/>
        </w:rPr>
      </w:pPr>
      <w:r w:rsidRPr="00B07AB8">
        <w:rPr>
          <w:rFonts w:ascii="Arial Narrow" w:hAnsi="Arial Narrow"/>
          <w:bCs/>
        </w:rPr>
        <w:t>Диаграмма 5.5.17</w:t>
      </w:r>
      <w:r w:rsidRPr="00B07AB8">
        <w:rPr>
          <w:rFonts w:ascii="Arial Narrow" w:hAnsi="Arial Narrow"/>
          <w:b/>
          <w:bCs/>
        </w:rPr>
        <w:t xml:space="preserve"> – Удовлетворенность субъектов предпринимательской деятельности качеством услуг электроснабжения, в % от числа опрошенных по территориям</w:t>
      </w:r>
      <w:r w:rsidRPr="00B07AB8">
        <w:rPr>
          <w:rFonts w:ascii="Arial Narrow" w:hAnsi="Arial Narrow"/>
          <w:b/>
          <w:bCs/>
          <w:color w:val="595959"/>
          <w:sz w:val="20"/>
          <w:szCs w:val="20"/>
        </w:rPr>
        <w:br w:type="page"/>
      </w:r>
    </w:p>
    <w:p w:rsidR="00B07AB8" w:rsidRPr="00B07AB8" w:rsidRDefault="00B07AB8" w:rsidP="00A43AC6">
      <w:pPr>
        <w:jc w:val="both"/>
        <w:outlineLvl w:val="2"/>
        <w:rPr>
          <w:rFonts w:ascii="Arial Narrow" w:hAnsi="Arial Narrow"/>
          <w:b/>
          <w:bCs/>
          <w:sz w:val="26"/>
          <w:szCs w:val="26"/>
        </w:rPr>
      </w:pPr>
      <w:bookmarkStart w:id="29" w:name="_Toc475532253"/>
      <w:r w:rsidRPr="00B07AB8">
        <w:rPr>
          <w:rFonts w:ascii="Arial Narrow" w:hAnsi="Arial Narrow"/>
          <w:b/>
          <w:bCs/>
          <w:sz w:val="26"/>
          <w:szCs w:val="26"/>
        </w:rPr>
        <w:lastRenderedPageBreak/>
        <w:t>5.5.1.2.2. Удовлетворенность качеством услуг водоснабжения/водоотведения в разрезе отраслевой принадлежности, величины и местонахождения субъектов предпринимательства</w:t>
      </w:r>
      <w:bookmarkEnd w:id="29"/>
    </w:p>
    <w:p w:rsidR="00B07AB8" w:rsidRPr="00B07AB8" w:rsidRDefault="00B07AB8" w:rsidP="00B07AB8">
      <w:pPr>
        <w:ind w:firstLine="567"/>
        <w:jc w:val="center"/>
        <w:rPr>
          <w:rFonts w:ascii="Arial Narrow" w:hAnsi="Arial Narrow"/>
        </w:rPr>
      </w:pP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Самые высокие доли субъектов предпринимательства, удовлетворенных качеством услуг водоснабжения/водоотведения (80 % и более), зафиксированы среди следующих групп респондентов:</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 представители рынка медицинских услуг (80,0 %),</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 xml:space="preserve">- субъекты предпринимательства, ведущие деятельность в Болотнинском (92,3 %), Баганском (87,5 %), Усть-Таркском (83,3 %), Карасукском (82,4 %), Чистоозерном (81,8 %) районах. </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Малые предприятия удовлетворены данным параметром в большей степени, чем средние предприятия (62,7 % и 45,5 % соответственно).</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Меньше всего удовлетворены качеством услуг водоснабжения/водоотведения представители рынка услуг перевозок пассажиров наземным транспортом (33,3 %), рынка услуг по сбору, сортировке и переработке твердых коммунальных (бытовых) отходов (40,0 %), организации, ведущие деятельность в Новосибирском (0,0 %), Доволенском (14,3 %), Северном (33,5 %), Кыштовском (33,3 %), Каргатском (33,3 %), Колыванском (34,8 %), Чановском (39,4%) районах.</w:t>
      </w:r>
    </w:p>
    <w:p w:rsidR="00B07AB8" w:rsidRPr="00B07AB8" w:rsidRDefault="00B07AB8" w:rsidP="00B07AB8">
      <w:pPr>
        <w:spacing w:line="360" w:lineRule="auto"/>
        <w:ind w:firstLine="567"/>
        <w:jc w:val="both"/>
        <w:rPr>
          <w:rFonts w:ascii="Arial Narrow" w:hAnsi="Arial Narrow"/>
          <w:sz w:val="24"/>
          <w:szCs w:val="24"/>
        </w:rPr>
      </w:pPr>
    </w:p>
    <w:p w:rsidR="00B07AB8" w:rsidRPr="00B07AB8" w:rsidRDefault="00B07AB8" w:rsidP="00B07AB8">
      <w:pPr>
        <w:jc w:val="center"/>
        <w:rPr>
          <w:rFonts w:ascii="Arial Narrow" w:hAnsi="Arial Narrow"/>
          <w:b/>
          <w:bCs/>
        </w:rPr>
      </w:pPr>
      <w:r w:rsidRPr="00B07AB8">
        <w:rPr>
          <w:rFonts w:ascii="Arial Narrow" w:hAnsi="Arial Narrow"/>
          <w:noProof/>
          <w:lang w:eastAsia="ru-RU"/>
        </w:rPr>
        <w:lastRenderedPageBreak/>
        <w:drawing>
          <wp:inline distT="0" distB="0" distL="0" distR="0">
            <wp:extent cx="5899150" cy="5791200"/>
            <wp:effectExtent l="19050" t="0" r="0" b="0"/>
            <wp:docPr id="563"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B07AB8" w:rsidRPr="00B07AB8" w:rsidRDefault="00B07AB8" w:rsidP="00B07AB8">
      <w:pPr>
        <w:jc w:val="center"/>
        <w:rPr>
          <w:rFonts w:ascii="Arial Narrow" w:hAnsi="Arial Narrow"/>
          <w:b/>
          <w:bCs/>
        </w:rPr>
      </w:pPr>
      <w:r w:rsidRPr="00B07AB8">
        <w:rPr>
          <w:rFonts w:ascii="Arial Narrow" w:hAnsi="Arial Narrow"/>
          <w:bCs/>
        </w:rPr>
        <w:t>Диаграмма 5.5.18</w:t>
      </w:r>
      <w:r w:rsidRPr="00B07AB8">
        <w:rPr>
          <w:rFonts w:ascii="Arial Narrow" w:hAnsi="Arial Narrow"/>
          <w:b/>
          <w:bCs/>
        </w:rPr>
        <w:t xml:space="preserve"> – Удовлетворенность субъектов предпринимательской деятельности качеством услуг водоснабжения, водоотведения, в % от числа опрошенных по сферам деятельности</w:t>
      </w:r>
    </w:p>
    <w:p w:rsidR="00B07AB8" w:rsidRPr="00B07AB8" w:rsidRDefault="00B07AB8" w:rsidP="00B07AB8">
      <w:pPr>
        <w:ind w:firstLine="567"/>
        <w:jc w:val="both"/>
        <w:rPr>
          <w:rFonts w:ascii="Arial Narrow" w:hAnsi="Arial Narrow"/>
        </w:rPr>
      </w:pPr>
    </w:p>
    <w:p w:rsidR="00B07AB8" w:rsidRPr="00B07AB8" w:rsidRDefault="00B07AB8" w:rsidP="00B07AB8">
      <w:pPr>
        <w:ind w:firstLine="567"/>
        <w:jc w:val="center"/>
        <w:rPr>
          <w:rFonts w:ascii="Arial Narrow" w:hAnsi="Arial Narrow"/>
          <w:b/>
          <w:bCs/>
          <w:color w:val="595959"/>
        </w:rPr>
      </w:pPr>
      <w:r w:rsidRPr="00B07AB8">
        <w:rPr>
          <w:rFonts w:ascii="Arial Narrow" w:hAnsi="Arial Narrow"/>
          <w:noProof/>
          <w:lang w:eastAsia="ru-RU"/>
        </w:rPr>
        <w:drawing>
          <wp:inline distT="0" distB="0" distL="0" distR="0">
            <wp:extent cx="5534108" cy="1534602"/>
            <wp:effectExtent l="0" t="0" r="0" b="0"/>
            <wp:docPr id="564"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r w:rsidRPr="00B07AB8">
        <w:rPr>
          <w:rFonts w:ascii="Arial Narrow" w:hAnsi="Arial Narrow"/>
          <w:bCs/>
        </w:rPr>
        <w:t>Диаграмма 5.5.19</w:t>
      </w:r>
      <w:r w:rsidRPr="00B07AB8">
        <w:rPr>
          <w:rFonts w:ascii="Arial Narrow" w:hAnsi="Arial Narrow"/>
          <w:b/>
          <w:bCs/>
        </w:rPr>
        <w:t xml:space="preserve"> – Удовлетворенность субъектов предпринимательской деятельности качеством услуг водоснабжения, водоотведения, в % от числа опрошенных в группах по величине предприятий</w:t>
      </w:r>
    </w:p>
    <w:p w:rsidR="00B07AB8" w:rsidRPr="00B07AB8" w:rsidRDefault="00B07AB8" w:rsidP="00B07AB8">
      <w:pPr>
        <w:jc w:val="center"/>
        <w:rPr>
          <w:rFonts w:ascii="Arial Narrow" w:hAnsi="Arial Narrow"/>
          <w:b/>
          <w:bCs/>
        </w:rPr>
      </w:pPr>
      <w:r w:rsidRPr="00B07AB8">
        <w:rPr>
          <w:rFonts w:ascii="Arial Narrow" w:hAnsi="Arial Narrow"/>
          <w:noProof/>
          <w:color w:val="986297"/>
          <w:lang w:eastAsia="ru-RU"/>
        </w:rPr>
        <w:lastRenderedPageBreak/>
        <w:drawing>
          <wp:inline distT="0" distB="0" distL="0" distR="0">
            <wp:extent cx="6074796" cy="8086476"/>
            <wp:effectExtent l="0" t="0" r="0" b="0"/>
            <wp:docPr id="565" name="Диаграмма 2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B07AB8" w:rsidRPr="00B07AB8" w:rsidRDefault="00B07AB8" w:rsidP="00B07AB8">
      <w:pPr>
        <w:jc w:val="center"/>
        <w:rPr>
          <w:rFonts w:ascii="Arial Narrow" w:hAnsi="Arial Narrow"/>
          <w:b/>
          <w:bCs/>
        </w:rPr>
      </w:pPr>
      <w:r w:rsidRPr="00B07AB8">
        <w:rPr>
          <w:rFonts w:ascii="Arial Narrow" w:hAnsi="Arial Narrow"/>
          <w:b/>
          <w:bCs/>
        </w:rPr>
        <w:t>Диаграмма 5.5.20 – Удовлетворенность субъектов предпринимательской деятельности качеством услуг водоснабжения, водоотведения, в % от числа опрошенных по территориям</w:t>
      </w:r>
    </w:p>
    <w:p w:rsidR="00B07AB8" w:rsidRPr="00B07AB8" w:rsidRDefault="00B07AB8" w:rsidP="00A43AC6">
      <w:pPr>
        <w:jc w:val="both"/>
        <w:outlineLvl w:val="2"/>
        <w:rPr>
          <w:rFonts w:ascii="Arial Narrow" w:hAnsi="Arial Narrow"/>
          <w:b/>
          <w:bCs/>
          <w:sz w:val="26"/>
          <w:szCs w:val="26"/>
        </w:rPr>
      </w:pPr>
      <w:bookmarkStart w:id="30" w:name="_Toc475532254"/>
      <w:r w:rsidRPr="00B07AB8">
        <w:rPr>
          <w:rFonts w:ascii="Arial Narrow" w:hAnsi="Arial Narrow"/>
          <w:b/>
          <w:bCs/>
          <w:sz w:val="26"/>
          <w:szCs w:val="26"/>
        </w:rPr>
        <w:lastRenderedPageBreak/>
        <w:t>5.5.1.2.3. Удовлетворенность качеством услуг теплоснабжения в разрезе отраслевой принадлежности, величины и местонахождения субъектов предпринимательства</w:t>
      </w:r>
      <w:bookmarkEnd w:id="30"/>
    </w:p>
    <w:p w:rsidR="00B07AB8" w:rsidRPr="00B07AB8" w:rsidRDefault="00B07AB8" w:rsidP="00B07AB8">
      <w:pPr>
        <w:spacing w:after="0" w:line="360" w:lineRule="auto"/>
        <w:ind w:firstLine="567"/>
        <w:jc w:val="center"/>
        <w:rPr>
          <w:rFonts w:ascii="Arial Narrow" w:hAnsi="Arial Narrow"/>
        </w:rPr>
      </w:pP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Самые высокие доли субъектов предпринимательства, удовлетворенных качеством услуг теплоснабжения (75 % и более), зафиксированы среди следующих групп респондентов:</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 представители рынка медицинских услуг (77,1 %),</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 представители рынка услуг психолого-педагогического сопровождения детей с ограниченными возможностями здоровья (76,0 %),</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 субъекты предпринимательства, ведущие деятельность в Болотнинском (92,3 %), Карасукском (88,2 %), Чистоозерном (81,8 %), Тогучинском (75,0 %) районах.</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Малые предприятия более удовлетворены данным параметром, чем средние предприятия (61,7 % и 36,4 % соответственно).</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Меньше всего удовлетворены качеством услуг теплоснабжения представители рынка услуг по сбору, сортировке и переработке твердых коммунальных (бытовых) отходов (40,0 %), рынка услуг перевозок пассажиров наземным транспортом (50,0 %), рынка развития, производства, переработки и хранения сельскохозяйственной продукции (50,0 %), организации, ведущие деятельность в Новосибирском (9,1 %), Венгеровском (28,6 %), Кыштовском (33,3 %), Купинском (33,3 %), Каргатском (33,3 %), Краснозерском (37,5 %), Баганском (37,5 %), Коченевском (38,5 %) районах.</w:t>
      </w:r>
    </w:p>
    <w:p w:rsidR="00B07AB8" w:rsidRPr="00B07AB8" w:rsidRDefault="00B07AB8" w:rsidP="00B07AB8">
      <w:pPr>
        <w:spacing w:line="360" w:lineRule="auto"/>
        <w:ind w:firstLine="567"/>
        <w:jc w:val="both"/>
        <w:rPr>
          <w:rFonts w:ascii="Arial Narrow" w:hAnsi="Arial Narrow"/>
          <w:sz w:val="24"/>
          <w:szCs w:val="24"/>
        </w:rPr>
      </w:pPr>
    </w:p>
    <w:p w:rsidR="00B07AB8" w:rsidRPr="00B07AB8" w:rsidRDefault="00B07AB8" w:rsidP="00B07AB8">
      <w:pPr>
        <w:jc w:val="center"/>
        <w:rPr>
          <w:rFonts w:ascii="Arial Narrow" w:hAnsi="Arial Narrow"/>
          <w:bCs/>
        </w:rPr>
      </w:pPr>
      <w:r w:rsidRPr="00B07AB8">
        <w:rPr>
          <w:rFonts w:ascii="Arial Narrow" w:hAnsi="Arial Narrow"/>
          <w:noProof/>
          <w:lang w:eastAsia="ru-RU"/>
        </w:rPr>
        <w:lastRenderedPageBreak/>
        <w:drawing>
          <wp:inline distT="0" distB="0" distL="0" distR="0">
            <wp:extent cx="5987332" cy="5780598"/>
            <wp:effectExtent l="19050" t="0" r="0" b="0"/>
            <wp:docPr id="566"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B07AB8" w:rsidRPr="00B07AB8" w:rsidRDefault="00B07AB8" w:rsidP="00B07AB8">
      <w:pPr>
        <w:jc w:val="center"/>
        <w:rPr>
          <w:rFonts w:ascii="Arial Narrow" w:hAnsi="Arial Narrow"/>
        </w:rPr>
      </w:pPr>
      <w:r w:rsidRPr="00B07AB8">
        <w:rPr>
          <w:rFonts w:ascii="Arial Narrow" w:hAnsi="Arial Narrow"/>
          <w:bCs/>
        </w:rPr>
        <w:t>Диаграмма 5.5.24</w:t>
      </w:r>
      <w:r w:rsidRPr="00B07AB8">
        <w:rPr>
          <w:rFonts w:ascii="Arial Narrow" w:hAnsi="Arial Narrow"/>
          <w:b/>
          <w:bCs/>
        </w:rPr>
        <w:t xml:space="preserve"> – Удовлетворенность субъектов предпринимательской деятельности качеством услуг теплоснабжения, в % от числа опрошенных по сферам деятельности</w:t>
      </w:r>
    </w:p>
    <w:p w:rsidR="00B07AB8" w:rsidRPr="00B07AB8" w:rsidRDefault="00B07AB8" w:rsidP="00B07AB8">
      <w:pPr>
        <w:ind w:firstLine="567"/>
        <w:jc w:val="center"/>
        <w:rPr>
          <w:rFonts w:ascii="Arial Narrow" w:hAnsi="Arial Narrow"/>
          <w:b/>
          <w:bCs/>
        </w:rPr>
      </w:pPr>
      <w:r w:rsidRPr="00B07AB8">
        <w:rPr>
          <w:rFonts w:ascii="Arial Narrow" w:hAnsi="Arial Narrow"/>
          <w:noProof/>
          <w:lang w:eastAsia="ru-RU"/>
        </w:rPr>
        <w:drawing>
          <wp:inline distT="0" distB="0" distL="0" distR="0">
            <wp:extent cx="5537200" cy="1612900"/>
            <wp:effectExtent l="0" t="0" r="0" b="0"/>
            <wp:docPr id="567"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B07AB8" w:rsidRPr="00B07AB8" w:rsidRDefault="00B07AB8" w:rsidP="00B07AB8">
      <w:pPr>
        <w:ind w:firstLine="567"/>
        <w:jc w:val="center"/>
        <w:rPr>
          <w:rFonts w:ascii="Arial Narrow" w:hAnsi="Arial Narrow"/>
          <w:b/>
          <w:bCs/>
        </w:rPr>
      </w:pPr>
      <w:r w:rsidRPr="00B07AB8">
        <w:rPr>
          <w:rFonts w:ascii="Arial Narrow" w:hAnsi="Arial Narrow"/>
          <w:bCs/>
        </w:rPr>
        <w:t>Диаграмма 5.5.25</w:t>
      </w:r>
      <w:r w:rsidRPr="00B07AB8">
        <w:rPr>
          <w:rFonts w:ascii="Arial Narrow" w:hAnsi="Arial Narrow"/>
          <w:b/>
          <w:bCs/>
        </w:rPr>
        <w:t xml:space="preserve"> – Удовлетворенность субъектов предпринимательской деятельности качеством услуг теплоснабжения, в % от числа опрошенных в группах по величине предприятий</w:t>
      </w:r>
    </w:p>
    <w:p w:rsidR="00B07AB8" w:rsidRPr="00B07AB8" w:rsidRDefault="00B07AB8" w:rsidP="00B07AB8">
      <w:pPr>
        <w:jc w:val="center"/>
        <w:rPr>
          <w:rFonts w:ascii="Arial Narrow" w:hAnsi="Arial Narrow"/>
          <w:bCs/>
        </w:rPr>
      </w:pPr>
      <w:r w:rsidRPr="00B07AB8">
        <w:rPr>
          <w:rFonts w:ascii="Arial Narrow" w:hAnsi="Arial Narrow"/>
          <w:noProof/>
          <w:color w:val="986297"/>
          <w:lang w:eastAsia="ru-RU"/>
        </w:rPr>
        <w:lastRenderedPageBreak/>
        <w:drawing>
          <wp:inline distT="0" distB="0" distL="0" distR="0">
            <wp:extent cx="6114553" cy="8070574"/>
            <wp:effectExtent l="0" t="0" r="0" b="0"/>
            <wp:docPr id="568" name="Диаграмма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B07AB8" w:rsidRPr="00B07AB8" w:rsidRDefault="00B07AB8" w:rsidP="00B07AB8">
      <w:pPr>
        <w:jc w:val="center"/>
        <w:rPr>
          <w:rFonts w:ascii="Arial Narrow" w:hAnsi="Arial Narrow"/>
          <w:b/>
          <w:bCs/>
          <w:color w:val="595959"/>
          <w:sz w:val="20"/>
          <w:szCs w:val="20"/>
        </w:rPr>
      </w:pPr>
      <w:r w:rsidRPr="00B07AB8">
        <w:rPr>
          <w:rFonts w:ascii="Arial Narrow" w:hAnsi="Arial Narrow"/>
          <w:bCs/>
        </w:rPr>
        <w:t>Диаграмма 5.5.26</w:t>
      </w:r>
      <w:r w:rsidRPr="00B07AB8">
        <w:rPr>
          <w:rFonts w:ascii="Arial Narrow" w:hAnsi="Arial Narrow"/>
          <w:b/>
          <w:bCs/>
        </w:rPr>
        <w:t xml:space="preserve"> – Удовлетворенность субъектов предпринимательской деятельности качеством услуг теплоснабжения, в % от числа опрошенных по территориям</w:t>
      </w:r>
    </w:p>
    <w:p w:rsidR="00B07AB8" w:rsidRPr="00B07AB8" w:rsidRDefault="00B07AB8" w:rsidP="00A64028">
      <w:pPr>
        <w:rPr>
          <w:rFonts w:ascii="Arial Narrow" w:hAnsi="Arial Narrow"/>
          <w:b/>
          <w:bCs/>
          <w:sz w:val="26"/>
          <w:szCs w:val="26"/>
        </w:rPr>
      </w:pPr>
      <w:r w:rsidRPr="00B07AB8">
        <w:rPr>
          <w:rFonts w:ascii="Arial Narrow" w:hAnsi="Arial Narrow"/>
          <w:b/>
          <w:bCs/>
          <w:sz w:val="26"/>
          <w:szCs w:val="26"/>
        </w:rPr>
        <w:br w:type="page"/>
      </w:r>
      <w:r w:rsidRPr="00B07AB8">
        <w:rPr>
          <w:rFonts w:ascii="Arial Narrow" w:hAnsi="Arial Narrow"/>
          <w:b/>
          <w:bCs/>
          <w:sz w:val="26"/>
          <w:szCs w:val="26"/>
        </w:rPr>
        <w:lastRenderedPageBreak/>
        <w:t>5.5.1.2.4. Удовлетворенность качеством услуг газоснабжения в разрезе отраслевой принадлежности, величины и местонахождения субъектов предпринимательства</w:t>
      </w:r>
    </w:p>
    <w:p w:rsidR="00B07AB8" w:rsidRPr="00B07AB8" w:rsidRDefault="00B07AB8" w:rsidP="00B07AB8">
      <w:pPr>
        <w:ind w:firstLine="567"/>
        <w:jc w:val="center"/>
        <w:rPr>
          <w:rFonts w:ascii="Arial Narrow" w:hAnsi="Arial Narrow"/>
        </w:rPr>
      </w:pP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Самые высокие доли субъектов предпринимательства, удовлетворенных качеством услуг газоснабжения (70 % и более), зафиксированы среди следующих групп респондентов:</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 представители рынка услуг дополнительного образования детей (76,0 %),</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 представители рынка услуг психолого-педагогического сопровождения детей с ограниченными возможностями здоровья (76,0 %),</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 представители рынка услуг социального обслуживания населения (76,0 %),</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 представители рынка услуг дошкольного образования (70,0 %),</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 xml:space="preserve">- субъекты предпринимательства, ведущие деятельность в г. Искитиме (73,6 %), Чулымском (73,3 %), Карасукском (70,6 %) районах. </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Малые предприятия более удовлетворены данным параметром, чем средние предприятия (52,5 % и 36,4 % соответственно).</w:t>
      </w:r>
    </w:p>
    <w:p w:rsidR="00B07AB8" w:rsidRPr="00B07AB8" w:rsidRDefault="00B07AB8" w:rsidP="00B07AB8">
      <w:pPr>
        <w:tabs>
          <w:tab w:val="left" w:pos="2003"/>
        </w:tabs>
        <w:spacing w:after="0" w:line="360" w:lineRule="auto"/>
        <w:ind w:firstLine="284"/>
        <w:jc w:val="both"/>
        <w:rPr>
          <w:rFonts w:ascii="Arial Narrow" w:hAnsi="Arial Narrow"/>
          <w:sz w:val="24"/>
          <w:szCs w:val="24"/>
        </w:rPr>
      </w:pPr>
      <w:r w:rsidRPr="00B07AB8">
        <w:rPr>
          <w:rFonts w:ascii="Arial Narrow" w:hAnsi="Arial Narrow"/>
          <w:sz w:val="24"/>
          <w:szCs w:val="24"/>
        </w:rPr>
        <w:t>Меньше всего удовлетворены качеством услуг газоснабжения представители рынка услуг перевозок пассажиров наземным транспортом (26,7 %), рынка развития, производства, переработки и хранения с/х продукции (34,0 %), организации, ведущие деятельность в Новосибирском (0,0 %), Кыштовском (0,0 %), Краснозерском (0,0 %), Тогучинском (8,3 %), Баганском (12,5 %), Купинском (13,3 %), Усть-Таркском (16,7 %), Каргатском (16,7 %), Мошковском (22,2 %), Чановском (27,3 %), Убинском (28,6 %), Кочковском (28,6 %), Доволенском (28,6 %), Искитимском (29,4 %) районах.</w:t>
      </w:r>
    </w:p>
    <w:p w:rsidR="00B07AB8" w:rsidRPr="00B07AB8" w:rsidRDefault="00B07AB8" w:rsidP="00B07AB8">
      <w:pPr>
        <w:jc w:val="center"/>
        <w:rPr>
          <w:rFonts w:ascii="Arial Narrow" w:hAnsi="Arial Narrow"/>
          <w:b/>
          <w:bCs/>
        </w:rPr>
      </w:pPr>
      <w:r w:rsidRPr="00B07AB8">
        <w:rPr>
          <w:rFonts w:ascii="Arial Narrow" w:hAnsi="Arial Narrow"/>
          <w:noProof/>
          <w:lang w:eastAsia="ru-RU"/>
        </w:rPr>
        <w:lastRenderedPageBreak/>
        <w:drawing>
          <wp:inline distT="0" distB="0" distL="0" distR="0">
            <wp:extent cx="6122504" cy="5661328"/>
            <wp:effectExtent l="19050" t="0" r="0" b="0"/>
            <wp:docPr id="569"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B07AB8" w:rsidRPr="00B07AB8" w:rsidRDefault="00B07AB8" w:rsidP="00B07AB8">
      <w:pPr>
        <w:jc w:val="center"/>
        <w:rPr>
          <w:rFonts w:ascii="Arial Narrow" w:hAnsi="Arial Narrow"/>
          <w:b/>
          <w:bCs/>
          <w:color w:val="595959"/>
          <w:sz w:val="20"/>
          <w:szCs w:val="20"/>
        </w:rPr>
      </w:pPr>
      <w:r w:rsidRPr="00B07AB8">
        <w:rPr>
          <w:rFonts w:ascii="Arial Narrow" w:hAnsi="Arial Narrow"/>
          <w:bCs/>
        </w:rPr>
        <w:t>Диаграмма 5.5.21</w:t>
      </w:r>
      <w:r w:rsidRPr="00B07AB8">
        <w:rPr>
          <w:rFonts w:ascii="Arial Narrow" w:hAnsi="Arial Narrow"/>
          <w:b/>
          <w:bCs/>
        </w:rPr>
        <w:t xml:space="preserve"> – Удовлетворенность субъектов предпринимательской деятельности качеством услуг газоснабжения, в % от числа опрошенных по сферам деятельности</w:t>
      </w:r>
    </w:p>
    <w:p w:rsidR="00B07AB8" w:rsidRPr="00B07AB8" w:rsidRDefault="00B07AB8" w:rsidP="00B07AB8">
      <w:pPr>
        <w:ind w:firstLine="567"/>
        <w:jc w:val="center"/>
        <w:rPr>
          <w:rFonts w:ascii="Arial Narrow" w:hAnsi="Arial Narrow"/>
          <w:bCs/>
        </w:rPr>
      </w:pPr>
      <w:r w:rsidRPr="00B07AB8">
        <w:rPr>
          <w:rFonts w:ascii="Arial Narrow" w:hAnsi="Arial Narrow"/>
          <w:noProof/>
          <w:lang w:eastAsia="ru-RU"/>
        </w:rPr>
        <w:drawing>
          <wp:inline distT="0" distB="0" distL="0" distR="0">
            <wp:extent cx="5605669" cy="1709530"/>
            <wp:effectExtent l="0" t="0" r="0" b="0"/>
            <wp:docPr id="570"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B07AB8" w:rsidRPr="00B07AB8" w:rsidRDefault="00B07AB8" w:rsidP="00B07AB8">
      <w:pPr>
        <w:ind w:firstLine="567"/>
        <w:jc w:val="center"/>
        <w:rPr>
          <w:rFonts w:ascii="Arial Narrow" w:hAnsi="Arial Narrow"/>
          <w:b/>
          <w:bCs/>
        </w:rPr>
      </w:pPr>
      <w:r w:rsidRPr="00B07AB8">
        <w:rPr>
          <w:rFonts w:ascii="Arial Narrow" w:hAnsi="Arial Narrow"/>
          <w:bCs/>
        </w:rPr>
        <w:t>Диаграмма 5.5.22</w:t>
      </w:r>
      <w:r w:rsidRPr="00B07AB8">
        <w:rPr>
          <w:rFonts w:ascii="Arial Narrow" w:hAnsi="Arial Narrow"/>
          <w:b/>
          <w:bCs/>
        </w:rPr>
        <w:t xml:space="preserve"> – Удовлетворенность субъектов предпринимательской деятельности качеством услуг газоснабжения, в % от числа опрошенных в группах по величине предприятий</w:t>
      </w:r>
    </w:p>
    <w:p w:rsidR="00B07AB8" w:rsidRPr="00B07AB8" w:rsidRDefault="00B07AB8" w:rsidP="00B07AB8">
      <w:pPr>
        <w:jc w:val="center"/>
        <w:rPr>
          <w:rFonts w:ascii="Arial Narrow" w:hAnsi="Arial Narrow"/>
          <w:b/>
          <w:bCs/>
        </w:rPr>
      </w:pPr>
      <w:r w:rsidRPr="00B07AB8">
        <w:rPr>
          <w:rFonts w:ascii="Arial Narrow" w:hAnsi="Arial Narrow"/>
          <w:noProof/>
          <w:color w:val="986297"/>
          <w:lang w:eastAsia="ru-RU"/>
        </w:rPr>
        <w:lastRenderedPageBreak/>
        <w:drawing>
          <wp:inline distT="0" distB="0" distL="0" distR="0">
            <wp:extent cx="6143625" cy="8115300"/>
            <wp:effectExtent l="0" t="0" r="0" b="0"/>
            <wp:docPr id="571" name="Диаграмма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r w:rsidRPr="00B07AB8">
        <w:rPr>
          <w:rFonts w:ascii="Arial Narrow" w:hAnsi="Arial Narrow"/>
          <w:bCs/>
        </w:rPr>
        <w:t>Диаграмма 5.5.23</w:t>
      </w:r>
      <w:r w:rsidRPr="00B07AB8">
        <w:rPr>
          <w:rFonts w:ascii="Arial Narrow" w:hAnsi="Arial Narrow"/>
          <w:b/>
          <w:bCs/>
        </w:rPr>
        <w:t xml:space="preserve"> – Удовлетворенность субъектов предпринимательской деятельности качеством услуг газоснабжения, в % от числа опрошенных по территориям</w:t>
      </w:r>
    </w:p>
    <w:p w:rsidR="00B07AB8" w:rsidRPr="00B07AB8" w:rsidRDefault="00B07AB8" w:rsidP="00A43AC6">
      <w:pPr>
        <w:jc w:val="both"/>
        <w:rPr>
          <w:rFonts w:ascii="Arial Narrow" w:hAnsi="Arial Narrow"/>
          <w:b/>
          <w:bCs/>
          <w:sz w:val="26"/>
          <w:szCs w:val="26"/>
        </w:rPr>
      </w:pPr>
      <w:r w:rsidRPr="00B07AB8">
        <w:rPr>
          <w:rFonts w:ascii="Arial Narrow" w:hAnsi="Arial Narrow"/>
          <w:b/>
          <w:bCs/>
          <w:sz w:val="26"/>
          <w:szCs w:val="26"/>
        </w:rPr>
        <w:lastRenderedPageBreak/>
        <w:t>5.5.1.3. Удовлетворенность сроками получения доступа к услугам, предоставляемых субъектами естественных монополий</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29,3–36,9 % опрошенных субъектов предпринимательства удовлетворены сроками получения доступа к услугам, предоставляемым естественными монополиями. Доли неудовлетворенных значительно ниже: от 13,6 до 16,1 % опрошенных.</w:t>
      </w:r>
    </w:p>
    <w:p w:rsidR="00B07AB8" w:rsidRPr="00B07AB8" w:rsidRDefault="00B07AB8" w:rsidP="00B07AB8">
      <w:pPr>
        <w:spacing w:after="0" w:line="360" w:lineRule="auto"/>
        <w:ind w:firstLine="284"/>
        <w:jc w:val="both"/>
        <w:rPr>
          <w:rFonts w:ascii="Arial Narrow" w:hAnsi="Arial Narrow"/>
          <w:sz w:val="24"/>
          <w:szCs w:val="24"/>
          <w:u w:val="single"/>
        </w:rPr>
      </w:pPr>
      <w:r w:rsidRPr="00B07AB8">
        <w:rPr>
          <w:rFonts w:ascii="Arial Narrow" w:hAnsi="Arial Narrow"/>
          <w:sz w:val="24"/>
          <w:szCs w:val="24"/>
          <w:u w:val="single"/>
        </w:rPr>
        <w:t>Рейтинг удовлетворенности субъектов предпринимательства сроками получения доступа к услугам естественных монополий:</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1. Водоснабжение, водоотведение (</w:t>
      </w:r>
      <w:r w:rsidRPr="00B07AB8">
        <w:rPr>
          <w:rFonts w:ascii="Arial Narrow" w:eastAsia="Calibri" w:hAnsi="Arial Narrow" w:cs="Arial"/>
          <w:sz w:val="24"/>
          <w:szCs w:val="24"/>
        </w:rPr>
        <w:t xml:space="preserve">36,9 % </w:t>
      </w:r>
      <w:r w:rsidRPr="00B07AB8">
        <w:rPr>
          <w:rFonts w:ascii="Arial Narrow" w:hAnsi="Arial Narrow"/>
          <w:sz w:val="24"/>
          <w:szCs w:val="24"/>
        </w:rPr>
        <w:t xml:space="preserve">удовлетворены, </w:t>
      </w:r>
      <w:r w:rsidRPr="00B07AB8">
        <w:rPr>
          <w:rFonts w:ascii="Arial Narrow" w:eastAsia="Calibri" w:hAnsi="Arial Narrow" w:cs="Arial"/>
          <w:sz w:val="24"/>
          <w:szCs w:val="24"/>
        </w:rPr>
        <w:t xml:space="preserve">13,8 % </w:t>
      </w:r>
      <w:r w:rsidRPr="00B07AB8">
        <w:rPr>
          <w:rFonts w:ascii="Arial Narrow" w:hAnsi="Arial Narrow"/>
          <w:sz w:val="24"/>
          <w:szCs w:val="24"/>
        </w:rPr>
        <w:t xml:space="preserve">не удовлетворены); </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2. Электроснабжение (</w:t>
      </w:r>
      <w:r w:rsidRPr="00B07AB8">
        <w:rPr>
          <w:rFonts w:ascii="Arial Narrow" w:eastAsia="Calibri" w:hAnsi="Arial Narrow" w:cs="Arial"/>
          <w:sz w:val="24"/>
          <w:szCs w:val="24"/>
        </w:rPr>
        <w:t>36,8 %</w:t>
      </w:r>
      <w:r w:rsidRPr="00B07AB8">
        <w:rPr>
          <w:rFonts w:ascii="Arial Narrow" w:hAnsi="Arial Narrow"/>
          <w:sz w:val="24"/>
          <w:szCs w:val="24"/>
        </w:rPr>
        <w:t xml:space="preserve"> удовлетворены, </w:t>
      </w:r>
      <w:r w:rsidRPr="00B07AB8">
        <w:rPr>
          <w:rFonts w:ascii="Arial Narrow" w:eastAsia="Calibri" w:hAnsi="Arial Narrow" w:cs="Arial"/>
          <w:sz w:val="24"/>
          <w:szCs w:val="24"/>
        </w:rPr>
        <w:t xml:space="preserve">16,1 % </w:t>
      </w:r>
      <w:r w:rsidRPr="00B07AB8">
        <w:rPr>
          <w:rFonts w:ascii="Arial Narrow" w:hAnsi="Arial Narrow"/>
          <w:sz w:val="24"/>
          <w:szCs w:val="24"/>
        </w:rPr>
        <w:t xml:space="preserve">не удовлетворены); </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3. Теплоснабжение (</w:t>
      </w:r>
      <w:r w:rsidRPr="00B07AB8">
        <w:rPr>
          <w:rFonts w:ascii="Arial Narrow" w:eastAsia="Calibri" w:hAnsi="Arial Narrow" w:cs="Arial"/>
          <w:sz w:val="24"/>
          <w:szCs w:val="24"/>
        </w:rPr>
        <w:t xml:space="preserve">35,3 % </w:t>
      </w:r>
      <w:r w:rsidRPr="00B07AB8">
        <w:rPr>
          <w:rFonts w:ascii="Arial Narrow" w:hAnsi="Arial Narrow"/>
          <w:sz w:val="24"/>
          <w:szCs w:val="24"/>
        </w:rPr>
        <w:t xml:space="preserve">удовлетворены, </w:t>
      </w:r>
      <w:r w:rsidRPr="00B07AB8">
        <w:rPr>
          <w:rFonts w:ascii="Arial Narrow" w:eastAsia="Calibri" w:hAnsi="Arial Narrow" w:cs="Arial"/>
          <w:sz w:val="24"/>
          <w:szCs w:val="24"/>
        </w:rPr>
        <w:t xml:space="preserve">13,6 % </w:t>
      </w:r>
      <w:r w:rsidRPr="00B07AB8">
        <w:rPr>
          <w:rFonts w:ascii="Arial Narrow" w:hAnsi="Arial Narrow"/>
          <w:sz w:val="24"/>
          <w:szCs w:val="24"/>
        </w:rPr>
        <w:t>не удовлетворены);</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4. Газоснабжение (</w:t>
      </w:r>
      <w:r w:rsidRPr="00B07AB8">
        <w:rPr>
          <w:rFonts w:ascii="Arial Narrow" w:eastAsia="Calibri" w:hAnsi="Arial Narrow" w:cs="Arial"/>
          <w:sz w:val="24"/>
          <w:szCs w:val="24"/>
        </w:rPr>
        <w:t xml:space="preserve">29,3 % </w:t>
      </w:r>
      <w:r w:rsidRPr="00B07AB8">
        <w:rPr>
          <w:rFonts w:ascii="Arial Narrow" w:hAnsi="Arial Narrow"/>
          <w:sz w:val="24"/>
          <w:szCs w:val="24"/>
        </w:rPr>
        <w:t xml:space="preserve">удовлетворены, </w:t>
      </w:r>
      <w:r w:rsidRPr="00B07AB8">
        <w:rPr>
          <w:rFonts w:ascii="Arial Narrow" w:eastAsia="Calibri" w:hAnsi="Arial Narrow" w:cs="Arial"/>
          <w:sz w:val="24"/>
          <w:szCs w:val="24"/>
        </w:rPr>
        <w:t xml:space="preserve">14,5 % </w:t>
      </w:r>
      <w:r w:rsidRPr="00B07AB8">
        <w:rPr>
          <w:rFonts w:ascii="Arial Narrow" w:hAnsi="Arial Narrow"/>
          <w:sz w:val="24"/>
          <w:szCs w:val="24"/>
        </w:rPr>
        <w:t>не удовлетворены);</w:t>
      </w:r>
    </w:p>
    <w:p w:rsid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Субъекты предпринимательства удовлетворены сроками получения доступа к услугам электроснабжения, теплоснабжения и водоснабжения в примерно равной степени. Немного отстает удовлетворенность сроками получения доступа к услугам газоснабжения ввиду большего числа затруднившихся с ответом (56,2 %).</w:t>
      </w:r>
    </w:p>
    <w:p w:rsidR="00B07AB8" w:rsidRPr="00B07AB8" w:rsidRDefault="00B07AB8" w:rsidP="00B07AB8">
      <w:pPr>
        <w:jc w:val="center"/>
        <w:rPr>
          <w:rFonts w:ascii="Arial Narrow" w:hAnsi="Arial Narrow"/>
          <w:bCs/>
        </w:rPr>
      </w:pPr>
      <w:r w:rsidRPr="00B07AB8">
        <w:rPr>
          <w:rFonts w:ascii="Arial Narrow" w:hAnsi="Arial Narrow"/>
          <w:noProof/>
          <w:color w:val="986297"/>
          <w:lang w:eastAsia="ru-RU"/>
        </w:rPr>
        <w:drawing>
          <wp:inline distT="0" distB="0" distL="0" distR="0">
            <wp:extent cx="6035040" cy="2138901"/>
            <wp:effectExtent l="0" t="0" r="0" b="0"/>
            <wp:docPr id="572"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B07AB8" w:rsidRPr="00B07AB8" w:rsidRDefault="00B07AB8" w:rsidP="00B07AB8">
      <w:pPr>
        <w:jc w:val="center"/>
        <w:rPr>
          <w:rFonts w:ascii="Arial Narrow" w:hAnsi="Arial Narrow"/>
          <w:b/>
          <w:bCs/>
        </w:rPr>
      </w:pPr>
      <w:r w:rsidRPr="00B07AB8">
        <w:rPr>
          <w:rFonts w:ascii="Arial Narrow" w:hAnsi="Arial Narrow"/>
          <w:bCs/>
        </w:rPr>
        <w:t>Диаграмма 5.5.27</w:t>
      </w:r>
      <w:r w:rsidRPr="00B07AB8">
        <w:rPr>
          <w:rFonts w:ascii="Arial Narrow" w:hAnsi="Arial Narrow"/>
          <w:b/>
          <w:bCs/>
        </w:rPr>
        <w:t xml:space="preserve"> – Удовлетворенность субъектов предпринимательской деятельности сроками получения доступа к услугам субъектов естественных монополий, в % от числа опрошенных</w:t>
      </w:r>
    </w:p>
    <w:p w:rsidR="00A64028" w:rsidRDefault="00A64028">
      <w:pPr>
        <w:rPr>
          <w:rFonts w:ascii="Arial Narrow" w:hAnsi="Arial Narrow"/>
          <w:sz w:val="24"/>
          <w:szCs w:val="24"/>
        </w:rPr>
      </w:pPr>
      <w:r>
        <w:rPr>
          <w:rFonts w:ascii="Arial Narrow" w:hAnsi="Arial Narrow"/>
          <w:sz w:val="24"/>
          <w:szCs w:val="24"/>
        </w:rPr>
        <w:br w:type="page"/>
      </w:r>
    </w:p>
    <w:p w:rsidR="00B07AB8" w:rsidRPr="00B07AB8" w:rsidRDefault="00B07AB8" w:rsidP="00C54B76">
      <w:pPr>
        <w:spacing w:after="0" w:line="240" w:lineRule="auto"/>
        <w:rPr>
          <w:rFonts w:ascii="Arial Narrow" w:hAnsi="Arial Narrow"/>
          <w:sz w:val="24"/>
          <w:szCs w:val="24"/>
        </w:rPr>
      </w:pPr>
      <w:r w:rsidRPr="00B07AB8">
        <w:rPr>
          <w:rFonts w:ascii="Arial Narrow" w:hAnsi="Arial Narrow"/>
          <w:sz w:val="24"/>
          <w:szCs w:val="24"/>
        </w:rPr>
        <w:lastRenderedPageBreak/>
        <w:t xml:space="preserve">Таблица </w:t>
      </w:r>
      <w:r w:rsidR="00614BC7">
        <w:rPr>
          <w:rFonts w:ascii="Arial Narrow" w:hAnsi="Arial Narrow"/>
          <w:sz w:val="24"/>
          <w:szCs w:val="24"/>
        </w:rPr>
        <w:t>5</w:t>
      </w:r>
      <w:r w:rsidR="00A43AC6">
        <w:rPr>
          <w:rFonts w:ascii="Arial Narrow" w:hAnsi="Arial Narrow"/>
          <w:sz w:val="24"/>
          <w:szCs w:val="24"/>
        </w:rPr>
        <w:t>.</w:t>
      </w:r>
      <w:r w:rsidRPr="00B07AB8">
        <w:rPr>
          <w:rFonts w:ascii="Arial Narrow" w:hAnsi="Arial Narrow"/>
          <w:sz w:val="24"/>
          <w:szCs w:val="24"/>
        </w:rPr>
        <w:t>4</w:t>
      </w:r>
      <w:r w:rsidR="00A43AC6">
        <w:rPr>
          <w:rFonts w:ascii="Arial Narrow" w:hAnsi="Arial Narrow"/>
          <w:sz w:val="24"/>
          <w:szCs w:val="24"/>
        </w:rPr>
        <w:t>.</w:t>
      </w:r>
      <w:r w:rsidRPr="00B07AB8">
        <w:rPr>
          <w:rFonts w:ascii="Arial Narrow" w:hAnsi="Arial Narrow"/>
          <w:sz w:val="24"/>
          <w:szCs w:val="24"/>
        </w:rPr>
        <w:t xml:space="preserve"> – </w:t>
      </w:r>
      <w:r w:rsidRPr="00B07AB8">
        <w:rPr>
          <w:rFonts w:ascii="Arial Narrow" w:hAnsi="Arial Narrow"/>
          <w:b/>
          <w:sz w:val="24"/>
          <w:szCs w:val="24"/>
        </w:rPr>
        <w:t>Удовлетворенность субъектов предпринимательской деятельности сроками получения доступа к услугам, предоставляемых субъектами естественных монополий (% от числа опрошенных)</w:t>
      </w:r>
    </w:p>
    <w:tbl>
      <w:tblPr>
        <w:tblW w:w="5700"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2459"/>
        <w:gridCol w:w="2227"/>
        <w:gridCol w:w="1014"/>
      </w:tblGrid>
      <w:tr w:rsidR="00B07AB8" w:rsidRPr="00C54B76" w:rsidTr="003425A3">
        <w:trPr>
          <w:cantSplit/>
        </w:trPr>
        <w:tc>
          <w:tcPr>
            <w:tcW w:w="2459" w:type="dxa"/>
            <w:vMerge w:val="restart"/>
            <w:shd w:val="clear" w:color="auto" w:fill="FFFFFF"/>
            <w:vAlign w:val="center"/>
          </w:tcPr>
          <w:p w:rsidR="00B07AB8" w:rsidRPr="00C54B76" w:rsidRDefault="00B07AB8" w:rsidP="00B07AB8">
            <w:pPr>
              <w:spacing w:after="0" w:line="240" w:lineRule="auto"/>
              <w:ind w:left="125"/>
              <w:rPr>
                <w:rFonts w:ascii="Arial Narrow" w:hAnsi="Arial Narrow" w:cs="Arial"/>
                <w:sz w:val="20"/>
                <w:szCs w:val="20"/>
              </w:rPr>
            </w:pPr>
            <w:r w:rsidRPr="00C54B76">
              <w:rPr>
                <w:rFonts w:ascii="Arial Narrow" w:hAnsi="Arial Narrow" w:cs="Arial"/>
                <w:sz w:val="20"/>
                <w:szCs w:val="20"/>
              </w:rPr>
              <w:t>Водоснабжение, водоотведение</w:t>
            </w:r>
          </w:p>
        </w:tc>
        <w:tc>
          <w:tcPr>
            <w:tcW w:w="2227" w:type="dxa"/>
            <w:shd w:val="clear" w:color="auto" w:fill="FFFFFF"/>
            <w:vAlign w:val="center"/>
          </w:tcPr>
          <w:p w:rsidR="00B07AB8" w:rsidRPr="00C54B76" w:rsidRDefault="00B07AB8" w:rsidP="00B07AB8">
            <w:pPr>
              <w:spacing w:after="0" w:line="240" w:lineRule="auto"/>
              <w:ind w:left="125"/>
              <w:rPr>
                <w:rFonts w:ascii="Arial Narrow" w:hAnsi="Arial Narrow" w:cs="Arial"/>
                <w:sz w:val="20"/>
                <w:szCs w:val="20"/>
              </w:rPr>
            </w:pPr>
            <w:r w:rsidRPr="00C54B76">
              <w:rPr>
                <w:rFonts w:ascii="Arial Narrow" w:hAnsi="Arial Narrow" w:cs="Arial"/>
                <w:sz w:val="20"/>
                <w:szCs w:val="20"/>
              </w:rPr>
              <w:t>Удовлетворительно</w:t>
            </w:r>
          </w:p>
        </w:tc>
        <w:tc>
          <w:tcPr>
            <w:tcW w:w="1014" w:type="dxa"/>
            <w:shd w:val="clear" w:color="auto" w:fill="FFFFFF"/>
            <w:vAlign w:val="center"/>
          </w:tcPr>
          <w:p w:rsidR="00B07AB8" w:rsidRPr="00C54B76" w:rsidRDefault="00B07AB8" w:rsidP="00B07AB8">
            <w:pPr>
              <w:spacing w:after="0" w:line="240" w:lineRule="auto"/>
              <w:ind w:left="125"/>
              <w:rPr>
                <w:rFonts w:ascii="Arial Narrow" w:hAnsi="Arial Narrow" w:cs="Arial"/>
                <w:sz w:val="20"/>
                <w:szCs w:val="20"/>
              </w:rPr>
            </w:pPr>
            <w:r w:rsidRPr="00C54B76">
              <w:rPr>
                <w:rFonts w:ascii="Arial Narrow" w:eastAsia="Calibri" w:hAnsi="Arial Narrow" w:cs="Arial"/>
                <w:sz w:val="20"/>
                <w:szCs w:val="20"/>
              </w:rPr>
              <w:t>36,9%</w:t>
            </w:r>
          </w:p>
        </w:tc>
      </w:tr>
      <w:tr w:rsidR="00B07AB8" w:rsidRPr="00C54B76" w:rsidTr="003425A3">
        <w:trPr>
          <w:cantSplit/>
        </w:trPr>
        <w:tc>
          <w:tcPr>
            <w:tcW w:w="2459" w:type="dxa"/>
            <w:vMerge/>
            <w:shd w:val="clear" w:color="auto" w:fill="FFFFFF"/>
            <w:vAlign w:val="center"/>
          </w:tcPr>
          <w:p w:rsidR="00B07AB8" w:rsidRPr="00C54B76" w:rsidRDefault="00B07AB8" w:rsidP="00B07AB8">
            <w:pPr>
              <w:spacing w:after="0" w:line="240" w:lineRule="auto"/>
              <w:ind w:left="125"/>
              <w:rPr>
                <w:rFonts w:ascii="Arial Narrow" w:hAnsi="Arial Narrow" w:cs="Arial"/>
                <w:sz w:val="20"/>
                <w:szCs w:val="20"/>
              </w:rPr>
            </w:pPr>
          </w:p>
        </w:tc>
        <w:tc>
          <w:tcPr>
            <w:tcW w:w="2227" w:type="dxa"/>
            <w:shd w:val="clear" w:color="auto" w:fill="FFFFFF"/>
            <w:vAlign w:val="center"/>
          </w:tcPr>
          <w:p w:rsidR="00B07AB8" w:rsidRPr="00C54B76" w:rsidRDefault="00B07AB8" w:rsidP="00B07AB8">
            <w:pPr>
              <w:spacing w:after="0" w:line="240" w:lineRule="auto"/>
              <w:ind w:left="125"/>
              <w:rPr>
                <w:rFonts w:ascii="Arial Narrow" w:hAnsi="Arial Narrow" w:cs="Arial"/>
                <w:sz w:val="20"/>
                <w:szCs w:val="20"/>
              </w:rPr>
            </w:pPr>
            <w:r w:rsidRPr="00C54B76">
              <w:rPr>
                <w:rFonts w:ascii="Arial Narrow" w:hAnsi="Arial Narrow" w:cs="Arial"/>
                <w:sz w:val="20"/>
                <w:szCs w:val="20"/>
              </w:rPr>
              <w:t>Неудовлетворительно</w:t>
            </w:r>
          </w:p>
        </w:tc>
        <w:tc>
          <w:tcPr>
            <w:tcW w:w="1014" w:type="dxa"/>
            <w:shd w:val="clear" w:color="auto" w:fill="FFFFFF"/>
            <w:vAlign w:val="center"/>
          </w:tcPr>
          <w:p w:rsidR="00B07AB8" w:rsidRPr="00C54B76" w:rsidRDefault="00B07AB8" w:rsidP="00B07AB8">
            <w:pPr>
              <w:spacing w:after="0" w:line="240" w:lineRule="auto"/>
              <w:ind w:left="125"/>
              <w:rPr>
                <w:rFonts w:ascii="Arial Narrow" w:hAnsi="Arial Narrow" w:cs="Arial"/>
                <w:sz w:val="20"/>
                <w:szCs w:val="20"/>
              </w:rPr>
            </w:pPr>
            <w:r w:rsidRPr="00C54B76">
              <w:rPr>
                <w:rFonts w:ascii="Arial Narrow" w:eastAsia="Calibri" w:hAnsi="Arial Narrow" w:cs="Arial"/>
                <w:sz w:val="20"/>
                <w:szCs w:val="20"/>
              </w:rPr>
              <w:t>13,8%</w:t>
            </w:r>
          </w:p>
        </w:tc>
      </w:tr>
      <w:tr w:rsidR="00B07AB8" w:rsidRPr="00C54B76" w:rsidTr="003425A3">
        <w:trPr>
          <w:cantSplit/>
        </w:trPr>
        <w:tc>
          <w:tcPr>
            <w:tcW w:w="2459" w:type="dxa"/>
            <w:vMerge/>
            <w:shd w:val="clear" w:color="auto" w:fill="FFFFFF"/>
            <w:vAlign w:val="center"/>
          </w:tcPr>
          <w:p w:rsidR="00B07AB8" w:rsidRPr="00C54B76" w:rsidRDefault="00B07AB8" w:rsidP="00B07AB8">
            <w:pPr>
              <w:spacing w:after="0" w:line="240" w:lineRule="auto"/>
              <w:ind w:left="125"/>
              <w:rPr>
                <w:rFonts w:ascii="Arial Narrow" w:hAnsi="Arial Narrow" w:cs="Arial"/>
                <w:sz w:val="20"/>
                <w:szCs w:val="20"/>
              </w:rPr>
            </w:pPr>
          </w:p>
        </w:tc>
        <w:tc>
          <w:tcPr>
            <w:tcW w:w="2227" w:type="dxa"/>
            <w:shd w:val="clear" w:color="auto" w:fill="FFFFFF"/>
            <w:vAlign w:val="center"/>
          </w:tcPr>
          <w:p w:rsidR="00B07AB8" w:rsidRPr="00C54B76" w:rsidRDefault="00B07AB8" w:rsidP="00B07AB8">
            <w:pPr>
              <w:spacing w:after="0" w:line="240" w:lineRule="auto"/>
              <w:ind w:left="125"/>
              <w:rPr>
                <w:rFonts w:ascii="Arial Narrow" w:hAnsi="Arial Narrow" w:cs="Arial"/>
                <w:sz w:val="20"/>
                <w:szCs w:val="20"/>
              </w:rPr>
            </w:pPr>
            <w:r w:rsidRPr="00C54B76">
              <w:rPr>
                <w:rFonts w:ascii="Arial Narrow" w:hAnsi="Arial Narrow" w:cs="Arial"/>
                <w:sz w:val="20"/>
                <w:szCs w:val="20"/>
              </w:rPr>
              <w:t>Затрудняюсь ответить</w:t>
            </w:r>
          </w:p>
        </w:tc>
        <w:tc>
          <w:tcPr>
            <w:tcW w:w="1014" w:type="dxa"/>
            <w:shd w:val="clear" w:color="auto" w:fill="FFFFFF"/>
            <w:vAlign w:val="center"/>
          </w:tcPr>
          <w:p w:rsidR="00B07AB8" w:rsidRPr="00C54B76" w:rsidRDefault="00B07AB8" w:rsidP="00B07AB8">
            <w:pPr>
              <w:spacing w:after="0" w:line="240" w:lineRule="auto"/>
              <w:ind w:left="125"/>
              <w:rPr>
                <w:rFonts w:ascii="Arial Narrow" w:hAnsi="Arial Narrow" w:cs="Arial"/>
                <w:sz w:val="20"/>
                <w:szCs w:val="20"/>
              </w:rPr>
            </w:pPr>
            <w:r w:rsidRPr="00C54B76">
              <w:rPr>
                <w:rFonts w:ascii="Arial Narrow" w:eastAsia="Calibri" w:hAnsi="Arial Narrow" w:cs="Arial"/>
                <w:sz w:val="20"/>
                <w:szCs w:val="20"/>
              </w:rPr>
              <w:t>49,2%</w:t>
            </w:r>
          </w:p>
        </w:tc>
      </w:tr>
      <w:tr w:rsidR="00B07AB8" w:rsidRPr="00C54B76" w:rsidTr="003425A3">
        <w:trPr>
          <w:cantSplit/>
        </w:trPr>
        <w:tc>
          <w:tcPr>
            <w:tcW w:w="2459" w:type="dxa"/>
            <w:vMerge w:val="restart"/>
            <w:shd w:val="clear" w:color="auto" w:fill="FFFFFF"/>
            <w:vAlign w:val="center"/>
          </w:tcPr>
          <w:p w:rsidR="00B07AB8" w:rsidRPr="00C54B76" w:rsidRDefault="00B07AB8" w:rsidP="00B07AB8">
            <w:pPr>
              <w:spacing w:after="0" w:line="240" w:lineRule="auto"/>
              <w:ind w:left="125"/>
              <w:rPr>
                <w:rFonts w:ascii="Arial Narrow" w:hAnsi="Arial Narrow" w:cs="Arial"/>
                <w:sz w:val="20"/>
                <w:szCs w:val="20"/>
              </w:rPr>
            </w:pPr>
            <w:r w:rsidRPr="00C54B76">
              <w:rPr>
                <w:rFonts w:ascii="Arial Narrow" w:hAnsi="Arial Narrow" w:cs="Arial"/>
                <w:sz w:val="20"/>
                <w:szCs w:val="20"/>
              </w:rPr>
              <w:t>Газоснабжение</w:t>
            </w:r>
          </w:p>
        </w:tc>
        <w:tc>
          <w:tcPr>
            <w:tcW w:w="2227" w:type="dxa"/>
            <w:shd w:val="clear" w:color="auto" w:fill="FFFFFF"/>
            <w:vAlign w:val="center"/>
          </w:tcPr>
          <w:p w:rsidR="00B07AB8" w:rsidRPr="00C54B76" w:rsidRDefault="00B07AB8" w:rsidP="00B07AB8">
            <w:pPr>
              <w:spacing w:after="0" w:line="240" w:lineRule="auto"/>
              <w:ind w:left="125"/>
              <w:rPr>
                <w:rFonts w:ascii="Arial Narrow" w:hAnsi="Arial Narrow" w:cs="Arial"/>
                <w:sz w:val="20"/>
                <w:szCs w:val="20"/>
              </w:rPr>
            </w:pPr>
            <w:r w:rsidRPr="00C54B76">
              <w:rPr>
                <w:rFonts w:ascii="Arial Narrow" w:hAnsi="Arial Narrow" w:cs="Arial"/>
                <w:sz w:val="20"/>
                <w:szCs w:val="20"/>
              </w:rPr>
              <w:t>Удовлетворительно</w:t>
            </w:r>
          </w:p>
        </w:tc>
        <w:tc>
          <w:tcPr>
            <w:tcW w:w="1014" w:type="dxa"/>
            <w:shd w:val="clear" w:color="auto" w:fill="FFFFFF"/>
            <w:vAlign w:val="center"/>
          </w:tcPr>
          <w:p w:rsidR="00B07AB8" w:rsidRPr="00C54B76" w:rsidRDefault="00B07AB8" w:rsidP="00B07AB8">
            <w:pPr>
              <w:spacing w:after="0" w:line="240" w:lineRule="auto"/>
              <w:ind w:left="125"/>
              <w:rPr>
                <w:rFonts w:ascii="Arial Narrow" w:hAnsi="Arial Narrow" w:cs="Arial"/>
                <w:sz w:val="20"/>
                <w:szCs w:val="20"/>
              </w:rPr>
            </w:pPr>
            <w:r w:rsidRPr="00C54B76">
              <w:rPr>
                <w:rFonts w:ascii="Arial Narrow" w:eastAsia="Calibri" w:hAnsi="Arial Narrow" w:cs="Arial"/>
                <w:sz w:val="20"/>
                <w:szCs w:val="20"/>
              </w:rPr>
              <w:t>29,3%</w:t>
            </w:r>
          </w:p>
        </w:tc>
      </w:tr>
      <w:tr w:rsidR="00B07AB8" w:rsidRPr="00C54B76" w:rsidTr="003425A3">
        <w:trPr>
          <w:cantSplit/>
        </w:trPr>
        <w:tc>
          <w:tcPr>
            <w:tcW w:w="2459" w:type="dxa"/>
            <w:vMerge/>
            <w:shd w:val="clear" w:color="auto" w:fill="FFFFFF"/>
            <w:vAlign w:val="center"/>
          </w:tcPr>
          <w:p w:rsidR="00B07AB8" w:rsidRPr="00C54B76" w:rsidRDefault="00B07AB8" w:rsidP="00B07AB8">
            <w:pPr>
              <w:spacing w:after="0" w:line="240" w:lineRule="auto"/>
              <w:ind w:left="125"/>
              <w:rPr>
                <w:rFonts w:ascii="Arial Narrow" w:hAnsi="Arial Narrow" w:cs="Arial"/>
                <w:sz w:val="20"/>
                <w:szCs w:val="20"/>
              </w:rPr>
            </w:pPr>
          </w:p>
        </w:tc>
        <w:tc>
          <w:tcPr>
            <w:tcW w:w="2227" w:type="dxa"/>
            <w:shd w:val="clear" w:color="auto" w:fill="FFFFFF"/>
            <w:vAlign w:val="center"/>
          </w:tcPr>
          <w:p w:rsidR="00B07AB8" w:rsidRPr="00C54B76" w:rsidRDefault="00B07AB8" w:rsidP="00B07AB8">
            <w:pPr>
              <w:spacing w:after="0" w:line="240" w:lineRule="auto"/>
              <w:ind w:left="125"/>
              <w:rPr>
                <w:rFonts w:ascii="Arial Narrow" w:hAnsi="Arial Narrow" w:cs="Arial"/>
                <w:sz w:val="20"/>
                <w:szCs w:val="20"/>
              </w:rPr>
            </w:pPr>
            <w:r w:rsidRPr="00C54B76">
              <w:rPr>
                <w:rFonts w:ascii="Arial Narrow" w:hAnsi="Arial Narrow" w:cs="Arial"/>
                <w:sz w:val="20"/>
                <w:szCs w:val="20"/>
              </w:rPr>
              <w:t>Неудовлетворительно</w:t>
            </w:r>
          </w:p>
        </w:tc>
        <w:tc>
          <w:tcPr>
            <w:tcW w:w="1014" w:type="dxa"/>
            <w:shd w:val="clear" w:color="auto" w:fill="FFFFFF"/>
            <w:vAlign w:val="center"/>
          </w:tcPr>
          <w:p w:rsidR="00B07AB8" w:rsidRPr="00C54B76" w:rsidRDefault="00B07AB8" w:rsidP="00B07AB8">
            <w:pPr>
              <w:spacing w:after="0" w:line="240" w:lineRule="auto"/>
              <w:ind w:left="125"/>
              <w:rPr>
                <w:rFonts w:ascii="Arial Narrow" w:hAnsi="Arial Narrow" w:cs="Arial"/>
                <w:sz w:val="20"/>
                <w:szCs w:val="20"/>
              </w:rPr>
            </w:pPr>
            <w:r w:rsidRPr="00C54B76">
              <w:rPr>
                <w:rFonts w:ascii="Arial Narrow" w:eastAsia="Calibri" w:hAnsi="Arial Narrow" w:cs="Arial"/>
                <w:sz w:val="20"/>
                <w:szCs w:val="20"/>
              </w:rPr>
              <w:t>14,5%</w:t>
            </w:r>
          </w:p>
        </w:tc>
      </w:tr>
      <w:tr w:rsidR="00B07AB8" w:rsidRPr="00C54B76" w:rsidTr="003425A3">
        <w:trPr>
          <w:cantSplit/>
        </w:trPr>
        <w:tc>
          <w:tcPr>
            <w:tcW w:w="2459" w:type="dxa"/>
            <w:vMerge/>
            <w:shd w:val="clear" w:color="auto" w:fill="FFFFFF"/>
            <w:vAlign w:val="center"/>
          </w:tcPr>
          <w:p w:rsidR="00B07AB8" w:rsidRPr="00C54B76" w:rsidRDefault="00B07AB8" w:rsidP="00B07AB8">
            <w:pPr>
              <w:spacing w:after="0" w:line="240" w:lineRule="auto"/>
              <w:ind w:left="125"/>
              <w:rPr>
                <w:rFonts w:ascii="Arial Narrow" w:hAnsi="Arial Narrow" w:cs="Arial"/>
                <w:sz w:val="20"/>
                <w:szCs w:val="20"/>
              </w:rPr>
            </w:pPr>
          </w:p>
        </w:tc>
        <w:tc>
          <w:tcPr>
            <w:tcW w:w="2227" w:type="dxa"/>
            <w:shd w:val="clear" w:color="auto" w:fill="FFFFFF"/>
            <w:vAlign w:val="center"/>
          </w:tcPr>
          <w:p w:rsidR="00B07AB8" w:rsidRPr="00C54B76" w:rsidRDefault="00B07AB8" w:rsidP="00B07AB8">
            <w:pPr>
              <w:spacing w:after="0" w:line="240" w:lineRule="auto"/>
              <w:ind w:left="125"/>
              <w:rPr>
                <w:rFonts w:ascii="Arial Narrow" w:hAnsi="Arial Narrow" w:cs="Arial"/>
                <w:sz w:val="20"/>
                <w:szCs w:val="20"/>
              </w:rPr>
            </w:pPr>
            <w:r w:rsidRPr="00C54B76">
              <w:rPr>
                <w:rFonts w:ascii="Arial Narrow" w:hAnsi="Arial Narrow" w:cs="Arial"/>
                <w:sz w:val="20"/>
                <w:szCs w:val="20"/>
              </w:rPr>
              <w:t>Затрудняюсь ответить</w:t>
            </w:r>
          </w:p>
        </w:tc>
        <w:tc>
          <w:tcPr>
            <w:tcW w:w="1014" w:type="dxa"/>
            <w:shd w:val="clear" w:color="auto" w:fill="FFFFFF"/>
            <w:vAlign w:val="center"/>
          </w:tcPr>
          <w:p w:rsidR="00B07AB8" w:rsidRPr="00C54B76" w:rsidRDefault="00B07AB8" w:rsidP="00B07AB8">
            <w:pPr>
              <w:spacing w:after="0" w:line="240" w:lineRule="auto"/>
              <w:ind w:left="125"/>
              <w:rPr>
                <w:rFonts w:ascii="Arial Narrow" w:hAnsi="Arial Narrow" w:cs="Arial"/>
                <w:sz w:val="20"/>
                <w:szCs w:val="20"/>
              </w:rPr>
            </w:pPr>
            <w:r w:rsidRPr="00C54B76">
              <w:rPr>
                <w:rFonts w:ascii="Arial Narrow" w:eastAsia="Calibri" w:hAnsi="Arial Narrow" w:cs="Arial"/>
                <w:sz w:val="20"/>
                <w:szCs w:val="20"/>
              </w:rPr>
              <w:t>56,2%</w:t>
            </w:r>
          </w:p>
        </w:tc>
      </w:tr>
      <w:tr w:rsidR="00B07AB8" w:rsidRPr="00C54B76" w:rsidTr="003425A3">
        <w:trPr>
          <w:cantSplit/>
        </w:trPr>
        <w:tc>
          <w:tcPr>
            <w:tcW w:w="2459" w:type="dxa"/>
            <w:vMerge w:val="restart"/>
            <w:shd w:val="clear" w:color="auto" w:fill="FFFFFF"/>
            <w:vAlign w:val="center"/>
          </w:tcPr>
          <w:p w:rsidR="00B07AB8" w:rsidRPr="00C54B76" w:rsidRDefault="00B07AB8" w:rsidP="00B07AB8">
            <w:pPr>
              <w:spacing w:after="0" w:line="240" w:lineRule="auto"/>
              <w:ind w:left="125"/>
              <w:rPr>
                <w:rFonts w:ascii="Arial Narrow" w:hAnsi="Arial Narrow" w:cs="Arial"/>
                <w:sz w:val="20"/>
                <w:szCs w:val="20"/>
              </w:rPr>
            </w:pPr>
            <w:r w:rsidRPr="00C54B76">
              <w:rPr>
                <w:rFonts w:ascii="Arial Narrow" w:hAnsi="Arial Narrow" w:cs="Arial"/>
                <w:sz w:val="20"/>
                <w:szCs w:val="20"/>
              </w:rPr>
              <w:t>Электроснабжение</w:t>
            </w:r>
          </w:p>
        </w:tc>
        <w:tc>
          <w:tcPr>
            <w:tcW w:w="2227" w:type="dxa"/>
            <w:shd w:val="clear" w:color="auto" w:fill="FFFFFF"/>
            <w:vAlign w:val="center"/>
          </w:tcPr>
          <w:p w:rsidR="00B07AB8" w:rsidRPr="00C54B76" w:rsidRDefault="00B07AB8" w:rsidP="00B07AB8">
            <w:pPr>
              <w:spacing w:after="0" w:line="240" w:lineRule="auto"/>
              <w:ind w:left="125"/>
              <w:rPr>
                <w:rFonts w:ascii="Arial Narrow" w:hAnsi="Arial Narrow" w:cs="Arial"/>
                <w:sz w:val="20"/>
                <w:szCs w:val="20"/>
              </w:rPr>
            </w:pPr>
            <w:r w:rsidRPr="00C54B76">
              <w:rPr>
                <w:rFonts w:ascii="Arial Narrow" w:hAnsi="Arial Narrow" w:cs="Arial"/>
                <w:sz w:val="20"/>
                <w:szCs w:val="20"/>
              </w:rPr>
              <w:t>Удовлетворительно</w:t>
            </w:r>
          </w:p>
        </w:tc>
        <w:tc>
          <w:tcPr>
            <w:tcW w:w="1014" w:type="dxa"/>
            <w:shd w:val="clear" w:color="auto" w:fill="FFFFFF"/>
            <w:vAlign w:val="center"/>
          </w:tcPr>
          <w:p w:rsidR="00B07AB8" w:rsidRPr="00C54B76" w:rsidRDefault="00B07AB8" w:rsidP="00B07AB8">
            <w:pPr>
              <w:spacing w:after="0" w:line="240" w:lineRule="auto"/>
              <w:ind w:left="125"/>
              <w:rPr>
                <w:rFonts w:ascii="Arial Narrow" w:hAnsi="Arial Narrow" w:cs="Arial"/>
                <w:sz w:val="20"/>
                <w:szCs w:val="20"/>
              </w:rPr>
            </w:pPr>
            <w:r w:rsidRPr="00C54B76">
              <w:rPr>
                <w:rFonts w:ascii="Arial Narrow" w:eastAsia="Calibri" w:hAnsi="Arial Narrow" w:cs="Arial"/>
                <w:sz w:val="20"/>
                <w:szCs w:val="20"/>
              </w:rPr>
              <w:t>36,8%</w:t>
            </w:r>
          </w:p>
        </w:tc>
      </w:tr>
      <w:tr w:rsidR="00B07AB8" w:rsidRPr="00C54B76" w:rsidTr="003425A3">
        <w:trPr>
          <w:cantSplit/>
        </w:trPr>
        <w:tc>
          <w:tcPr>
            <w:tcW w:w="2459" w:type="dxa"/>
            <w:vMerge/>
            <w:shd w:val="clear" w:color="auto" w:fill="FFFFFF"/>
            <w:vAlign w:val="center"/>
          </w:tcPr>
          <w:p w:rsidR="00B07AB8" w:rsidRPr="00C54B76" w:rsidRDefault="00B07AB8" w:rsidP="00B07AB8">
            <w:pPr>
              <w:spacing w:after="0" w:line="240" w:lineRule="auto"/>
              <w:ind w:left="125"/>
              <w:rPr>
                <w:rFonts w:ascii="Arial Narrow" w:hAnsi="Arial Narrow" w:cs="Arial"/>
                <w:sz w:val="20"/>
                <w:szCs w:val="20"/>
              </w:rPr>
            </w:pPr>
          </w:p>
        </w:tc>
        <w:tc>
          <w:tcPr>
            <w:tcW w:w="2227" w:type="dxa"/>
            <w:shd w:val="clear" w:color="auto" w:fill="FFFFFF"/>
            <w:vAlign w:val="center"/>
          </w:tcPr>
          <w:p w:rsidR="00B07AB8" w:rsidRPr="00C54B76" w:rsidRDefault="00B07AB8" w:rsidP="00B07AB8">
            <w:pPr>
              <w:spacing w:after="0" w:line="240" w:lineRule="auto"/>
              <w:ind w:left="125"/>
              <w:rPr>
                <w:rFonts w:ascii="Arial Narrow" w:hAnsi="Arial Narrow" w:cs="Arial"/>
                <w:sz w:val="20"/>
                <w:szCs w:val="20"/>
              </w:rPr>
            </w:pPr>
            <w:r w:rsidRPr="00C54B76">
              <w:rPr>
                <w:rFonts w:ascii="Arial Narrow" w:hAnsi="Arial Narrow" w:cs="Arial"/>
                <w:sz w:val="20"/>
                <w:szCs w:val="20"/>
              </w:rPr>
              <w:t>Неудовлетворительно</w:t>
            </w:r>
          </w:p>
        </w:tc>
        <w:tc>
          <w:tcPr>
            <w:tcW w:w="1014" w:type="dxa"/>
            <w:shd w:val="clear" w:color="auto" w:fill="FFFFFF"/>
            <w:vAlign w:val="center"/>
          </w:tcPr>
          <w:p w:rsidR="00B07AB8" w:rsidRPr="00C54B76" w:rsidRDefault="00B07AB8" w:rsidP="00B07AB8">
            <w:pPr>
              <w:spacing w:after="0" w:line="240" w:lineRule="auto"/>
              <w:ind w:left="125"/>
              <w:rPr>
                <w:rFonts w:ascii="Arial Narrow" w:hAnsi="Arial Narrow" w:cs="Arial"/>
                <w:sz w:val="20"/>
                <w:szCs w:val="20"/>
              </w:rPr>
            </w:pPr>
            <w:r w:rsidRPr="00C54B76">
              <w:rPr>
                <w:rFonts w:ascii="Arial Narrow" w:eastAsia="Calibri" w:hAnsi="Arial Narrow" w:cs="Arial"/>
                <w:sz w:val="20"/>
                <w:szCs w:val="20"/>
              </w:rPr>
              <w:t>16,1%</w:t>
            </w:r>
          </w:p>
        </w:tc>
      </w:tr>
      <w:tr w:rsidR="00B07AB8" w:rsidRPr="00C54B76" w:rsidTr="003425A3">
        <w:trPr>
          <w:cantSplit/>
        </w:trPr>
        <w:tc>
          <w:tcPr>
            <w:tcW w:w="2459" w:type="dxa"/>
            <w:vMerge/>
            <w:shd w:val="clear" w:color="auto" w:fill="FFFFFF"/>
            <w:vAlign w:val="center"/>
          </w:tcPr>
          <w:p w:rsidR="00B07AB8" w:rsidRPr="00C54B76" w:rsidRDefault="00B07AB8" w:rsidP="00B07AB8">
            <w:pPr>
              <w:spacing w:after="0" w:line="240" w:lineRule="auto"/>
              <w:ind w:left="125"/>
              <w:rPr>
                <w:rFonts w:ascii="Arial Narrow" w:hAnsi="Arial Narrow" w:cs="Arial"/>
                <w:sz w:val="20"/>
                <w:szCs w:val="20"/>
              </w:rPr>
            </w:pPr>
          </w:p>
        </w:tc>
        <w:tc>
          <w:tcPr>
            <w:tcW w:w="2227" w:type="dxa"/>
            <w:shd w:val="clear" w:color="auto" w:fill="FFFFFF"/>
            <w:vAlign w:val="center"/>
          </w:tcPr>
          <w:p w:rsidR="00B07AB8" w:rsidRPr="00C54B76" w:rsidRDefault="00B07AB8" w:rsidP="00B07AB8">
            <w:pPr>
              <w:spacing w:after="0" w:line="240" w:lineRule="auto"/>
              <w:ind w:left="125"/>
              <w:rPr>
                <w:rFonts w:ascii="Arial Narrow" w:hAnsi="Arial Narrow" w:cs="Arial"/>
                <w:sz w:val="20"/>
                <w:szCs w:val="20"/>
              </w:rPr>
            </w:pPr>
            <w:r w:rsidRPr="00C54B76">
              <w:rPr>
                <w:rFonts w:ascii="Arial Narrow" w:hAnsi="Arial Narrow" w:cs="Arial"/>
                <w:sz w:val="20"/>
                <w:szCs w:val="20"/>
              </w:rPr>
              <w:t>Затрудняюсь ответить</w:t>
            </w:r>
          </w:p>
        </w:tc>
        <w:tc>
          <w:tcPr>
            <w:tcW w:w="1014" w:type="dxa"/>
            <w:shd w:val="clear" w:color="auto" w:fill="FFFFFF"/>
            <w:vAlign w:val="center"/>
          </w:tcPr>
          <w:p w:rsidR="00B07AB8" w:rsidRPr="00C54B76" w:rsidRDefault="00B07AB8" w:rsidP="00B07AB8">
            <w:pPr>
              <w:spacing w:after="0" w:line="240" w:lineRule="auto"/>
              <w:ind w:left="125"/>
              <w:rPr>
                <w:rFonts w:ascii="Arial Narrow" w:hAnsi="Arial Narrow" w:cs="Arial"/>
                <w:sz w:val="20"/>
                <w:szCs w:val="20"/>
              </w:rPr>
            </w:pPr>
            <w:r w:rsidRPr="00C54B76">
              <w:rPr>
                <w:rFonts w:ascii="Arial Narrow" w:eastAsia="Calibri" w:hAnsi="Arial Narrow" w:cs="Arial"/>
                <w:sz w:val="20"/>
                <w:szCs w:val="20"/>
              </w:rPr>
              <w:t>47,1%</w:t>
            </w:r>
          </w:p>
        </w:tc>
      </w:tr>
      <w:tr w:rsidR="00B07AB8" w:rsidRPr="00C54B76" w:rsidTr="003425A3">
        <w:trPr>
          <w:cantSplit/>
        </w:trPr>
        <w:tc>
          <w:tcPr>
            <w:tcW w:w="2459" w:type="dxa"/>
            <w:vMerge w:val="restart"/>
            <w:shd w:val="clear" w:color="auto" w:fill="FFFFFF"/>
            <w:vAlign w:val="center"/>
          </w:tcPr>
          <w:p w:rsidR="00B07AB8" w:rsidRPr="00C54B76" w:rsidRDefault="00B07AB8" w:rsidP="00B07AB8">
            <w:pPr>
              <w:spacing w:after="0" w:line="240" w:lineRule="auto"/>
              <w:ind w:left="125"/>
              <w:rPr>
                <w:rFonts w:ascii="Arial Narrow" w:hAnsi="Arial Narrow" w:cs="Arial"/>
                <w:sz w:val="20"/>
                <w:szCs w:val="20"/>
              </w:rPr>
            </w:pPr>
            <w:r w:rsidRPr="00C54B76">
              <w:rPr>
                <w:rFonts w:ascii="Arial Narrow" w:hAnsi="Arial Narrow" w:cs="Arial"/>
                <w:sz w:val="20"/>
                <w:szCs w:val="20"/>
              </w:rPr>
              <w:t>Теплоснабжение</w:t>
            </w:r>
          </w:p>
        </w:tc>
        <w:tc>
          <w:tcPr>
            <w:tcW w:w="2227" w:type="dxa"/>
            <w:shd w:val="clear" w:color="auto" w:fill="FFFFFF"/>
            <w:vAlign w:val="center"/>
          </w:tcPr>
          <w:p w:rsidR="00B07AB8" w:rsidRPr="00C54B76" w:rsidRDefault="00B07AB8" w:rsidP="00B07AB8">
            <w:pPr>
              <w:spacing w:after="0" w:line="240" w:lineRule="auto"/>
              <w:ind w:left="125"/>
              <w:rPr>
                <w:rFonts w:ascii="Arial Narrow" w:hAnsi="Arial Narrow" w:cs="Arial"/>
                <w:sz w:val="20"/>
                <w:szCs w:val="20"/>
              </w:rPr>
            </w:pPr>
            <w:r w:rsidRPr="00C54B76">
              <w:rPr>
                <w:rFonts w:ascii="Arial Narrow" w:hAnsi="Arial Narrow" w:cs="Arial"/>
                <w:sz w:val="20"/>
                <w:szCs w:val="20"/>
              </w:rPr>
              <w:t>Удовлетворительно</w:t>
            </w:r>
          </w:p>
        </w:tc>
        <w:tc>
          <w:tcPr>
            <w:tcW w:w="1014" w:type="dxa"/>
            <w:shd w:val="clear" w:color="auto" w:fill="FFFFFF"/>
            <w:vAlign w:val="center"/>
          </w:tcPr>
          <w:p w:rsidR="00B07AB8" w:rsidRPr="00C54B76" w:rsidRDefault="00B07AB8" w:rsidP="00B07AB8">
            <w:pPr>
              <w:spacing w:after="0" w:line="240" w:lineRule="auto"/>
              <w:ind w:left="125"/>
              <w:rPr>
                <w:rFonts w:ascii="Arial Narrow" w:hAnsi="Arial Narrow" w:cs="Arial"/>
                <w:sz w:val="20"/>
                <w:szCs w:val="20"/>
              </w:rPr>
            </w:pPr>
            <w:r w:rsidRPr="00C54B76">
              <w:rPr>
                <w:rFonts w:ascii="Arial Narrow" w:eastAsia="Calibri" w:hAnsi="Arial Narrow" w:cs="Arial"/>
                <w:sz w:val="20"/>
                <w:szCs w:val="20"/>
              </w:rPr>
              <w:t>35,3%</w:t>
            </w:r>
          </w:p>
        </w:tc>
      </w:tr>
      <w:tr w:rsidR="00B07AB8" w:rsidRPr="00C54B76" w:rsidTr="003425A3">
        <w:trPr>
          <w:cantSplit/>
        </w:trPr>
        <w:tc>
          <w:tcPr>
            <w:tcW w:w="2459" w:type="dxa"/>
            <w:vMerge/>
            <w:shd w:val="clear" w:color="auto" w:fill="FFFFFF"/>
            <w:vAlign w:val="center"/>
          </w:tcPr>
          <w:p w:rsidR="00B07AB8" w:rsidRPr="00C54B76" w:rsidRDefault="00B07AB8" w:rsidP="00B07AB8">
            <w:pPr>
              <w:spacing w:after="0" w:line="240" w:lineRule="auto"/>
              <w:ind w:left="125"/>
              <w:rPr>
                <w:rFonts w:ascii="Arial Narrow" w:hAnsi="Arial Narrow" w:cs="Arial"/>
                <w:sz w:val="20"/>
                <w:szCs w:val="20"/>
              </w:rPr>
            </w:pPr>
          </w:p>
        </w:tc>
        <w:tc>
          <w:tcPr>
            <w:tcW w:w="2227" w:type="dxa"/>
            <w:shd w:val="clear" w:color="auto" w:fill="FFFFFF"/>
            <w:vAlign w:val="center"/>
          </w:tcPr>
          <w:p w:rsidR="00B07AB8" w:rsidRPr="00C54B76" w:rsidRDefault="00B07AB8" w:rsidP="00B07AB8">
            <w:pPr>
              <w:spacing w:after="0" w:line="240" w:lineRule="auto"/>
              <w:ind w:left="125"/>
              <w:rPr>
                <w:rFonts w:ascii="Arial Narrow" w:hAnsi="Arial Narrow" w:cs="Arial"/>
                <w:sz w:val="20"/>
                <w:szCs w:val="20"/>
              </w:rPr>
            </w:pPr>
            <w:r w:rsidRPr="00C54B76">
              <w:rPr>
                <w:rFonts w:ascii="Arial Narrow" w:hAnsi="Arial Narrow" w:cs="Arial"/>
                <w:sz w:val="20"/>
                <w:szCs w:val="20"/>
              </w:rPr>
              <w:t>Неудовлетворительно</w:t>
            </w:r>
          </w:p>
        </w:tc>
        <w:tc>
          <w:tcPr>
            <w:tcW w:w="1014" w:type="dxa"/>
            <w:shd w:val="clear" w:color="auto" w:fill="FFFFFF"/>
            <w:vAlign w:val="center"/>
          </w:tcPr>
          <w:p w:rsidR="00B07AB8" w:rsidRPr="00C54B76" w:rsidRDefault="00B07AB8" w:rsidP="00B07AB8">
            <w:pPr>
              <w:spacing w:after="0" w:line="240" w:lineRule="auto"/>
              <w:ind w:left="125"/>
              <w:rPr>
                <w:rFonts w:ascii="Arial Narrow" w:hAnsi="Arial Narrow" w:cs="Arial"/>
                <w:sz w:val="20"/>
                <w:szCs w:val="20"/>
              </w:rPr>
            </w:pPr>
            <w:r w:rsidRPr="00C54B76">
              <w:rPr>
                <w:rFonts w:ascii="Arial Narrow" w:eastAsia="Calibri" w:hAnsi="Arial Narrow" w:cs="Arial"/>
                <w:sz w:val="20"/>
                <w:szCs w:val="20"/>
              </w:rPr>
              <w:t>13,6%</w:t>
            </w:r>
          </w:p>
        </w:tc>
      </w:tr>
      <w:tr w:rsidR="00B07AB8" w:rsidRPr="00C54B76" w:rsidTr="003425A3">
        <w:trPr>
          <w:cantSplit/>
        </w:trPr>
        <w:tc>
          <w:tcPr>
            <w:tcW w:w="2459" w:type="dxa"/>
            <w:vMerge/>
            <w:shd w:val="clear" w:color="auto" w:fill="FFFFFF"/>
            <w:vAlign w:val="center"/>
          </w:tcPr>
          <w:p w:rsidR="00B07AB8" w:rsidRPr="00C54B76" w:rsidRDefault="00B07AB8" w:rsidP="00B07AB8">
            <w:pPr>
              <w:spacing w:after="0" w:line="240" w:lineRule="auto"/>
              <w:ind w:left="125"/>
              <w:rPr>
                <w:rFonts w:ascii="Arial Narrow" w:hAnsi="Arial Narrow" w:cs="Arial"/>
                <w:sz w:val="20"/>
                <w:szCs w:val="20"/>
              </w:rPr>
            </w:pPr>
          </w:p>
        </w:tc>
        <w:tc>
          <w:tcPr>
            <w:tcW w:w="2227" w:type="dxa"/>
            <w:shd w:val="clear" w:color="auto" w:fill="FFFFFF"/>
            <w:vAlign w:val="center"/>
          </w:tcPr>
          <w:p w:rsidR="00B07AB8" w:rsidRPr="00C54B76" w:rsidRDefault="00B07AB8" w:rsidP="00B07AB8">
            <w:pPr>
              <w:spacing w:after="0" w:line="240" w:lineRule="auto"/>
              <w:ind w:left="125"/>
              <w:rPr>
                <w:rFonts w:ascii="Arial Narrow" w:hAnsi="Arial Narrow" w:cs="Arial"/>
                <w:sz w:val="20"/>
                <w:szCs w:val="20"/>
              </w:rPr>
            </w:pPr>
            <w:r w:rsidRPr="00C54B76">
              <w:rPr>
                <w:rFonts w:ascii="Arial Narrow" w:hAnsi="Arial Narrow" w:cs="Arial"/>
                <w:sz w:val="20"/>
                <w:szCs w:val="20"/>
              </w:rPr>
              <w:t>Затрудняюсь ответить</w:t>
            </w:r>
          </w:p>
        </w:tc>
        <w:tc>
          <w:tcPr>
            <w:tcW w:w="1014" w:type="dxa"/>
            <w:shd w:val="clear" w:color="auto" w:fill="FFFFFF"/>
            <w:vAlign w:val="center"/>
          </w:tcPr>
          <w:p w:rsidR="00B07AB8" w:rsidRPr="00C54B76" w:rsidRDefault="00B07AB8" w:rsidP="00B07AB8">
            <w:pPr>
              <w:spacing w:after="0" w:line="240" w:lineRule="auto"/>
              <w:ind w:left="125"/>
              <w:rPr>
                <w:rFonts w:ascii="Arial Narrow" w:hAnsi="Arial Narrow" w:cs="Arial"/>
                <w:sz w:val="20"/>
                <w:szCs w:val="20"/>
              </w:rPr>
            </w:pPr>
            <w:r w:rsidRPr="00C54B76">
              <w:rPr>
                <w:rFonts w:ascii="Arial Narrow" w:eastAsia="Calibri" w:hAnsi="Arial Narrow" w:cs="Arial"/>
                <w:sz w:val="20"/>
                <w:szCs w:val="20"/>
              </w:rPr>
              <w:t>51,2%</w:t>
            </w:r>
          </w:p>
        </w:tc>
      </w:tr>
    </w:tbl>
    <w:p w:rsidR="00A64028" w:rsidRDefault="00A64028" w:rsidP="00A64028">
      <w:pPr>
        <w:rPr>
          <w:rFonts w:ascii="Arial Narrow" w:hAnsi="Arial Narrow"/>
          <w:b/>
          <w:bCs/>
          <w:sz w:val="26"/>
          <w:szCs w:val="26"/>
        </w:rPr>
      </w:pPr>
      <w:bookmarkStart w:id="31" w:name="_Toc475532255"/>
    </w:p>
    <w:p w:rsidR="00B07AB8" w:rsidRPr="00B07AB8" w:rsidRDefault="00B07AB8" w:rsidP="00A64028">
      <w:pPr>
        <w:rPr>
          <w:rFonts w:ascii="Arial Narrow" w:hAnsi="Arial Narrow"/>
          <w:b/>
          <w:bCs/>
          <w:sz w:val="26"/>
          <w:szCs w:val="26"/>
        </w:rPr>
      </w:pPr>
      <w:r w:rsidRPr="00B07AB8">
        <w:rPr>
          <w:rFonts w:ascii="Arial Narrow" w:hAnsi="Arial Narrow"/>
          <w:b/>
          <w:bCs/>
          <w:sz w:val="26"/>
          <w:szCs w:val="26"/>
        </w:rPr>
        <w:t>5.5.1.3.1. Удовлетворенность сроками получения доступа к услугам электроснабжения в разрезе отраслевой принадлежности, величины и местонахождения субъектов предпринимательства</w:t>
      </w:r>
      <w:bookmarkEnd w:id="31"/>
    </w:p>
    <w:p w:rsidR="00B07AB8" w:rsidRPr="00B07AB8" w:rsidRDefault="00B07AB8" w:rsidP="00B07AB8">
      <w:pPr>
        <w:spacing w:after="0" w:line="360" w:lineRule="auto"/>
        <w:ind w:firstLine="567"/>
        <w:jc w:val="both"/>
        <w:rPr>
          <w:rFonts w:ascii="Arial Narrow" w:hAnsi="Arial Narrow"/>
          <w:sz w:val="24"/>
          <w:szCs w:val="24"/>
        </w:rPr>
      </w:pP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Самые высокие доли субъектов предпринимательства, удовлетворенных сроками получения доступа к услугам электроснабжения (60 % и более), зафиксированы среди следующих групп респондентов:</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 субъекты предпринимательства, ведущие деятельность в Усть-Таркском (83,3 %), Купинском (80,0 %), Барабинском (73,7 %), Карасукском (70,6 %), Куйбышевском (69,2 %), Колыванском (65,2 %), Ордынском (63,2 %) районах.</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Среди социально значимых и приоритетных рынков нет таких, представители которых давали бы оценки значительно выше среднего значения (36,8 %).</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Средние и малые предприятия удовлетворены данным параметром примерно в одинаковой степени (36,4 % и 36, 8% соответственно).</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Меньше всего удовлетворены сроками получения доступа к услугам электроснабжения представители рынка услуг дошкольного образования (0,0 %), перевозок пассажиров наземным транспортом (3,3 %), рынка услуг психолого-педагогического сопровождения детей с ограниченными возможностями здоровья (16,0 %), рынка услуг по сбору, сортировке и переработке твердых коммунальных (бытовых) отходов (20,0 %), рынка услуг детского отдыха и оздоровления (20,0 %), организации, ведущие деятельность в р. п. Кольцово (0,0 %), Каргатском (16,7 %) районе.</w:t>
      </w:r>
    </w:p>
    <w:p w:rsidR="00B07AB8" w:rsidRPr="00B07AB8" w:rsidRDefault="00B07AB8" w:rsidP="00B07AB8">
      <w:pPr>
        <w:jc w:val="center"/>
        <w:rPr>
          <w:rFonts w:ascii="Arial Narrow" w:hAnsi="Arial Narrow"/>
          <w:bCs/>
        </w:rPr>
      </w:pPr>
      <w:r w:rsidRPr="00B07AB8">
        <w:rPr>
          <w:rFonts w:ascii="Arial Narrow" w:hAnsi="Arial Narrow"/>
          <w:noProof/>
          <w:lang w:eastAsia="ru-RU"/>
        </w:rPr>
        <w:lastRenderedPageBreak/>
        <w:drawing>
          <wp:inline distT="0" distB="0" distL="0" distR="0">
            <wp:extent cx="6392849" cy="5311471"/>
            <wp:effectExtent l="0" t="0" r="0" b="0"/>
            <wp:docPr id="573"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B07AB8" w:rsidRPr="00B07AB8" w:rsidRDefault="00B07AB8" w:rsidP="00B07AB8">
      <w:pPr>
        <w:jc w:val="center"/>
        <w:rPr>
          <w:rFonts w:ascii="Arial Narrow" w:hAnsi="Arial Narrow"/>
          <w:b/>
          <w:bCs/>
        </w:rPr>
      </w:pPr>
      <w:r w:rsidRPr="00B07AB8">
        <w:rPr>
          <w:rFonts w:ascii="Arial Narrow" w:hAnsi="Arial Narrow"/>
          <w:bCs/>
        </w:rPr>
        <w:t xml:space="preserve">Диаграмма 5.5.28 </w:t>
      </w:r>
      <w:r w:rsidRPr="00B07AB8">
        <w:rPr>
          <w:rFonts w:ascii="Arial Narrow" w:hAnsi="Arial Narrow"/>
          <w:b/>
          <w:bCs/>
        </w:rPr>
        <w:t>– Удовлетворенность субъектов предпринимательской деятельности сроками получения доступа к услугам электроснабжения, в % от числа опрошенных по сферам деятельности</w:t>
      </w:r>
    </w:p>
    <w:p w:rsidR="00B07AB8" w:rsidRPr="00B07AB8" w:rsidRDefault="00B07AB8" w:rsidP="00B07AB8">
      <w:pPr>
        <w:jc w:val="right"/>
        <w:rPr>
          <w:rFonts w:ascii="Arial Narrow" w:hAnsi="Arial Narrow"/>
          <w:b/>
          <w:bCs/>
          <w:color w:val="595959"/>
          <w:sz w:val="20"/>
          <w:szCs w:val="20"/>
        </w:rPr>
      </w:pPr>
    </w:p>
    <w:p w:rsidR="00B07AB8" w:rsidRPr="00B07AB8" w:rsidRDefault="00B07AB8" w:rsidP="00B07AB8">
      <w:pPr>
        <w:ind w:firstLine="567"/>
        <w:jc w:val="center"/>
        <w:rPr>
          <w:rFonts w:ascii="Arial Narrow" w:hAnsi="Arial Narrow"/>
          <w:bCs/>
        </w:rPr>
      </w:pPr>
      <w:r w:rsidRPr="00B07AB8">
        <w:rPr>
          <w:rFonts w:ascii="Arial Narrow" w:hAnsi="Arial Narrow"/>
          <w:noProof/>
          <w:lang w:eastAsia="ru-RU"/>
        </w:rPr>
        <w:drawing>
          <wp:inline distT="0" distB="0" distL="0" distR="0">
            <wp:extent cx="6035040" cy="1804946"/>
            <wp:effectExtent l="0" t="0" r="0" b="0"/>
            <wp:docPr id="574"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B07AB8" w:rsidRPr="00B07AB8" w:rsidRDefault="00B07AB8" w:rsidP="00B07AB8">
      <w:pPr>
        <w:ind w:firstLine="567"/>
        <w:jc w:val="center"/>
        <w:rPr>
          <w:rFonts w:ascii="Arial Narrow" w:hAnsi="Arial Narrow"/>
          <w:b/>
          <w:bCs/>
        </w:rPr>
      </w:pPr>
      <w:r w:rsidRPr="00B07AB8">
        <w:rPr>
          <w:rFonts w:ascii="Arial Narrow" w:hAnsi="Arial Narrow"/>
          <w:bCs/>
        </w:rPr>
        <w:t>Диаграмма 5.5.29</w:t>
      </w:r>
      <w:r w:rsidRPr="00B07AB8">
        <w:rPr>
          <w:rFonts w:ascii="Arial Narrow" w:hAnsi="Arial Narrow"/>
          <w:b/>
          <w:bCs/>
        </w:rPr>
        <w:t xml:space="preserve"> – Удовлетворенность субъектов предпринимательской деятельности сроками получения доступа к услугам электроснабжения, в % от числа опрошенных в группах по величине предприятий</w:t>
      </w:r>
    </w:p>
    <w:p w:rsidR="00B07AB8" w:rsidRPr="00B07AB8" w:rsidRDefault="00B07AB8" w:rsidP="00A64028">
      <w:pPr>
        <w:jc w:val="center"/>
        <w:rPr>
          <w:rFonts w:ascii="Arial Narrow" w:hAnsi="Arial Narrow"/>
          <w:b/>
          <w:bCs/>
          <w:sz w:val="26"/>
          <w:szCs w:val="26"/>
        </w:rPr>
      </w:pPr>
      <w:r w:rsidRPr="00B07AB8">
        <w:rPr>
          <w:rFonts w:ascii="Arial Narrow" w:hAnsi="Arial Narrow"/>
          <w:noProof/>
          <w:color w:val="986297"/>
          <w:lang w:eastAsia="ru-RU"/>
        </w:rPr>
        <w:lastRenderedPageBreak/>
        <w:drawing>
          <wp:inline distT="0" distB="0" distL="0" distR="0">
            <wp:extent cx="6368994" cy="8094428"/>
            <wp:effectExtent l="0" t="0" r="0" b="0"/>
            <wp:docPr id="575"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r w:rsidRPr="00B07AB8">
        <w:rPr>
          <w:rFonts w:ascii="Arial Narrow" w:hAnsi="Arial Narrow"/>
          <w:bCs/>
        </w:rPr>
        <w:t>Диаграмма 5.5.30</w:t>
      </w:r>
      <w:r w:rsidRPr="00B07AB8">
        <w:rPr>
          <w:rFonts w:ascii="Arial Narrow" w:hAnsi="Arial Narrow"/>
          <w:b/>
          <w:bCs/>
        </w:rPr>
        <w:t xml:space="preserve"> – Удовлетворенность субъектов предпринимательской деятельности сроками получения доступа к услугам электроснабжения, в % от числа опрошенных по территориям</w:t>
      </w:r>
      <w:r w:rsidRPr="00B07AB8">
        <w:rPr>
          <w:rFonts w:ascii="Arial Narrow" w:hAnsi="Arial Narrow"/>
          <w:b/>
          <w:bCs/>
          <w:sz w:val="26"/>
          <w:szCs w:val="26"/>
        </w:rPr>
        <w:br w:type="page"/>
      </w:r>
    </w:p>
    <w:p w:rsidR="00B07AB8" w:rsidRPr="00B07AB8" w:rsidRDefault="00B07AB8" w:rsidP="00A43AC6">
      <w:pPr>
        <w:jc w:val="both"/>
        <w:outlineLvl w:val="2"/>
        <w:rPr>
          <w:rFonts w:ascii="Arial Narrow" w:hAnsi="Arial Narrow"/>
          <w:b/>
          <w:bCs/>
          <w:sz w:val="26"/>
          <w:szCs w:val="26"/>
        </w:rPr>
      </w:pPr>
      <w:bookmarkStart w:id="32" w:name="_Toc475532256"/>
      <w:r w:rsidRPr="00B07AB8">
        <w:rPr>
          <w:rFonts w:ascii="Arial Narrow" w:hAnsi="Arial Narrow"/>
          <w:b/>
          <w:bCs/>
          <w:sz w:val="26"/>
          <w:szCs w:val="26"/>
        </w:rPr>
        <w:lastRenderedPageBreak/>
        <w:t>5.5.1.3.2. Удовлетворенность сроками получения доступа к услугам водоснабжения/водоотведения в разрезе отраслевой принадлежности, величины и местонахождения субъектов предпринимательства</w:t>
      </w:r>
      <w:bookmarkEnd w:id="32"/>
    </w:p>
    <w:p w:rsidR="00B07AB8" w:rsidRPr="00B07AB8" w:rsidRDefault="00B07AB8" w:rsidP="00B07AB8">
      <w:pPr>
        <w:ind w:firstLine="567"/>
        <w:jc w:val="center"/>
        <w:rPr>
          <w:rFonts w:ascii="Arial Narrow" w:hAnsi="Arial Narrow"/>
        </w:rPr>
      </w:pP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Самые высокие доли субъектов предпринимательства, удовлетворенных сроками получения доступа к услугам водоснабжения/водоотведения (60 % и более), зафиксированы среди следующих групп респондентов:</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 xml:space="preserve">- субъекты предпринимательства, ведущие деятельность в Кыштовском (83,3 %), Баганском (75,0 %), Барабинском (73,7 %), Карасукском (70,6 %), Здвинском (66,7 %), Купинском (66,7 %), Северном (66,7 %) Усть-Таркском (66,7 %), Куйбышевском (65,4 %), Краснозерском (62,5 %), Сузунском (62,5 %) районах. </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Среди социально значимых и приоритетных рынков нет таких, представители которых давали бы оценки значительно выше среднего значения (36,9 %).</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Средние и малые предприятия удовлетворены данным параметром примерно в одинаковой степени (36,4 % и 36,9 % соответственно).</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Меньше всего удовлетворены сроками получения доступа к услугам водоснабжения/водоотведения представители рынка услуг дошкольного образования (0,0 %), услуг перевозок пассажиров наземным транспортом (3,3 %), рынка услуг психолого-педагогического сопровождения детей с ограниченными возможностями здоровья (16,0 %), рынка услуг по сбору, сортировке и переработке твердых коммунальных (бытовых) отходов (20,0 %), рынка услуг социального обслуживания населения (20,0 %), рынка услуг дополнительного образования детей (20,0 %), детского отдыха и оздоровления (20,0 %), организации, ведущие деятельность в р. п. Кольцово (0,0 %), Каргатском (16,7 %), Новосибирском (18,2 %) районах.</w:t>
      </w:r>
    </w:p>
    <w:p w:rsidR="00B07AB8" w:rsidRPr="00B07AB8" w:rsidRDefault="00B07AB8" w:rsidP="00B07AB8">
      <w:pPr>
        <w:spacing w:after="0" w:line="360" w:lineRule="auto"/>
        <w:rPr>
          <w:rFonts w:ascii="Arial Narrow" w:hAnsi="Arial Narrow"/>
          <w:b/>
          <w:bCs/>
          <w:color w:val="595959"/>
          <w:sz w:val="12"/>
          <w:szCs w:val="12"/>
        </w:rPr>
      </w:pPr>
    </w:p>
    <w:p w:rsidR="00B07AB8" w:rsidRPr="00B07AB8" w:rsidRDefault="00B07AB8" w:rsidP="00B07AB8">
      <w:pPr>
        <w:jc w:val="center"/>
        <w:rPr>
          <w:rFonts w:ascii="Arial Narrow" w:hAnsi="Arial Narrow"/>
          <w:bCs/>
        </w:rPr>
      </w:pPr>
      <w:r w:rsidRPr="00B07AB8">
        <w:rPr>
          <w:rFonts w:ascii="Arial Narrow" w:hAnsi="Arial Narrow"/>
          <w:noProof/>
          <w:lang w:eastAsia="ru-RU"/>
        </w:rPr>
        <w:lastRenderedPageBreak/>
        <w:drawing>
          <wp:inline distT="0" distB="0" distL="0" distR="0">
            <wp:extent cx="6432606" cy="5422789"/>
            <wp:effectExtent l="0" t="0" r="0" b="0"/>
            <wp:docPr id="576"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B07AB8" w:rsidRPr="00B07AB8" w:rsidRDefault="00B07AB8" w:rsidP="00B07AB8">
      <w:pPr>
        <w:jc w:val="center"/>
        <w:rPr>
          <w:rFonts w:ascii="Arial Narrow" w:hAnsi="Arial Narrow"/>
          <w:b/>
          <w:bCs/>
        </w:rPr>
      </w:pPr>
      <w:r w:rsidRPr="00B07AB8">
        <w:rPr>
          <w:rFonts w:ascii="Arial Narrow" w:hAnsi="Arial Narrow"/>
          <w:bCs/>
        </w:rPr>
        <w:t>Диаграмма 5.5.31</w:t>
      </w:r>
      <w:r w:rsidRPr="00B07AB8">
        <w:rPr>
          <w:rFonts w:ascii="Arial Narrow" w:hAnsi="Arial Narrow"/>
          <w:b/>
          <w:bCs/>
        </w:rPr>
        <w:t xml:space="preserve"> – Удовлетворенность субъектов предпринимательской деятельности сроками получения доступа к услугам водоснабжения, водоотведения, в % от числа опрошенных по сферам деятельности</w:t>
      </w:r>
    </w:p>
    <w:p w:rsidR="00B07AB8" w:rsidRPr="00B07AB8" w:rsidRDefault="00B07AB8" w:rsidP="00B07AB8">
      <w:pPr>
        <w:jc w:val="center"/>
        <w:rPr>
          <w:rFonts w:ascii="Arial Narrow" w:hAnsi="Arial Narrow"/>
          <w:b/>
          <w:bCs/>
        </w:rPr>
      </w:pPr>
    </w:p>
    <w:p w:rsidR="00B07AB8" w:rsidRPr="00B07AB8" w:rsidRDefault="00B07AB8" w:rsidP="00B07AB8">
      <w:pPr>
        <w:ind w:firstLine="567"/>
        <w:jc w:val="both"/>
        <w:rPr>
          <w:rFonts w:ascii="Arial Narrow" w:hAnsi="Arial Narrow"/>
        </w:rPr>
      </w:pPr>
      <w:r w:rsidRPr="00B07AB8">
        <w:rPr>
          <w:rFonts w:ascii="Arial Narrow" w:hAnsi="Arial Narrow"/>
          <w:noProof/>
          <w:lang w:eastAsia="ru-RU"/>
        </w:rPr>
        <w:drawing>
          <wp:inline distT="0" distB="0" distL="0" distR="0">
            <wp:extent cx="6031406" cy="1707688"/>
            <wp:effectExtent l="0" t="0" r="0" b="0"/>
            <wp:docPr id="577"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B07AB8" w:rsidRPr="00B07AB8" w:rsidRDefault="00B07AB8" w:rsidP="00B07AB8">
      <w:pPr>
        <w:jc w:val="center"/>
        <w:rPr>
          <w:rFonts w:ascii="Arial Narrow" w:hAnsi="Arial Narrow"/>
          <w:b/>
          <w:bCs/>
        </w:rPr>
      </w:pPr>
      <w:r w:rsidRPr="00B07AB8">
        <w:rPr>
          <w:rFonts w:ascii="Arial Narrow" w:hAnsi="Arial Narrow"/>
          <w:bCs/>
        </w:rPr>
        <w:t>Диаграмма 5.5.32</w:t>
      </w:r>
      <w:r w:rsidRPr="00B07AB8">
        <w:rPr>
          <w:rFonts w:ascii="Arial Narrow" w:hAnsi="Arial Narrow"/>
          <w:b/>
          <w:bCs/>
        </w:rPr>
        <w:t xml:space="preserve"> – Удовлетворенность субъектов предпринимательской деятельности сроками получения доступа к услугам водоснабжения, водоотведения, в % от числа опрошенных в группах по величине предприятий</w:t>
      </w:r>
    </w:p>
    <w:p w:rsidR="00B07AB8" w:rsidRPr="00B07AB8" w:rsidRDefault="00B07AB8" w:rsidP="00B07AB8">
      <w:pPr>
        <w:jc w:val="both"/>
        <w:rPr>
          <w:rFonts w:ascii="Arial Narrow" w:hAnsi="Arial Narrow"/>
          <w:b/>
          <w:bCs/>
          <w:color w:val="595959"/>
        </w:rPr>
      </w:pPr>
      <w:r w:rsidRPr="00B07AB8">
        <w:rPr>
          <w:rFonts w:ascii="Arial Narrow" w:hAnsi="Arial Narrow"/>
          <w:noProof/>
          <w:color w:val="986297"/>
          <w:lang w:eastAsia="ru-RU"/>
        </w:rPr>
        <w:lastRenderedPageBreak/>
        <w:drawing>
          <wp:inline distT="0" distB="0" distL="0" distR="0">
            <wp:extent cx="6281531" cy="7959255"/>
            <wp:effectExtent l="0" t="0" r="0" b="0"/>
            <wp:docPr id="578" name="Диаграмма 2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B07AB8" w:rsidRPr="00B07AB8" w:rsidRDefault="00B07AB8" w:rsidP="00B07AB8">
      <w:pPr>
        <w:jc w:val="center"/>
        <w:rPr>
          <w:rFonts w:ascii="Arial Narrow" w:hAnsi="Arial Narrow"/>
          <w:b/>
          <w:bCs/>
        </w:rPr>
      </w:pPr>
      <w:r w:rsidRPr="00B07AB8">
        <w:rPr>
          <w:rFonts w:ascii="Arial Narrow" w:hAnsi="Arial Narrow"/>
          <w:bCs/>
        </w:rPr>
        <w:t>Диаграмма 5.5.33</w:t>
      </w:r>
      <w:r w:rsidRPr="00B07AB8">
        <w:rPr>
          <w:rFonts w:ascii="Arial Narrow" w:hAnsi="Arial Narrow"/>
          <w:b/>
          <w:bCs/>
        </w:rPr>
        <w:t xml:space="preserve"> – Удовлетворенность субъектов предпринимательской деятельности сроками получения доступа к услугам водоснабжения, водоотведения, в % от числа опрошенных по территориям</w:t>
      </w:r>
    </w:p>
    <w:p w:rsidR="00B07AB8" w:rsidRPr="00B07AB8" w:rsidRDefault="00B07AB8" w:rsidP="00B07AB8">
      <w:pPr>
        <w:jc w:val="both"/>
        <w:rPr>
          <w:rFonts w:ascii="Arial Narrow" w:hAnsi="Arial Narrow"/>
        </w:rPr>
      </w:pPr>
    </w:p>
    <w:p w:rsidR="00B07AB8" w:rsidRPr="00B07AB8" w:rsidRDefault="00B07AB8" w:rsidP="00A43AC6">
      <w:pPr>
        <w:jc w:val="both"/>
        <w:outlineLvl w:val="2"/>
        <w:rPr>
          <w:rFonts w:ascii="Arial Narrow" w:hAnsi="Arial Narrow"/>
          <w:b/>
          <w:bCs/>
          <w:sz w:val="26"/>
          <w:szCs w:val="26"/>
        </w:rPr>
      </w:pPr>
      <w:bookmarkStart w:id="33" w:name="_Toc475532257"/>
      <w:r w:rsidRPr="00B07AB8">
        <w:rPr>
          <w:rFonts w:ascii="Arial Narrow" w:hAnsi="Arial Narrow"/>
          <w:b/>
          <w:bCs/>
          <w:sz w:val="26"/>
          <w:szCs w:val="26"/>
        </w:rPr>
        <w:t>5.5.1.3.3. Удовлетворенность сроками получения доступа к услугам теплоснабжения в разрезе отраслевой принадлежности, величины и местонахождения субъектов предпринимательства</w:t>
      </w:r>
      <w:bookmarkEnd w:id="33"/>
    </w:p>
    <w:p w:rsidR="00B07AB8" w:rsidRPr="00B07AB8" w:rsidRDefault="00B07AB8" w:rsidP="00B07AB8">
      <w:pPr>
        <w:spacing w:after="0" w:line="360" w:lineRule="auto"/>
        <w:ind w:firstLine="567"/>
        <w:jc w:val="center"/>
        <w:rPr>
          <w:rFonts w:ascii="Arial Narrow" w:hAnsi="Arial Narrow"/>
        </w:rPr>
      </w:pP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Самые высокие доли субъектов предпринимательства, удовлетворенных сроками получения доступа к услугам теплоснабжения (60 % и более), зафиксированы среди следующих групп респондентов:</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 субъекты предпринимательства, ведущие деятельность в Карасукском (70,6 %), Барабинском (68,4 %), Кыштовском (66,7 %), Северном (66,7 %), Татарском (66,7 %), Усть-Таркском (66,7 %), Куйбышевском (65,4 %), Колыванском (65,2 %), Сузунском (62,5 %), Купинском (60,0 %) районах.</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Среди социально значимых и приоритетных рынков нет таких, представители которых давали бы оценки значительно выше среднего значения (35,3 %).</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Малые предприятия более удовлетворены данным параметром, чем средние предприятия (35,4 % и 18,2 % соответственно).</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Меньше всего удовлетворены сроками получения доступа к услугам теплоснабжения представители рынка услуг дошкольного образования (0,0 %), услуг перевозок пассажиров наземным транспортом (3,3 %), рынка услуг связи (16,0 %), рынка услуг психолого-педагогического сопровождения детей с ограниченными возможностями здоровья (16,0 %), организации, ведущие деятельность в р. п. Кольцово (0,0 %), Каргатском (0,0 %), Баганском (12,5 %), Коченевском (15,4 %), Новосибирском (18,2 %) районах.</w:t>
      </w:r>
    </w:p>
    <w:p w:rsidR="00B07AB8" w:rsidRPr="00B07AB8" w:rsidRDefault="00B07AB8" w:rsidP="00B07AB8">
      <w:pPr>
        <w:spacing w:line="360" w:lineRule="auto"/>
        <w:ind w:firstLine="567"/>
        <w:jc w:val="both"/>
        <w:rPr>
          <w:rFonts w:ascii="Arial Narrow" w:hAnsi="Arial Narrow"/>
          <w:sz w:val="12"/>
          <w:szCs w:val="12"/>
        </w:rPr>
      </w:pPr>
    </w:p>
    <w:p w:rsidR="00B07AB8" w:rsidRPr="00B07AB8" w:rsidRDefault="00B07AB8" w:rsidP="00B07AB8">
      <w:pPr>
        <w:jc w:val="center"/>
        <w:rPr>
          <w:rFonts w:ascii="Arial Narrow" w:hAnsi="Arial Narrow"/>
          <w:b/>
          <w:bCs/>
        </w:rPr>
      </w:pPr>
      <w:r w:rsidRPr="00B07AB8">
        <w:rPr>
          <w:rFonts w:ascii="Arial Narrow" w:hAnsi="Arial Narrow"/>
          <w:noProof/>
          <w:lang w:eastAsia="ru-RU"/>
        </w:rPr>
        <w:lastRenderedPageBreak/>
        <w:drawing>
          <wp:inline distT="0" distB="0" distL="0" distR="0">
            <wp:extent cx="6392849" cy="5788549"/>
            <wp:effectExtent l="0" t="0" r="0" b="0"/>
            <wp:docPr id="579"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r w:rsidRPr="00B07AB8">
        <w:rPr>
          <w:rFonts w:ascii="Arial Narrow" w:hAnsi="Arial Narrow"/>
          <w:bCs/>
        </w:rPr>
        <w:t>Диаграмма 5.5.37</w:t>
      </w:r>
      <w:r w:rsidRPr="00B07AB8">
        <w:rPr>
          <w:rFonts w:ascii="Arial Narrow" w:hAnsi="Arial Narrow"/>
          <w:b/>
          <w:bCs/>
        </w:rPr>
        <w:t xml:space="preserve"> – Удовлетворенность субъектов предпринимательской деятельности сроками получения доступа к услугам теплоснабжения, в % от числа опрошенных по сферам деятельности</w:t>
      </w:r>
    </w:p>
    <w:p w:rsidR="00B07AB8" w:rsidRPr="00B07AB8" w:rsidRDefault="00B07AB8" w:rsidP="00B07AB8">
      <w:pPr>
        <w:jc w:val="right"/>
        <w:rPr>
          <w:rFonts w:ascii="Arial Narrow" w:hAnsi="Arial Narrow"/>
          <w:b/>
          <w:bCs/>
          <w:color w:val="595959"/>
          <w:sz w:val="20"/>
          <w:szCs w:val="20"/>
        </w:rPr>
      </w:pPr>
    </w:p>
    <w:p w:rsidR="00B07AB8" w:rsidRPr="00B07AB8" w:rsidRDefault="00B07AB8" w:rsidP="00B07AB8">
      <w:pPr>
        <w:ind w:firstLine="567"/>
        <w:jc w:val="center"/>
        <w:rPr>
          <w:rFonts w:ascii="Arial Narrow" w:hAnsi="Arial Narrow"/>
          <w:b/>
          <w:bCs/>
        </w:rPr>
      </w:pPr>
      <w:r w:rsidRPr="00B07AB8">
        <w:rPr>
          <w:rFonts w:ascii="Arial Narrow" w:hAnsi="Arial Narrow"/>
          <w:noProof/>
          <w:lang w:eastAsia="ru-RU"/>
        </w:rPr>
        <w:drawing>
          <wp:inline distT="0" distB="0" distL="0" distR="0">
            <wp:extent cx="6031230" cy="1730828"/>
            <wp:effectExtent l="0" t="0" r="0" b="0"/>
            <wp:docPr id="580"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r w:rsidRPr="00B07AB8">
        <w:rPr>
          <w:rFonts w:ascii="Arial Narrow" w:hAnsi="Arial Narrow"/>
          <w:bCs/>
        </w:rPr>
        <w:t>Диаграмма 5.5.38</w:t>
      </w:r>
      <w:r w:rsidRPr="00B07AB8">
        <w:rPr>
          <w:rFonts w:ascii="Arial Narrow" w:hAnsi="Arial Narrow"/>
          <w:b/>
          <w:bCs/>
        </w:rPr>
        <w:t xml:space="preserve"> – Удовлетворенность субъектов предпринимательской деятельности сроками получения доступа к услугам теплоснабжения, в % от числа опрошенных в группах по величине предприятий</w:t>
      </w:r>
    </w:p>
    <w:p w:rsidR="00B07AB8" w:rsidRPr="00B07AB8" w:rsidRDefault="00B07AB8" w:rsidP="00B07AB8">
      <w:pPr>
        <w:jc w:val="center"/>
        <w:rPr>
          <w:rFonts w:ascii="Arial Narrow" w:hAnsi="Arial Narrow"/>
          <w:b/>
          <w:bCs/>
          <w:color w:val="595959"/>
          <w:sz w:val="20"/>
          <w:szCs w:val="20"/>
        </w:rPr>
      </w:pPr>
      <w:r w:rsidRPr="00B07AB8">
        <w:rPr>
          <w:rFonts w:ascii="Arial Narrow" w:hAnsi="Arial Narrow"/>
          <w:noProof/>
          <w:color w:val="986297"/>
          <w:lang w:eastAsia="ru-RU"/>
        </w:rPr>
        <w:lastRenderedPageBreak/>
        <w:drawing>
          <wp:inline distT="0" distB="0" distL="0" distR="0">
            <wp:extent cx="6181725" cy="7981950"/>
            <wp:effectExtent l="0" t="0" r="0" b="0"/>
            <wp:docPr id="581" name="Диаграмма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0F6109" w:rsidRDefault="00B07AB8" w:rsidP="000F6109">
      <w:pPr>
        <w:jc w:val="center"/>
        <w:rPr>
          <w:rFonts w:ascii="Arial Narrow" w:hAnsi="Arial Narrow"/>
          <w:b/>
          <w:bCs/>
        </w:rPr>
      </w:pPr>
      <w:r w:rsidRPr="00B07AB8">
        <w:rPr>
          <w:rFonts w:ascii="Arial Narrow" w:hAnsi="Arial Narrow"/>
          <w:bCs/>
        </w:rPr>
        <w:t>Диаграмма 5.5.39</w:t>
      </w:r>
      <w:r w:rsidRPr="00B07AB8">
        <w:rPr>
          <w:rFonts w:ascii="Arial Narrow" w:hAnsi="Arial Narrow"/>
          <w:b/>
          <w:bCs/>
        </w:rPr>
        <w:t xml:space="preserve"> – Удовлетворенность субъектов предпринимательской деятельности сроками получения доступа к услугам теплоснабжения, в % от числа опрошенных по территориям</w:t>
      </w:r>
      <w:r w:rsidR="000F6109">
        <w:rPr>
          <w:rFonts w:ascii="Arial Narrow" w:hAnsi="Arial Narrow"/>
          <w:b/>
          <w:bCs/>
        </w:rPr>
        <w:br w:type="page"/>
      </w:r>
    </w:p>
    <w:p w:rsidR="00B07AB8" w:rsidRPr="00B07AB8" w:rsidRDefault="00B07AB8" w:rsidP="00B07AB8">
      <w:pPr>
        <w:jc w:val="center"/>
        <w:rPr>
          <w:rFonts w:ascii="Arial Narrow" w:hAnsi="Arial Narrow"/>
        </w:rPr>
      </w:pPr>
    </w:p>
    <w:p w:rsidR="00B07AB8" w:rsidRPr="00B07AB8" w:rsidRDefault="00B07AB8" w:rsidP="00A43AC6">
      <w:pPr>
        <w:jc w:val="both"/>
        <w:outlineLvl w:val="2"/>
        <w:rPr>
          <w:rFonts w:ascii="Arial Narrow" w:hAnsi="Arial Narrow"/>
          <w:b/>
          <w:bCs/>
          <w:sz w:val="26"/>
          <w:szCs w:val="26"/>
        </w:rPr>
      </w:pPr>
      <w:bookmarkStart w:id="34" w:name="_Toc475532258"/>
      <w:bookmarkStart w:id="35" w:name="_Toc470587934"/>
      <w:r w:rsidRPr="00B07AB8">
        <w:rPr>
          <w:rFonts w:ascii="Arial Narrow" w:hAnsi="Arial Narrow"/>
          <w:b/>
          <w:bCs/>
          <w:sz w:val="26"/>
          <w:szCs w:val="26"/>
        </w:rPr>
        <w:t>5.5.1.3.4. Удовлетворенность сроками получения доступа к услугам газоснабжения в разрезе отраслевой принадлежности, величины и местонахождения субъектов предпринимательства</w:t>
      </w:r>
      <w:bookmarkEnd w:id="34"/>
    </w:p>
    <w:p w:rsidR="00B07AB8" w:rsidRPr="00B07AB8" w:rsidRDefault="00B07AB8" w:rsidP="00B07AB8">
      <w:pPr>
        <w:ind w:firstLine="567"/>
        <w:jc w:val="center"/>
        <w:rPr>
          <w:rFonts w:ascii="Arial Narrow" w:hAnsi="Arial Narrow"/>
        </w:rPr>
      </w:pP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Самые высокие доли субъектов предпринимательства, удовлетворенных сроками получения доступа к услугам газоснабжения (50 % и более), зафиксированы среди следующих групп респондентов:</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 субъекты предпринимательства, ведущие деятельность в Карасукском (64,7 %), Колыванском (60,9 %), Венгеровском (57,1 %), Куйбышевском (53,8 %), Чулымском (53,3 %), Северном (50,0 %), Сузунском (50,0 %), Татарском (50,0 %) районах.</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Среди социально значимых и приоритетных рынков нет таких, представители которых давали бы оценки значительно выше среднего значения (29,3 %).</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Малые предприятия более удовлетворены данным параметром, чем средние предприятия (29,4 % и 18,2 % соответственно).</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Меньше всего удовлетворены сроками получения доступа к услугам газоснабжения представители рынка услуг детского отдыха и оздоровления (0,0 %), услуг дошкольного образования (0,0 %), перевозок пассажиров наземным транспортом (3,3 %), рынка услуг связи (16,0 %), рынка услуг психолого-педагогического сопровождения детей с ограниченными возможностями здоровья (16,0 %), организации, ведущие деятельность в р. п. Кольцово (0,0 %), Тогучинском (0,0 %), Краснозерском (0,0 %), Каргатском (0,0 %), Купинском (6,7 %), Мошковском (11,1 %), Чановском (12,1 %), Баганском (12,5 %), Кочковском (14,3 %) районах.</w:t>
      </w:r>
    </w:p>
    <w:p w:rsidR="00B07AB8" w:rsidRPr="00B07AB8" w:rsidRDefault="00B07AB8" w:rsidP="00B07AB8">
      <w:pPr>
        <w:jc w:val="center"/>
        <w:rPr>
          <w:rFonts w:ascii="Arial Narrow" w:hAnsi="Arial Narrow"/>
          <w:bCs/>
        </w:rPr>
      </w:pPr>
      <w:r w:rsidRPr="00B07AB8">
        <w:rPr>
          <w:rFonts w:ascii="Arial Narrow" w:hAnsi="Arial Narrow"/>
          <w:noProof/>
          <w:lang w:eastAsia="ru-RU"/>
        </w:rPr>
        <w:lastRenderedPageBreak/>
        <w:drawing>
          <wp:inline distT="0" distB="0" distL="0" distR="0">
            <wp:extent cx="6178550" cy="5892800"/>
            <wp:effectExtent l="19050" t="0" r="0" b="0"/>
            <wp:docPr id="582"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B07AB8" w:rsidRPr="00B07AB8" w:rsidRDefault="00B07AB8" w:rsidP="00B07AB8">
      <w:pPr>
        <w:jc w:val="center"/>
        <w:rPr>
          <w:rFonts w:ascii="Arial Narrow" w:hAnsi="Arial Narrow"/>
          <w:b/>
          <w:bCs/>
          <w:color w:val="595959"/>
        </w:rPr>
      </w:pPr>
      <w:r w:rsidRPr="00B07AB8">
        <w:rPr>
          <w:rFonts w:ascii="Arial Narrow" w:hAnsi="Arial Narrow"/>
          <w:bCs/>
        </w:rPr>
        <w:t>Диаграмма 5.5.34</w:t>
      </w:r>
      <w:r w:rsidRPr="00B07AB8">
        <w:rPr>
          <w:rFonts w:ascii="Arial Narrow" w:hAnsi="Arial Narrow"/>
          <w:b/>
          <w:bCs/>
        </w:rPr>
        <w:t xml:space="preserve"> – Удовлетворенность субъектов предпринимательской деятельности сроками получения доступа к услугам газоснабжения, в % от числа опрошенных по сферам деятельности</w:t>
      </w:r>
    </w:p>
    <w:p w:rsidR="00B07AB8" w:rsidRPr="00B07AB8" w:rsidRDefault="00B07AB8" w:rsidP="00B07AB8">
      <w:pPr>
        <w:ind w:firstLine="567"/>
        <w:jc w:val="center"/>
        <w:rPr>
          <w:rFonts w:ascii="Arial Narrow" w:hAnsi="Arial Narrow"/>
          <w:b/>
          <w:bCs/>
        </w:rPr>
      </w:pPr>
      <w:r w:rsidRPr="00B07AB8">
        <w:rPr>
          <w:rFonts w:ascii="Arial Narrow" w:hAnsi="Arial Narrow"/>
          <w:noProof/>
          <w:lang w:eastAsia="ru-RU"/>
        </w:rPr>
        <w:drawing>
          <wp:inline distT="0" distB="0" distL="0" distR="0">
            <wp:extent cx="5664200" cy="1600200"/>
            <wp:effectExtent l="0" t="0" r="0" b="0"/>
            <wp:docPr id="583"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r w:rsidRPr="00B07AB8">
        <w:rPr>
          <w:rFonts w:ascii="Arial Narrow" w:hAnsi="Arial Narrow"/>
          <w:bCs/>
        </w:rPr>
        <w:t>Диаграмма 5.5.35</w:t>
      </w:r>
      <w:r w:rsidRPr="00B07AB8">
        <w:rPr>
          <w:rFonts w:ascii="Arial Narrow" w:hAnsi="Arial Narrow"/>
          <w:b/>
          <w:bCs/>
        </w:rPr>
        <w:t xml:space="preserve"> – Удовлетворенность субъектов предпринимательской деятельности сроками получения доступа к услугам газоснабжения, в % от числа опрошенных в группах по величине предприятий</w:t>
      </w:r>
    </w:p>
    <w:p w:rsidR="00B07AB8" w:rsidRPr="00B07AB8" w:rsidRDefault="00B07AB8" w:rsidP="00B07AB8">
      <w:pPr>
        <w:jc w:val="center"/>
        <w:rPr>
          <w:rFonts w:ascii="Arial Narrow" w:hAnsi="Arial Narrow"/>
          <w:b/>
          <w:bCs/>
          <w:color w:val="595959"/>
          <w:sz w:val="20"/>
          <w:szCs w:val="20"/>
        </w:rPr>
      </w:pPr>
      <w:r w:rsidRPr="00B07AB8">
        <w:rPr>
          <w:rFonts w:ascii="Arial Narrow" w:hAnsi="Arial Narrow"/>
          <w:noProof/>
          <w:color w:val="986297"/>
          <w:lang w:eastAsia="ru-RU"/>
        </w:rPr>
        <w:lastRenderedPageBreak/>
        <w:drawing>
          <wp:inline distT="0" distB="0" distL="0" distR="0">
            <wp:extent cx="6437376" cy="7936992"/>
            <wp:effectExtent l="0" t="0" r="0" b="0"/>
            <wp:docPr id="584" name="Диаграмма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B07AB8" w:rsidRPr="00B07AB8" w:rsidRDefault="00B07AB8" w:rsidP="00B07AB8">
      <w:pPr>
        <w:jc w:val="center"/>
        <w:rPr>
          <w:rFonts w:ascii="Arial Narrow" w:hAnsi="Arial Narrow"/>
          <w:b/>
          <w:bCs/>
        </w:rPr>
      </w:pPr>
      <w:r w:rsidRPr="00B07AB8">
        <w:rPr>
          <w:rFonts w:ascii="Arial Narrow" w:hAnsi="Arial Narrow"/>
          <w:bCs/>
        </w:rPr>
        <w:t>Диаграмма 5.5.36</w:t>
      </w:r>
      <w:r w:rsidRPr="00B07AB8">
        <w:rPr>
          <w:rFonts w:ascii="Arial Narrow" w:hAnsi="Arial Narrow"/>
          <w:b/>
          <w:bCs/>
        </w:rPr>
        <w:t xml:space="preserve"> – Удовлетворенность субъектов предпринимательской деятельности сроками получения доступа к услугам газоснабжения, в % от числа опрошенных по территориям</w:t>
      </w:r>
    </w:p>
    <w:p w:rsidR="00B07AB8" w:rsidRPr="00B07AB8" w:rsidRDefault="00B07AB8" w:rsidP="00A43AC6">
      <w:pPr>
        <w:jc w:val="both"/>
        <w:rPr>
          <w:rFonts w:ascii="Arial Narrow" w:hAnsi="Arial Narrow"/>
          <w:b/>
          <w:bCs/>
          <w:sz w:val="26"/>
          <w:szCs w:val="26"/>
        </w:rPr>
      </w:pPr>
      <w:r w:rsidRPr="00B07AB8">
        <w:rPr>
          <w:rFonts w:ascii="Arial Narrow" w:hAnsi="Arial Narrow"/>
          <w:b/>
          <w:bCs/>
          <w:sz w:val="26"/>
          <w:szCs w:val="26"/>
        </w:rPr>
        <w:lastRenderedPageBreak/>
        <w:t>5.5.1.4. Удовлетворенность с</w:t>
      </w:r>
      <w:r w:rsidRPr="00B07AB8">
        <w:rPr>
          <w:rFonts w:ascii="Arial Narrow" w:eastAsia="Calibri" w:hAnsi="Arial Narrow" w:cs="Arial"/>
          <w:b/>
          <w:bCs/>
          <w:sz w:val="26"/>
          <w:szCs w:val="26"/>
        </w:rPr>
        <w:t>ложностью (количеством) процедур подключения</w:t>
      </w:r>
      <w:r w:rsidRPr="00B07AB8">
        <w:rPr>
          <w:rFonts w:ascii="Arial Narrow" w:hAnsi="Arial Narrow"/>
          <w:b/>
          <w:bCs/>
          <w:sz w:val="26"/>
          <w:szCs w:val="26"/>
        </w:rPr>
        <w:t xml:space="preserve"> услуг, предоставляемых субъектами естественных монополий</w:t>
      </w:r>
      <w:bookmarkEnd w:id="35"/>
    </w:p>
    <w:p w:rsidR="00B07AB8" w:rsidRPr="00B07AB8" w:rsidRDefault="00B07AB8" w:rsidP="00B07AB8">
      <w:pPr>
        <w:ind w:firstLine="567"/>
        <w:rPr>
          <w:rFonts w:ascii="Arial Narrow" w:hAnsi="Arial Narrow"/>
          <w:b/>
          <w:sz w:val="24"/>
          <w:szCs w:val="24"/>
        </w:rPr>
      </w:pP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Сложностью (количеством) процедур подключения услуг, предоставляемых субъектами естественных монополий, удовлетворены от 23,4 % до 29,1 % опрошенных субъектов предпринимательской деятельности. Не удовлетворено – значительно меньшее количество (17,0–19,7 %). Затруднились ответить на данный вопрос около половины респондентов (51,3–59,6 %).</w:t>
      </w:r>
    </w:p>
    <w:p w:rsidR="00B07AB8" w:rsidRPr="00B07AB8" w:rsidRDefault="00B07AB8" w:rsidP="00B07AB8">
      <w:pPr>
        <w:spacing w:after="0" w:line="360" w:lineRule="auto"/>
        <w:ind w:firstLine="284"/>
        <w:jc w:val="both"/>
        <w:rPr>
          <w:rFonts w:ascii="Arial Narrow" w:hAnsi="Arial Narrow"/>
          <w:sz w:val="24"/>
          <w:szCs w:val="24"/>
          <w:u w:val="single"/>
        </w:rPr>
      </w:pPr>
      <w:r w:rsidRPr="00B07AB8">
        <w:rPr>
          <w:rFonts w:ascii="Arial Narrow" w:hAnsi="Arial Narrow"/>
          <w:sz w:val="24"/>
          <w:szCs w:val="24"/>
          <w:u w:val="single"/>
        </w:rPr>
        <w:t>Рейтинг удовлетворенности субъектов предпринимательства сложностью (количеством) процедур подключения услуг, предоставляемых естественными монополиями:</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1. Водоснабжение, водоотведение (</w:t>
      </w:r>
      <w:r w:rsidRPr="00B07AB8">
        <w:rPr>
          <w:rFonts w:ascii="Arial Narrow" w:eastAsia="Calibri" w:hAnsi="Arial Narrow" w:cs="Arial"/>
          <w:sz w:val="24"/>
          <w:szCs w:val="24"/>
        </w:rPr>
        <w:t>29,1 %</w:t>
      </w:r>
      <w:r w:rsidRPr="00B07AB8">
        <w:rPr>
          <w:rFonts w:ascii="Arial Narrow" w:hAnsi="Arial Narrow"/>
          <w:sz w:val="24"/>
          <w:szCs w:val="24"/>
        </w:rPr>
        <w:t xml:space="preserve"> удовлетворены, </w:t>
      </w:r>
      <w:r w:rsidRPr="00B07AB8">
        <w:rPr>
          <w:rFonts w:ascii="Arial Narrow" w:eastAsia="Calibri" w:hAnsi="Arial Narrow" w:cs="Arial"/>
          <w:sz w:val="24"/>
          <w:szCs w:val="24"/>
        </w:rPr>
        <w:t>17,5 %</w:t>
      </w:r>
      <w:r w:rsidRPr="00B07AB8">
        <w:rPr>
          <w:rFonts w:ascii="Arial Narrow" w:hAnsi="Arial Narrow"/>
          <w:sz w:val="24"/>
          <w:szCs w:val="24"/>
        </w:rPr>
        <w:t xml:space="preserve"> не удовлетворены). </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2. Электроснабжение (</w:t>
      </w:r>
      <w:r w:rsidRPr="00B07AB8">
        <w:rPr>
          <w:rFonts w:ascii="Arial Narrow" w:eastAsia="Calibri" w:hAnsi="Arial Narrow" w:cs="Arial"/>
          <w:sz w:val="24"/>
          <w:szCs w:val="24"/>
        </w:rPr>
        <w:t>29,0 %</w:t>
      </w:r>
      <w:r w:rsidRPr="00B07AB8">
        <w:rPr>
          <w:rFonts w:ascii="Arial Narrow" w:hAnsi="Arial Narrow"/>
          <w:sz w:val="24"/>
          <w:szCs w:val="24"/>
        </w:rPr>
        <w:t xml:space="preserve"> удовлетворены, </w:t>
      </w:r>
      <w:r w:rsidRPr="00B07AB8">
        <w:rPr>
          <w:rFonts w:ascii="Arial Narrow" w:eastAsia="Calibri" w:hAnsi="Arial Narrow" w:cs="Arial"/>
          <w:sz w:val="24"/>
          <w:szCs w:val="24"/>
        </w:rPr>
        <w:t>19,7 %</w:t>
      </w:r>
      <w:r w:rsidRPr="00B07AB8">
        <w:rPr>
          <w:rFonts w:ascii="Arial Narrow" w:hAnsi="Arial Narrow"/>
          <w:sz w:val="24"/>
          <w:szCs w:val="24"/>
        </w:rPr>
        <w:t xml:space="preserve"> не удовлетворены). </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3. Теплоснабжение (</w:t>
      </w:r>
      <w:r w:rsidRPr="00B07AB8">
        <w:rPr>
          <w:rFonts w:ascii="Arial Narrow" w:eastAsia="Calibri" w:hAnsi="Arial Narrow" w:cs="Arial"/>
          <w:sz w:val="24"/>
          <w:szCs w:val="24"/>
        </w:rPr>
        <w:t xml:space="preserve">28,0 % </w:t>
      </w:r>
      <w:r w:rsidRPr="00B07AB8">
        <w:rPr>
          <w:rFonts w:ascii="Arial Narrow" w:hAnsi="Arial Narrow"/>
          <w:sz w:val="24"/>
          <w:szCs w:val="24"/>
        </w:rPr>
        <w:t xml:space="preserve">удовлетворены, </w:t>
      </w:r>
      <w:r w:rsidRPr="00B07AB8">
        <w:rPr>
          <w:rFonts w:ascii="Arial Narrow" w:eastAsia="Calibri" w:hAnsi="Arial Narrow" w:cs="Arial"/>
          <w:sz w:val="24"/>
          <w:szCs w:val="24"/>
        </w:rPr>
        <w:t>17,1 %</w:t>
      </w:r>
      <w:r w:rsidRPr="00B07AB8">
        <w:rPr>
          <w:rFonts w:ascii="Arial Narrow" w:hAnsi="Arial Narrow"/>
          <w:sz w:val="24"/>
          <w:szCs w:val="24"/>
        </w:rPr>
        <w:t xml:space="preserve"> не удовлетворены).</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4. Газоснабжение (</w:t>
      </w:r>
      <w:r w:rsidRPr="00B07AB8">
        <w:rPr>
          <w:rFonts w:ascii="Arial Narrow" w:eastAsia="Calibri" w:hAnsi="Arial Narrow" w:cs="Arial"/>
          <w:sz w:val="24"/>
          <w:szCs w:val="24"/>
        </w:rPr>
        <w:t xml:space="preserve">23,4 % </w:t>
      </w:r>
      <w:r w:rsidRPr="00B07AB8">
        <w:rPr>
          <w:rFonts w:ascii="Arial Narrow" w:hAnsi="Arial Narrow"/>
          <w:sz w:val="24"/>
          <w:szCs w:val="24"/>
        </w:rPr>
        <w:t xml:space="preserve">удовлетворены, </w:t>
      </w:r>
      <w:r w:rsidRPr="00B07AB8">
        <w:rPr>
          <w:rFonts w:ascii="Arial Narrow" w:eastAsia="Calibri" w:hAnsi="Arial Narrow" w:cs="Arial"/>
          <w:sz w:val="24"/>
          <w:szCs w:val="24"/>
        </w:rPr>
        <w:t xml:space="preserve">17,0 % </w:t>
      </w:r>
      <w:r w:rsidRPr="00B07AB8">
        <w:rPr>
          <w:rFonts w:ascii="Arial Narrow" w:hAnsi="Arial Narrow"/>
          <w:sz w:val="24"/>
          <w:szCs w:val="24"/>
        </w:rPr>
        <w:t>не удовлетворены).</w:t>
      </w:r>
    </w:p>
    <w:p w:rsid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Субъекты предпринимательства удовлетворены сложностью (количеством) процедур подключения услуг электроснабжения, теплоснабжения и водоснабжения в примерно равной степени. Немного отстает удовлетворенность сроками получения доступа к услугам газоснабжения ввиду большего числа затруднившихся с ответом (59,6 %).</w:t>
      </w:r>
    </w:p>
    <w:p w:rsidR="00B07AB8" w:rsidRPr="00B07AB8" w:rsidRDefault="00B07AB8" w:rsidP="00B07AB8">
      <w:pPr>
        <w:spacing w:after="0" w:line="360" w:lineRule="auto"/>
        <w:ind w:firstLine="284"/>
        <w:jc w:val="both"/>
        <w:rPr>
          <w:rFonts w:ascii="Arial Narrow" w:hAnsi="Arial Narrow"/>
          <w:sz w:val="24"/>
          <w:szCs w:val="24"/>
        </w:rPr>
      </w:pPr>
    </w:p>
    <w:p w:rsidR="00B07AB8" w:rsidRPr="00B07AB8" w:rsidRDefault="00B07AB8" w:rsidP="00B07AB8">
      <w:pPr>
        <w:jc w:val="center"/>
        <w:rPr>
          <w:rFonts w:ascii="Arial Narrow" w:hAnsi="Arial Narrow"/>
          <w:bCs/>
        </w:rPr>
      </w:pPr>
      <w:r w:rsidRPr="00B07AB8">
        <w:rPr>
          <w:rFonts w:ascii="Arial Narrow" w:hAnsi="Arial Narrow"/>
          <w:noProof/>
          <w:color w:val="986297"/>
          <w:lang w:eastAsia="ru-RU"/>
        </w:rPr>
        <w:drawing>
          <wp:inline distT="0" distB="0" distL="0" distR="0">
            <wp:extent cx="6031230" cy="2438400"/>
            <wp:effectExtent l="0" t="0" r="0" b="0"/>
            <wp:docPr id="585"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B07AB8" w:rsidRPr="00B07AB8" w:rsidRDefault="00B07AB8" w:rsidP="00B07AB8">
      <w:pPr>
        <w:jc w:val="center"/>
        <w:rPr>
          <w:rFonts w:ascii="Arial Narrow" w:hAnsi="Arial Narrow"/>
          <w:bCs/>
        </w:rPr>
      </w:pPr>
    </w:p>
    <w:p w:rsidR="00B07AB8" w:rsidRPr="00B07AB8" w:rsidRDefault="00B07AB8" w:rsidP="00B07AB8">
      <w:pPr>
        <w:jc w:val="center"/>
        <w:rPr>
          <w:rFonts w:ascii="Arial Narrow" w:hAnsi="Arial Narrow"/>
          <w:b/>
          <w:bCs/>
          <w:color w:val="595959"/>
          <w:sz w:val="20"/>
          <w:szCs w:val="20"/>
        </w:rPr>
      </w:pPr>
      <w:r w:rsidRPr="00B07AB8">
        <w:rPr>
          <w:rFonts w:ascii="Arial Narrow" w:hAnsi="Arial Narrow"/>
          <w:bCs/>
        </w:rPr>
        <w:t>Диаграмма 5.5.40</w:t>
      </w:r>
      <w:r w:rsidRPr="00B07AB8">
        <w:rPr>
          <w:rFonts w:ascii="Arial Narrow" w:hAnsi="Arial Narrow"/>
          <w:b/>
          <w:bCs/>
        </w:rPr>
        <w:t xml:space="preserve"> – Удовлетворенность субъектов предпринимательской деятельности сложностью (количеством) процедур подключения услуг субъектов естественных монополий, в % от числа опрошенных</w:t>
      </w:r>
    </w:p>
    <w:p w:rsidR="00B07AB8" w:rsidRPr="00B07AB8" w:rsidRDefault="00B07AB8" w:rsidP="00B07AB8">
      <w:pPr>
        <w:jc w:val="both"/>
        <w:rPr>
          <w:rFonts w:ascii="Arial Narrow" w:hAnsi="Arial Narrow"/>
          <w:sz w:val="24"/>
          <w:szCs w:val="24"/>
        </w:rPr>
      </w:pPr>
    </w:p>
    <w:p w:rsidR="00B07AB8" w:rsidRPr="00B07AB8" w:rsidRDefault="00B07AB8" w:rsidP="00B07AB8">
      <w:pPr>
        <w:rPr>
          <w:rFonts w:ascii="Arial Narrow" w:hAnsi="Arial Narrow"/>
        </w:rPr>
      </w:pPr>
      <w:r w:rsidRPr="00B07AB8">
        <w:rPr>
          <w:rFonts w:ascii="Arial Narrow" w:hAnsi="Arial Narrow"/>
        </w:rPr>
        <w:br w:type="page"/>
      </w:r>
    </w:p>
    <w:p w:rsidR="00B07AB8" w:rsidRPr="00B07AB8" w:rsidRDefault="00B07AB8" w:rsidP="00B07AB8">
      <w:pPr>
        <w:spacing w:after="0" w:line="240" w:lineRule="auto"/>
        <w:rPr>
          <w:rFonts w:ascii="Arial Narrow" w:hAnsi="Arial Narrow"/>
          <w:sz w:val="24"/>
          <w:szCs w:val="24"/>
        </w:rPr>
      </w:pPr>
      <w:r w:rsidRPr="00B07AB8">
        <w:rPr>
          <w:rFonts w:ascii="Arial Narrow" w:hAnsi="Arial Narrow"/>
          <w:sz w:val="24"/>
          <w:szCs w:val="24"/>
        </w:rPr>
        <w:lastRenderedPageBreak/>
        <w:t xml:space="preserve">Таблица </w:t>
      </w:r>
      <w:r w:rsidR="00614BC7">
        <w:rPr>
          <w:rFonts w:ascii="Arial Narrow" w:hAnsi="Arial Narrow"/>
          <w:sz w:val="24"/>
          <w:szCs w:val="24"/>
        </w:rPr>
        <w:t>5</w:t>
      </w:r>
      <w:r w:rsidR="00A43AC6">
        <w:rPr>
          <w:rFonts w:ascii="Arial Narrow" w:hAnsi="Arial Narrow"/>
          <w:sz w:val="24"/>
          <w:szCs w:val="24"/>
        </w:rPr>
        <w:t>.</w:t>
      </w:r>
      <w:r w:rsidRPr="00B07AB8">
        <w:rPr>
          <w:rFonts w:ascii="Arial Narrow" w:hAnsi="Arial Narrow"/>
          <w:sz w:val="24"/>
          <w:szCs w:val="24"/>
        </w:rPr>
        <w:t>5</w:t>
      </w:r>
      <w:r w:rsidR="00A43AC6">
        <w:rPr>
          <w:rFonts w:ascii="Arial Narrow" w:hAnsi="Arial Narrow"/>
          <w:sz w:val="24"/>
          <w:szCs w:val="24"/>
        </w:rPr>
        <w:t>.</w:t>
      </w:r>
      <w:r w:rsidRPr="00B07AB8">
        <w:rPr>
          <w:rFonts w:ascii="Arial Narrow" w:hAnsi="Arial Narrow"/>
          <w:sz w:val="24"/>
          <w:szCs w:val="24"/>
        </w:rPr>
        <w:t xml:space="preserve"> – </w:t>
      </w:r>
      <w:r w:rsidRPr="00B07AB8">
        <w:rPr>
          <w:rFonts w:ascii="Arial Narrow" w:hAnsi="Arial Narrow"/>
          <w:b/>
          <w:sz w:val="24"/>
          <w:szCs w:val="24"/>
        </w:rPr>
        <w:t>Удовлетворенность субъектов предпринимательской деятельности сложностью (количеством) процедур подключения услуг, предоставляемых субъектами естественных монополий (% от числа опрошенных)</w:t>
      </w:r>
    </w:p>
    <w:tbl>
      <w:tblPr>
        <w:tblW w:w="5700"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2459"/>
        <w:gridCol w:w="2227"/>
        <w:gridCol w:w="1014"/>
      </w:tblGrid>
      <w:tr w:rsidR="00B07AB8" w:rsidRPr="00B07AB8" w:rsidTr="003425A3">
        <w:trPr>
          <w:cantSplit/>
        </w:trPr>
        <w:tc>
          <w:tcPr>
            <w:tcW w:w="2459" w:type="dxa"/>
            <w:vMerge w:val="restart"/>
            <w:shd w:val="clear" w:color="auto" w:fill="FFFFFF"/>
            <w:vAlign w:val="center"/>
          </w:tcPr>
          <w:p w:rsidR="00B07AB8" w:rsidRPr="00B07AB8" w:rsidRDefault="00B07AB8" w:rsidP="00B07AB8">
            <w:pPr>
              <w:spacing w:after="0" w:line="240" w:lineRule="auto"/>
              <w:ind w:left="125"/>
              <w:rPr>
                <w:rFonts w:ascii="Arial Narrow" w:hAnsi="Arial Narrow" w:cs="Arial"/>
                <w:sz w:val="20"/>
                <w:szCs w:val="20"/>
              </w:rPr>
            </w:pPr>
            <w:r w:rsidRPr="00B07AB8">
              <w:rPr>
                <w:rFonts w:ascii="Arial Narrow" w:hAnsi="Arial Narrow" w:cs="Arial"/>
                <w:sz w:val="20"/>
                <w:szCs w:val="20"/>
              </w:rPr>
              <w:t>Водоснабжение, водоотведение</w:t>
            </w:r>
          </w:p>
        </w:tc>
        <w:tc>
          <w:tcPr>
            <w:tcW w:w="2227" w:type="dxa"/>
            <w:shd w:val="clear" w:color="auto" w:fill="FFFFFF"/>
            <w:vAlign w:val="center"/>
          </w:tcPr>
          <w:p w:rsidR="00B07AB8" w:rsidRPr="00B07AB8" w:rsidRDefault="00B07AB8" w:rsidP="00B07AB8">
            <w:pPr>
              <w:spacing w:after="0" w:line="240" w:lineRule="auto"/>
              <w:ind w:left="125"/>
              <w:rPr>
                <w:rFonts w:ascii="Arial Narrow" w:hAnsi="Arial Narrow" w:cs="Arial"/>
                <w:sz w:val="20"/>
                <w:szCs w:val="20"/>
              </w:rPr>
            </w:pPr>
            <w:r w:rsidRPr="00B07AB8">
              <w:rPr>
                <w:rFonts w:ascii="Arial Narrow" w:hAnsi="Arial Narrow" w:cs="Arial"/>
                <w:sz w:val="20"/>
                <w:szCs w:val="20"/>
              </w:rPr>
              <w:t>Удовлетворительно</w:t>
            </w:r>
          </w:p>
        </w:tc>
        <w:tc>
          <w:tcPr>
            <w:tcW w:w="1014" w:type="dxa"/>
            <w:shd w:val="clear" w:color="auto" w:fill="FFFFFF"/>
            <w:vAlign w:val="center"/>
          </w:tcPr>
          <w:p w:rsidR="00B07AB8" w:rsidRPr="00B07AB8" w:rsidRDefault="00B07AB8" w:rsidP="00B07AB8">
            <w:pPr>
              <w:spacing w:after="0" w:line="240" w:lineRule="auto"/>
              <w:ind w:left="125"/>
              <w:rPr>
                <w:rFonts w:ascii="Arial Narrow" w:hAnsi="Arial Narrow" w:cs="Arial"/>
                <w:sz w:val="20"/>
                <w:szCs w:val="20"/>
              </w:rPr>
            </w:pPr>
            <w:r w:rsidRPr="00B07AB8">
              <w:rPr>
                <w:rFonts w:ascii="Arial Narrow" w:eastAsia="Calibri" w:hAnsi="Arial Narrow" w:cs="Arial"/>
                <w:sz w:val="20"/>
                <w:szCs w:val="20"/>
              </w:rPr>
              <w:t>29,1%</w:t>
            </w:r>
          </w:p>
        </w:tc>
      </w:tr>
      <w:tr w:rsidR="00B07AB8" w:rsidRPr="00B07AB8" w:rsidTr="003425A3">
        <w:trPr>
          <w:cantSplit/>
        </w:trPr>
        <w:tc>
          <w:tcPr>
            <w:tcW w:w="2459" w:type="dxa"/>
            <w:vMerge/>
            <w:shd w:val="clear" w:color="auto" w:fill="FFFFFF"/>
            <w:vAlign w:val="center"/>
          </w:tcPr>
          <w:p w:rsidR="00B07AB8" w:rsidRPr="00B07AB8" w:rsidRDefault="00B07AB8" w:rsidP="00B07AB8">
            <w:pPr>
              <w:spacing w:after="0" w:line="240" w:lineRule="auto"/>
              <w:ind w:left="125"/>
              <w:rPr>
                <w:rFonts w:ascii="Arial Narrow" w:hAnsi="Arial Narrow" w:cs="Arial"/>
                <w:sz w:val="20"/>
                <w:szCs w:val="20"/>
              </w:rPr>
            </w:pPr>
          </w:p>
        </w:tc>
        <w:tc>
          <w:tcPr>
            <w:tcW w:w="2227" w:type="dxa"/>
            <w:shd w:val="clear" w:color="auto" w:fill="FFFFFF"/>
            <w:vAlign w:val="center"/>
          </w:tcPr>
          <w:p w:rsidR="00B07AB8" w:rsidRPr="00B07AB8" w:rsidRDefault="00B07AB8" w:rsidP="00B07AB8">
            <w:pPr>
              <w:spacing w:after="0" w:line="240" w:lineRule="auto"/>
              <w:ind w:left="125"/>
              <w:rPr>
                <w:rFonts w:ascii="Arial Narrow" w:hAnsi="Arial Narrow" w:cs="Arial"/>
                <w:sz w:val="20"/>
                <w:szCs w:val="20"/>
              </w:rPr>
            </w:pPr>
            <w:r w:rsidRPr="00B07AB8">
              <w:rPr>
                <w:rFonts w:ascii="Arial Narrow" w:hAnsi="Arial Narrow" w:cs="Arial"/>
                <w:sz w:val="20"/>
                <w:szCs w:val="20"/>
              </w:rPr>
              <w:t>Неудовлетворительно</w:t>
            </w:r>
          </w:p>
        </w:tc>
        <w:tc>
          <w:tcPr>
            <w:tcW w:w="1014" w:type="dxa"/>
            <w:shd w:val="clear" w:color="auto" w:fill="FFFFFF"/>
            <w:vAlign w:val="center"/>
          </w:tcPr>
          <w:p w:rsidR="00B07AB8" w:rsidRPr="00B07AB8" w:rsidRDefault="00B07AB8" w:rsidP="00B07AB8">
            <w:pPr>
              <w:spacing w:after="0" w:line="240" w:lineRule="auto"/>
              <w:ind w:left="125"/>
              <w:rPr>
                <w:rFonts w:ascii="Arial Narrow" w:hAnsi="Arial Narrow" w:cs="Arial"/>
                <w:sz w:val="20"/>
                <w:szCs w:val="20"/>
              </w:rPr>
            </w:pPr>
            <w:r w:rsidRPr="00B07AB8">
              <w:rPr>
                <w:rFonts w:ascii="Arial Narrow" w:eastAsia="Calibri" w:hAnsi="Arial Narrow" w:cs="Arial"/>
                <w:sz w:val="20"/>
                <w:szCs w:val="20"/>
              </w:rPr>
              <w:t>17,5%</w:t>
            </w:r>
          </w:p>
        </w:tc>
      </w:tr>
      <w:tr w:rsidR="00B07AB8" w:rsidRPr="00B07AB8" w:rsidTr="003425A3">
        <w:trPr>
          <w:cantSplit/>
        </w:trPr>
        <w:tc>
          <w:tcPr>
            <w:tcW w:w="2459" w:type="dxa"/>
            <w:vMerge/>
            <w:shd w:val="clear" w:color="auto" w:fill="FFFFFF"/>
            <w:vAlign w:val="center"/>
          </w:tcPr>
          <w:p w:rsidR="00B07AB8" w:rsidRPr="00B07AB8" w:rsidRDefault="00B07AB8" w:rsidP="00B07AB8">
            <w:pPr>
              <w:spacing w:after="0" w:line="240" w:lineRule="auto"/>
              <w:ind w:left="125"/>
              <w:rPr>
                <w:rFonts w:ascii="Arial Narrow" w:hAnsi="Arial Narrow" w:cs="Arial"/>
                <w:sz w:val="20"/>
                <w:szCs w:val="20"/>
              </w:rPr>
            </w:pPr>
          </w:p>
        </w:tc>
        <w:tc>
          <w:tcPr>
            <w:tcW w:w="2227" w:type="dxa"/>
            <w:shd w:val="clear" w:color="auto" w:fill="FFFFFF"/>
            <w:vAlign w:val="center"/>
          </w:tcPr>
          <w:p w:rsidR="00B07AB8" w:rsidRPr="00B07AB8" w:rsidRDefault="00B07AB8" w:rsidP="00B07AB8">
            <w:pPr>
              <w:spacing w:after="0" w:line="240" w:lineRule="auto"/>
              <w:ind w:left="125"/>
              <w:rPr>
                <w:rFonts w:ascii="Arial Narrow" w:hAnsi="Arial Narrow" w:cs="Arial"/>
                <w:sz w:val="20"/>
                <w:szCs w:val="20"/>
              </w:rPr>
            </w:pPr>
            <w:r w:rsidRPr="00B07AB8">
              <w:rPr>
                <w:rFonts w:ascii="Arial Narrow" w:hAnsi="Arial Narrow" w:cs="Arial"/>
                <w:sz w:val="20"/>
                <w:szCs w:val="20"/>
              </w:rPr>
              <w:t>Затрудняюсь ответить</w:t>
            </w:r>
          </w:p>
        </w:tc>
        <w:tc>
          <w:tcPr>
            <w:tcW w:w="1014" w:type="dxa"/>
            <w:shd w:val="clear" w:color="auto" w:fill="FFFFFF"/>
            <w:vAlign w:val="center"/>
          </w:tcPr>
          <w:p w:rsidR="00B07AB8" w:rsidRPr="00B07AB8" w:rsidRDefault="00B07AB8" w:rsidP="00B07AB8">
            <w:pPr>
              <w:spacing w:after="0" w:line="240" w:lineRule="auto"/>
              <w:ind w:left="125"/>
              <w:rPr>
                <w:rFonts w:ascii="Arial Narrow" w:hAnsi="Arial Narrow" w:cs="Arial"/>
                <w:sz w:val="20"/>
                <w:szCs w:val="20"/>
              </w:rPr>
            </w:pPr>
            <w:r w:rsidRPr="00B07AB8">
              <w:rPr>
                <w:rFonts w:ascii="Arial Narrow" w:eastAsia="Calibri" w:hAnsi="Arial Narrow" w:cs="Arial"/>
                <w:sz w:val="20"/>
                <w:szCs w:val="20"/>
              </w:rPr>
              <w:t>53,5%</w:t>
            </w:r>
          </w:p>
        </w:tc>
      </w:tr>
      <w:tr w:rsidR="00B07AB8" w:rsidRPr="00B07AB8" w:rsidTr="003425A3">
        <w:trPr>
          <w:cantSplit/>
        </w:trPr>
        <w:tc>
          <w:tcPr>
            <w:tcW w:w="2459" w:type="dxa"/>
            <w:vMerge w:val="restart"/>
            <w:shd w:val="clear" w:color="auto" w:fill="FFFFFF"/>
            <w:vAlign w:val="center"/>
          </w:tcPr>
          <w:p w:rsidR="00B07AB8" w:rsidRPr="00B07AB8" w:rsidRDefault="00B07AB8" w:rsidP="00B07AB8">
            <w:pPr>
              <w:spacing w:after="0" w:line="240" w:lineRule="auto"/>
              <w:ind w:left="125"/>
              <w:rPr>
                <w:rFonts w:ascii="Arial Narrow" w:hAnsi="Arial Narrow" w:cs="Arial"/>
                <w:sz w:val="20"/>
                <w:szCs w:val="20"/>
              </w:rPr>
            </w:pPr>
            <w:r w:rsidRPr="00B07AB8">
              <w:rPr>
                <w:rFonts w:ascii="Arial Narrow" w:hAnsi="Arial Narrow" w:cs="Arial"/>
                <w:sz w:val="20"/>
                <w:szCs w:val="20"/>
              </w:rPr>
              <w:t>Газоснабжение</w:t>
            </w:r>
          </w:p>
        </w:tc>
        <w:tc>
          <w:tcPr>
            <w:tcW w:w="2227" w:type="dxa"/>
            <w:shd w:val="clear" w:color="auto" w:fill="FFFFFF"/>
            <w:vAlign w:val="center"/>
          </w:tcPr>
          <w:p w:rsidR="00B07AB8" w:rsidRPr="00B07AB8" w:rsidRDefault="00B07AB8" w:rsidP="00B07AB8">
            <w:pPr>
              <w:spacing w:after="0" w:line="240" w:lineRule="auto"/>
              <w:ind w:left="125"/>
              <w:rPr>
                <w:rFonts w:ascii="Arial Narrow" w:hAnsi="Arial Narrow" w:cs="Arial"/>
                <w:sz w:val="20"/>
                <w:szCs w:val="20"/>
              </w:rPr>
            </w:pPr>
            <w:r w:rsidRPr="00B07AB8">
              <w:rPr>
                <w:rFonts w:ascii="Arial Narrow" w:hAnsi="Arial Narrow" w:cs="Arial"/>
                <w:sz w:val="20"/>
                <w:szCs w:val="20"/>
              </w:rPr>
              <w:t>Удовлетворительно</w:t>
            </w:r>
          </w:p>
        </w:tc>
        <w:tc>
          <w:tcPr>
            <w:tcW w:w="1014" w:type="dxa"/>
            <w:shd w:val="clear" w:color="auto" w:fill="FFFFFF"/>
            <w:vAlign w:val="center"/>
          </w:tcPr>
          <w:p w:rsidR="00B07AB8" w:rsidRPr="00B07AB8" w:rsidRDefault="00B07AB8" w:rsidP="00B07AB8">
            <w:pPr>
              <w:spacing w:after="0" w:line="240" w:lineRule="auto"/>
              <w:ind w:left="125"/>
              <w:rPr>
                <w:rFonts w:ascii="Arial Narrow" w:hAnsi="Arial Narrow" w:cs="Arial"/>
                <w:sz w:val="20"/>
                <w:szCs w:val="20"/>
              </w:rPr>
            </w:pPr>
            <w:r w:rsidRPr="00B07AB8">
              <w:rPr>
                <w:rFonts w:ascii="Arial Narrow" w:eastAsia="Calibri" w:hAnsi="Arial Narrow" w:cs="Arial"/>
                <w:sz w:val="20"/>
                <w:szCs w:val="20"/>
              </w:rPr>
              <w:t>23,4%</w:t>
            </w:r>
          </w:p>
        </w:tc>
      </w:tr>
      <w:tr w:rsidR="00B07AB8" w:rsidRPr="00B07AB8" w:rsidTr="003425A3">
        <w:trPr>
          <w:cantSplit/>
        </w:trPr>
        <w:tc>
          <w:tcPr>
            <w:tcW w:w="2459" w:type="dxa"/>
            <w:vMerge/>
            <w:shd w:val="clear" w:color="auto" w:fill="FFFFFF"/>
            <w:vAlign w:val="center"/>
          </w:tcPr>
          <w:p w:rsidR="00B07AB8" w:rsidRPr="00B07AB8" w:rsidRDefault="00B07AB8" w:rsidP="00B07AB8">
            <w:pPr>
              <w:spacing w:after="0" w:line="240" w:lineRule="auto"/>
              <w:ind w:left="125"/>
              <w:rPr>
                <w:rFonts w:ascii="Arial Narrow" w:hAnsi="Arial Narrow" w:cs="Arial"/>
                <w:sz w:val="20"/>
                <w:szCs w:val="20"/>
              </w:rPr>
            </w:pPr>
          </w:p>
        </w:tc>
        <w:tc>
          <w:tcPr>
            <w:tcW w:w="2227" w:type="dxa"/>
            <w:shd w:val="clear" w:color="auto" w:fill="FFFFFF"/>
            <w:vAlign w:val="center"/>
          </w:tcPr>
          <w:p w:rsidR="00B07AB8" w:rsidRPr="00B07AB8" w:rsidRDefault="00B07AB8" w:rsidP="00B07AB8">
            <w:pPr>
              <w:spacing w:after="0" w:line="240" w:lineRule="auto"/>
              <w:ind w:left="125"/>
              <w:rPr>
                <w:rFonts w:ascii="Arial Narrow" w:hAnsi="Arial Narrow" w:cs="Arial"/>
                <w:sz w:val="20"/>
                <w:szCs w:val="20"/>
              </w:rPr>
            </w:pPr>
            <w:r w:rsidRPr="00B07AB8">
              <w:rPr>
                <w:rFonts w:ascii="Arial Narrow" w:hAnsi="Arial Narrow" w:cs="Arial"/>
                <w:sz w:val="20"/>
                <w:szCs w:val="20"/>
              </w:rPr>
              <w:t>Неудовлетворительно</w:t>
            </w:r>
          </w:p>
        </w:tc>
        <w:tc>
          <w:tcPr>
            <w:tcW w:w="1014" w:type="dxa"/>
            <w:shd w:val="clear" w:color="auto" w:fill="FFFFFF"/>
            <w:vAlign w:val="center"/>
          </w:tcPr>
          <w:p w:rsidR="00B07AB8" w:rsidRPr="00B07AB8" w:rsidRDefault="00B07AB8" w:rsidP="00B07AB8">
            <w:pPr>
              <w:spacing w:after="0" w:line="240" w:lineRule="auto"/>
              <w:ind w:left="125"/>
              <w:rPr>
                <w:rFonts w:ascii="Arial Narrow" w:hAnsi="Arial Narrow" w:cs="Arial"/>
                <w:sz w:val="20"/>
                <w:szCs w:val="20"/>
              </w:rPr>
            </w:pPr>
            <w:r w:rsidRPr="00B07AB8">
              <w:rPr>
                <w:rFonts w:ascii="Arial Narrow" w:eastAsia="Calibri" w:hAnsi="Arial Narrow" w:cs="Arial"/>
                <w:sz w:val="20"/>
                <w:szCs w:val="20"/>
              </w:rPr>
              <w:t>17,0%</w:t>
            </w:r>
          </w:p>
        </w:tc>
      </w:tr>
      <w:tr w:rsidR="00B07AB8" w:rsidRPr="00B07AB8" w:rsidTr="003425A3">
        <w:trPr>
          <w:cantSplit/>
        </w:trPr>
        <w:tc>
          <w:tcPr>
            <w:tcW w:w="2459" w:type="dxa"/>
            <w:vMerge/>
            <w:shd w:val="clear" w:color="auto" w:fill="FFFFFF"/>
            <w:vAlign w:val="center"/>
          </w:tcPr>
          <w:p w:rsidR="00B07AB8" w:rsidRPr="00B07AB8" w:rsidRDefault="00B07AB8" w:rsidP="00B07AB8">
            <w:pPr>
              <w:spacing w:after="0" w:line="240" w:lineRule="auto"/>
              <w:ind w:left="125"/>
              <w:rPr>
                <w:rFonts w:ascii="Arial Narrow" w:hAnsi="Arial Narrow" w:cs="Arial"/>
                <w:sz w:val="20"/>
                <w:szCs w:val="20"/>
              </w:rPr>
            </w:pPr>
          </w:p>
        </w:tc>
        <w:tc>
          <w:tcPr>
            <w:tcW w:w="2227" w:type="dxa"/>
            <w:shd w:val="clear" w:color="auto" w:fill="FFFFFF"/>
            <w:vAlign w:val="center"/>
          </w:tcPr>
          <w:p w:rsidR="00B07AB8" w:rsidRPr="00B07AB8" w:rsidRDefault="00B07AB8" w:rsidP="00B07AB8">
            <w:pPr>
              <w:spacing w:after="0" w:line="240" w:lineRule="auto"/>
              <w:ind w:left="125"/>
              <w:rPr>
                <w:rFonts w:ascii="Arial Narrow" w:hAnsi="Arial Narrow" w:cs="Arial"/>
                <w:sz w:val="20"/>
                <w:szCs w:val="20"/>
              </w:rPr>
            </w:pPr>
            <w:r w:rsidRPr="00B07AB8">
              <w:rPr>
                <w:rFonts w:ascii="Arial Narrow" w:hAnsi="Arial Narrow" w:cs="Arial"/>
                <w:sz w:val="20"/>
                <w:szCs w:val="20"/>
              </w:rPr>
              <w:t>Затрудняюсь ответить</w:t>
            </w:r>
          </w:p>
        </w:tc>
        <w:tc>
          <w:tcPr>
            <w:tcW w:w="1014" w:type="dxa"/>
            <w:shd w:val="clear" w:color="auto" w:fill="FFFFFF"/>
            <w:vAlign w:val="center"/>
          </w:tcPr>
          <w:p w:rsidR="00B07AB8" w:rsidRPr="00B07AB8" w:rsidRDefault="00B07AB8" w:rsidP="00B07AB8">
            <w:pPr>
              <w:spacing w:after="0" w:line="240" w:lineRule="auto"/>
              <w:ind w:left="125"/>
              <w:rPr>
                <w:rFonts w:ascii="Arial Narrow" w:hAnsi="Arial Narrow" w:cs="Arial"/>
                <w:sz w:val="20"/>
                <w:szCs w:val="20"/>
              </w:rPr>
            </w:pPr>
            <w:r w:rsidRPr="00B07AB8">
              <w:rPr>
                <w:rFonts w:ascii="Arial Narrow" w:eastAsia="Calibri" w:hAnsi="Arial Narrow" w:cs="Arial"/>
                <w:sz w:val="20"/>
                <w:szCs w:val="20"/>
              </w:rPr>
              <w:t>59,6%</w:t>
            </w:r>
          </w:p>
        </w:tc>
      </w:tr>
      <w:tr w:rsidR="00B07AB8" w:rsidRPr="00B07AB8" w:rsidTr="003425A3">
        <w:trPr>
          <w:cantSplit/>
        </w:trPr>
        <w:tc>
          <w:tcPr>
            <w:tcW w:w="2459" w:type="dxa"/>
            <w:vMerge w:val="restart"/>
            <w:shd w:val="clear" w:color="auto" w:fill="FFFFFF"/>
            <w:vAlign w:val="center"/>
          </w:tcPr>
          <w:p w:rsidR="00B07AB8" w:rsidRPr="00B07AB8" w:rsidRDefault="00B07AB8" w:rsidP="00B07AB8">
            <w:pPr>
              <w:spacing w:after="0" w:line="240" w:lineRule="auto"/>
              <w:ind w:left="125"/>
              <w:rPr>
                <w:rFonts w:ascii="Arial Narrow" w:hAnsi="Arial Narrow" w:cs="Arial"/>
                <w:sz w:val="20"/>
                <w:szCs w:val="20"/>
              </w:rPr>
            </w:pPr>
            <w:r w:rsidRPr="00B07AB8">
              <w:rPr>
                <w:rFonts w:ascii="Arial Narrow" w:hAnsi="Arial Narrow" w:cs="Arial"/>
                <w:sz w:val="20"/>
                <w:szCs w:val="20"/>
              </w:rPr>
              <w:t>Электроснабжение</w:t>
            </w:r>
          </w:p>
        </w:tc>
        <w:tc>
          <w:tcPr>
            <w:tcW w:w="2227" w:type="dxa"/>
            <w:shd w:val="clear" w:color="auto" w:fill="FFFFFF"/>
            <w:vAlign w:val="center"/>
          </w:tcPr>
          <w:p w:rsidR="00B07AB8" w:rsidRPr="00B07AB8" w:rsidRDefault="00B07AB8" w:rsidP="00B07AB8">
            <w:pPr>
              <w:spacing w:after="0" w:line="240" w:lineRule="auto"/>
              <w:ind w:left="125"/>
              <w:rPr>
                <w:rFonts w:ascii="Arial Narrow" w:hAnsi="Arial Narrow" w:cs="Arial"/>
                <w:sz w:val="20"/>
                <w:szCs w:val="20"/>
              </w:rPr>
            </w:pPr>
            <w:r w:rsidRPr="00B07AB8">
              <w:rPr>
                <w:rFonts w:ascii="Arial Narrow" w:hAnsi="Arial Narrow" w:cs="Arial"/>
                <w:sz w:val="20"/>
                <w:szCs w:val="20"/>
              </w:rPr>
              <w:t>Удовлетворительно</w:t>
            </w:r>
          </w:p>
        </w:tc>
        <w:tc>
          <w:tcPr>
            <w:tcW w:w="1014" w:type="dxa"/>
            <w:shd w:val="clear" w:color="auto" w:fill="FFFFFF"/>
            <w:vAlign w:val="center"/>
          </w:tcPr>
          <w:p w:rsidR="00B07AB8" w:rsidRPr="00B07AB8" w:rsidRDefault="00B07AB8" w:rsidP="00B07AB8">
            <w:pPr>
              <w:spacing w:after="0" w:line="240" w:lineRule="auto"/>
              <w:ind w:left="125"/>
              <w:rPr>
                <w:rFonts w:ascii="Arial Narrow" w:hAnsi="Arial Narrow" w:cs="Arial"/>
                <w:sz w:val="20"/>
                <w:szCs w:val="20"/>
              </w:rPr>
            </w:pPr>
            <w:r w:rsidRPr="00B07AB8">
              <w:rPr>
                <w:rFonts w:ascii="Arial Narrow" w:eastAsia="Calibri" w:hAnsi="Arial Narrow" w:cs="Arial"/>
                <w:sz w:val="20"/>
                <w:szCs w:val="20"/>
              </w:rPr>
              <w:t>29,0%</w:t>
            </w:r>
          </w:p>
        </w:tc>
      </w:tr>
      <w:tr w:rsidR="00B07AB8" w:rsidRPr="00B07AB8" w:rsidTr="003425A3">
        <w:trPr>
          <w:cantSplit/>
        </w:trPr>
        <w:tc>
          <w:tcPr>
            <w:tcW w:w="2459" w:type="dxa"/>
            <w:vMerge/>
            <w:shd w:val="clear" w:color="auto" w:fill="FFFFFF"/>
            <w:vAlign w:val="center"/>
          </w:tcPr>
          <w:p w:rsidR="00B07AB8" w:rsidRPr="00B07AB8" w:rsidRDefault="00B07AB8" w:rsidP="00B07AB8">
            <w:pPr>
              <w:spacing w:after="0" w:line="240" w:lineRule="auto"/>
              <w:ind w:left="125"/>
              <w:rPr>
                <w:rFonts w:ascii="Arial Narrow" w:hAnsi="Arial Narrow" w:cs="Arial"/>
                <w:sz w:val="20"/>
                <w:szCs w:val="20"/>
              </w:rPr>
            </w:pPr>
          </w:p>
        </w:tc>
        <w:tc>
          <w:tcPr>
            <w:tcW w:w="2227" w:type="dxa"/>
            <w:shd w:val="clear" w:color="auto" w:fill="FFFFFF"/>
            <w:vAlign w:val="center"/>
          </w:tcPr>
          <w:p w:rsidR="00B07AB8" w:rsidRPr="00B07AB8" w:rsidRDefault="00B07AB8" w:rsidP="00B07AB8">
            <w:pPr>
              <w:spacing w:after="0" w:line="240" w:lineRule="auto"/>
              <w:ind w:left="125"/>
              <w:rPr>
                <w:rFonts w:ascii="Arial Narrow" w:hAnsi="Arial Narrow" w:cs="Arial"/>
                <w:sz w:val="20"/>
                <w:szCs w:val="20"/>
              </w:rPr>
            </w:pPr>
            <w:r w:rsidRPr="00B07AB8">
              <w:rPr>
                <w:rFonts w:ascii="Arial Narrow" w:hAnsi="Arial Narrow" w:cs="Arial"/>
                <w:sz w:val="20"/>
                <w:szCs w:val="20"/>
              </w:rPr>
              <w:t>Неудовлетворительно</w:t>
            </w:r>
          </w:p>
        </w:tc>
        <w:tc>
          <w:tcPr>
            <w:tcW w:w="1014" w:type="dxa"/>
            <w:shd w:val="clear" w:color="auto" w:fill="FFFFFF"/>
            <w:vAlign w:val="center"/>
          </w:tcPr>
          <w:p w:rsidR="00B07AB8" w:rsidRPr="00B07AB8" w:rsidRDefault="00B07AB8" w:rsidP="00B07AB8">
            <w:pPr>
              <w:spacing w:after="0" w:line="240" w:lineRule="auto"/>
              <w:ind w:left="125"/>
              <w:rPr>
                <w:rFonts w:ascii="Arial Narrow" w:hAnsi="Arial Narrow" w:cs="Arial"/>
                <w:sz w:val="20"/>
                <w:szCs w:val="20"/>
              </w:rPr>
            </w:pPr>
            <w:r w:rsidRPr="00B07AB8">
              <w:rPr>
                <w:rFonts w:ascii="Arial Narrow" w:eastAsia="Calibri" w:hAnsi="Arial Narrow" w:cs="Arial"/>
                <w:sz w:val="20"/>
                <w:szCs w:val="20"/>
              </w:rPr>
              <w:t>19,7%</w:t>
            </w:r>
          </w:p>
        </w:tc>
      </w:tr>
      <w:tr w:rsidR="00B07AB8" w:rsidRPr="00B07AB8" w:rsidTr="003425A3">
        <w:trPr>
          <w:cantSplit/>
        </w:trPr>
        <w:tc>
          <w:tcPr>
            <w:tcW w:w="2459" w:type="dxa"/>
            <w:vMerge/>
            <w:shd w:val="clear" w:color="auto" w:fill="FFFFFF"/>
            <w:vAlign w:val="center"/>
          </w:tcPr>
          <w:p w:rsidR="00B07AB8" w:rsidRPr="00B07AB8" w:rsidRDefault="00B07AB8" w:rsidP="00B07AB8">
            <w:pPr>
              <w:spacing w:after="0" w:line="240" w:lineRule="auto"/>
              <w:ind w:left="125"/>
              <w:rPr>
                <w:rFonts w:ascii="Arial Narrow" w:hAnsi="Arial Narrow" w:cs="Arial"/>
                <w:sz w:val="20"/>
                <w:szCs w:val="20"/>
              </w:rPr>
            </w:pPr>
          </w:p>
        </w:tc>
        <w:tc>
          <w:tcPr>
            <w:tcW w:w="2227" w:type="dxa"/>
            <w:shd w:val="clear" w:color="auto" w:fill="FFFFFF"/>
            <w:vAlign w:val="center"/>
          </w:tcPr>
          <w:p w:rsidR="00B07AB8" w:rsidRPr="00B07AB8" w:rsidRDefault="00B07AB8" w:rsidP="00B07AB8">
            <w:pPr>
              <w:spacing w:after="0" w:line="240" w:lineRule="auto"/>
              <w:ind w:left="125"/>
              <w:rPr>
                <w:rFonts w:ascii="Arial Narrow" w:hAnsi="Arial Narrow" w:cs="Arial"/>
                <w:sz w:val="20"/>
                <w:szCs w:val="20"/>
              </w:rPr>
            </w:pPr>
            <w:r w:rsidRPr="00B07AB8">
              <w:rPr>
                <w:rFonts w:ascii="Arial Narrow" w:hAnsi="Arial Narrow" w:cs="Arial"/>
                <w:sz w:val="20"/>
                <w:szCs w:val="20"/>
              </w:rPr>
              <w:t>Затрудняюсь ответить</w:t>
            </w:r>
          </w:p>
        </w:tc>
        <w:tc>
          <w:tcPr>
            <w:tcW w:w="1014" w:type="dxa"/>
            <w:shd w:val="clear" w:color="auto" w:fill="FFFFFF"/>
            <w:vAlign w:val="center"/>
          </w:tcPr>
          <w:p w:rsidR="00B07AB8" w:rsidRPr="00B07AB8" w:rsidRDefault="00B07AB8" w:rsidP="00B07AB8">
            <w:pPr>
              <w:spacing w:after="0" w:line="240" w:lineRule="auto"/>
              <w:ind w:left="125"/>
              <w:rPr>
                <w:rFonts w:ascii="Arial Narrow" w:hAnsi="Arial Narrow" w:cs="Arial"/>
                <w:sz w:val="20"/>
                <w:szCs w:val="20"/>
              </w:rPr>
            </w:pPr>
            <w:r w:rsidRPr="00B07AB8">
              <w:rPr>
                <w:rFonts w:ascii="Arial Narrow" w:eastAsia="Calibri" w:hAnsi="Arial Narrow" w:cs="Arial"/>
                <w:sz w:val="20"/>
                <w:szCs w:val="20"/>
              </w:rPr>
              <w:t>51,4%</w:t>
            </w:r>
          </w:p>
        </w:tc>
      </w:tr>
      <w:tr w:rsidR="00B07AB8" w:rsidRPr="00B07AB8" w:rsidTr="003425A3">
        <w:trPr>
          <w:cantSplit/>
        </w:trPr>
        <w:tc>
          <w:tcPr>
            <w:tcW w:w="2459" w:type="dxa"/>
            <w:vMerge w:val="restart"/>
            <w:shd w:val="clear" w:color="auto" w:fill="FFFFFF"/>
            <w:vAlign w:val="center"/>
          </w:tcPr>
          <w:p w:rsidR="00B07AB8" w:rsidRPr="00B07AB8" w:rsidRDefault="00B07AB8" w:rsidP="00B07AB8">
            <w:pPr>
              <w:spacing w:after="0" w:line="240" w:lineRule="auto"/>
              <w:ind w:left="125"/>
              <w:rPr>
                <w:rFonts w:ascii="Arial Narrow" w:hAnsi="Arial Narrow" w:cs="Arial"/>
                <w:sz w:val="20"/>
                <w:szCs w:val="20"/>
              </w:rPr>
            </w:pPr>
            <w:r w:rsidRPr="00B07AB8">
              <w:rPr>
                <w:rFonts w:ascii="Arial Narrow" w:hAnsi="Arial Narrow" w:cs="Arial"/>
                <w:sz w:val="20"/>
                <w:szCs w:val="20"/>
              </w:rPr>
              <w:t>Теплоснабжение</w:t>
            </w:r>
          </w:p>
        </w:tc>
        <w:tc>
          <w:tcPr>
            <w:tcW w:w="2227" w:type="dxa"/>
            <w:shd w:val="clear" w:color="auto" w:fill="FFFFFF"/>
            <w:vAlign w:val="center"/>
          </w:tcPr>
          <w:p w:rsidR="00B07AB8" w:rsidRPr="00B07AB8" w:rsidRDefault="00B07AB8" w:rsidP="00B07AB8">
            <w:pPr>
              <w:spacing w:after="0" w:line="240" w:lineRule="auto"/>
              <w:ind w:left="125"/>
              <w:rPr>
                <w:rFonts w:ascii="Arial Narrow" w:hAnsi="Arial Narrow" w:cs="Arial"/>
                <w:sz w:val="20"/>
                <w:szCs w:val="20"/>
              </w:rPr>
            </w:pPr>
            <w:r w:rsidRPr="00B07AB8">
              <w:rPr>
                <w:rFonts w:ascii="Arial Narrow" w:hAnsi="Arial Narrow" w:cs="Arial"/>
                <w:sz w:val="20"/>
                <w:szCs w:val="20"/>
              </w:rPr>
              <w:t>Удовлетворительно</w:t>
            </w:r>
          </w:p>
        </w:tc>
        <w:tc>
          <w:tcPr>
            <w:tcW w:w="1014" w:type="dxa"/>
            <w:shd w:val="clear" w:color="auto" w:fill="FFFFFF"/>
            <w:vAlign w:val="center"/>
          </w:tcPr>
          <w:p w:rsidR="00B07AB8" w:rsidRPr="00B07AB8" w:rsidRDefault="00B07AB8" w:rsidP="00B07AB8">
            <w:pPr>
              <w:spacing w:after="0" w:line="240" w:lineRule="auto"/>
              <w:ind w:left="125"/>
              <w:rPr>
                <w:rFonts w:ascii="Arial Narrow" w:hAnsi="Arial Narrow" w:cs="Arial"/>
                <w:sz w:val="20"/>
                <w:szCs w:val="20"/>
              </w:rPr>
            </w:pPr>
            <w:r w:rsidRPr="00B07AB8">
              <w:rPr>
                <w:rFonts w:ascii="Arial Narrow" w:eastAsia="Calibri" w:hAnsi="Arial Narrow" w:cs="Arial"/>
                <w:sz w:val="20"/>
                <w:szCs w:val="20"/>
              </w:rPr>
              <w:t>28,0%</w:t>
            </w:r>
          </w:p>
        </w:tc>
      </w:tr>
      <w:tr w:rsidR="00B07AB8" w:rsidRPr="00B07AB8" w:rsidTr="003425A3">
        <w:trPr>
          <w:cantSplit/>
        </w:trPr>
        <w:tc>
          <w:tcPr>
            <w:tcW w:w="2459" w:type="dxa"/>
            <w:vMerge/>
            <w:shd w:val="clear" w:color="auto" w:fill="FFFFFF"/>
            <w:vAlign w:val="center"/>
          </w:tcPr>
          <w:p w:rsidR="00B07AB8" w:rsidRPr="00B07AB8" w:rsidRDefault="00B07AB8" w:rsidP="00B07AB8">
            <w:pPr>
              <w:spacing w:after="0" w:line="240" w:lineRule="auto"/>
              <w:ind w:left="125"/>
              <w:rPr>
                <w:rFonts w:ascii="Arial Narrow" w:hAnsi="Arial Narrow" w:cs="Arial"/>
                <w:sz w:val="20"/>
                <w:szCs w:val="20"/>
              </w:rPr>
            </w:pPr>
          </w:p>
        </w:tc>
        <w:tc>
          <w:tcPr>
            <w:tcW w:w="2227" w:type="dxa"/>
            <w:shd w:val="clear" w:color="auto" w:fill="FFFFFF"/>
            <w:vAlign w:val="center"/>
          </w:tcPr>
          <w:p w:rsidR="00B07AB8" w:rsidRPr="00B07AB8" w:rsidRDefault="00B07AB8" w:rsidP="00B07AB8">
            <w:pPr>
              <w:spacing w:after="0" w:line="240" w:lineRule="auto"/>
              <w:ind w:left="125"/>
              <w:rPr>
                <w:rFonts w:ascii="Arial Narrow" w:hAnsi="Arial Narrow" w:cs="Arial"/>
                <w:sz w:val="20"/>
                <w:szCs w:val="20"/>
              </w:rPr>
            </w:pPr>
            <w:r w:rsidRPr="00B07AB8">
              <w:rPr>
                <w:rFonts w:ascii="Arial Narrow" w:hAnsi="Arial Narrow" w:cs="Arial"/>
                <w:sz w:val="20"/>
                <w:szCs w:val="20"/>
              </w:rPr>
              <w:t>Неудовлетворительно</w:t>
            </w:r>
          </w:p>
        </w:tc>
        <w:tc>
          <w:tcPr>
            <w:tcW w:w="1014" w:type="dxa"/>
            <w:shd w:val="clear" w:color="auto" w:fill="FFFFFF"/>
            <w:vAlign w:val="center"/>
          </w:tcPr>
          <w:p w:rsidR="00B07AB8" w:rsidRPr="00B07AB8" w:rsidRDefault="00B07AB8" w:rsidP="00B07AB8">
            <w:pPr>
              <w:spacing w:after="0" w:line="240" w:lineRule="auto"/>
              <w:ind w:left="125"/>
              <w:rPr>
                <w:rFonts w:ascii="Arial Narrow" w:hAnsi="Arial Narrow" w:cs="Arial"/>
                <w:sz w:val="20"/>
                <w:szCs w:val="20"/>
              </w:rPr>
            </w:pPr>
            <w:r w:rsidRPr="00B07AB8">
              <w:rPr>
                <w:rFonts w:ascii="Arial Narrow" w:eastAsia="Calibri" w:hAnsi="Arial Narrow" w:cs="Arial"/>
                <w:sz w:val="20"/>
                <w:szCs w:val="20"/>
              </w:rPr>
              <w:t>17,1%</w:t>
            </w:r>
          </w:p>
        </w:tc>
      </w:tr>
      <w:tr w:rsidR="00B07AB8" w:rsidRPr="00B07AB8" w:rsidTr="003425A3">
        <w:trPr>
          <w:cantSplit/>
        </w:trPr>
        <w:tc>
          <w:tcPr>
            <w:tcW w:w="2459" w:type="dxa"/>
            <w:vMerge/>
            <w:shd w:val="clear" w:color="auto" w:fill="FFFFFF"/>
            <w:vAlign w:val="center"/>
          </w:tcPr>
          <w:p w:rsidR="00B07AB8" w:rsidRPr="00B07AB8" w:rsidRDefault="00B07AB8" w:rsidP="00B07AB8">
            <w:pPr>
              <w:spacing w:after="0" w:line="240" w:lineRule="auto"/>
              <w:ind w:left="125"/>
              <w:rPr>
                <w:rFonts w:ascii="Arial Narrow" w:hAnsi="Arial Narrow" w:cs="Arial"/>
                <w:sz w:val="20"/>
                <w:szCs w:val="20"/>
              </w:rPr>
            </w:pPr>
          </w:p>
        </w:tc>
        <w:tc>
          <w:tcPr>
            <w:tcW w:w="2227" w:type="dxa"/>
            <w:shd w:val="clear" w:color="auto" w:fill="FFFFFF"/>
            <w:vAlign w:val="center"/>
          </w:tcPr>
          <w:p w:rsidR="00B07AB8" w:rsidRPr="00B07AB8" w:rsidRDefault="00B07AB8" w:rsidP="00B07AB8">
            <w:pPr>
              <w:spacing w:after="0" w:line="240" w:lineRule="auto"/>
              <w:ind w:left="125"/>
              <w:rPr>
                <w:rFonts w:ascii="Arial Narrow" w:hAnsi="Arial Narrow" w:cs="Arial"/>
                <w:sz w:val="20"/>
                <w:szCs w:val="20"/>
              </w:rPr>
            </w:pPr>
            <w:r w:rsidRPr="00B07AB8">
              <w:rPr>
                <w:rFonts w:ascii="Arial Narrow" w:hAnsi="Arial Narrow" w:cs="Arial"/>
                <w:sz w:val="20"/>
                <w:szCs w:val="20"/>
              </w:rPr>
              <w:t>Затрудняюсь ответить</w:t>
            </w:r>
          </w:p>
        </w:tc>
        <w:tc>
          <w:tcPr>
            <w:tcW w:w="1014" w:type="dxa"/>
            <w:shd w:val="clear" w:color="auto" w:fill="FFFFFF"/>
            <w:vAlign w:val="center"/>
          </w:tcPr>
          <w:p w:rsidR="00B07AB8" w:rsidRPr="00B07AB8" w:rsidRDefault="00B07AB8" w:rsidP="00B07AB8">
            <w:pPr>
              <w:spacing w:after="0" w:line="240" w:lineRule="auto"/>
              <w:ind w:left="125"/>
              <w:rPr>
                <w:rFonts w:ascii="Arial Narrow" w:hAnsi="Arial Narrow" w:cs="Arial"/>
                <w:sz w:val="20"/>
                <w:szCs w:val="20"/>
              </w:rPr>
            </w:pPr>
            <w:r w:rsidRPr="00B07AB8">
              <w:rPr>
                <w:rFonts w:ascii="Arial Narrow" w:eastAsia="Calibri" w:hAnsi="Arial Narrow" w:cs="Arial"/>
                <w:sz w:val="20"/>
                <w:szCs w:val="20"/>
              </w:rPr>
              <w:t>55,0%</w:t>
            </w:r>
          </w:p>
        </w:tc>
      </w:tr>
    </w:tbl>
    <w:p w:rsidR="00B07AB8" w:rsidRPr="00B07AB8" w:rsidRDefault="00B07AB8" w:rsidP="00B07AB8">
      <w:pPr>
        <w:spacing w:line="360" w:lineRule="auto"/>
        <w:ind w:firstLine="567"/>
        <w:jc w:val="both"/>
        <w:rPr>
          <w:rFonts w:ascii="Arial Narrow" w:hAnsi="Arial Narrow"/>
          <w:sz w:val="24"/>
          <w:szCs w:val="24"/>
        </w:rPr>
      </w:pPr>
    </w:p>
    <w:p w:rsidR="00B07AB8" w:rsidRPr="00B07AB8" w:rsidRDefault="00B07AB8" w:rsidP="00A43AC6">
      <w:pPr>
        <w:jc w:val="both"/>
        <w:outlineLvl w:val="2"/>
        <w:rPr>
          <w:rFonts w:ascii="Arial Narrow" w:hAnsi="Arial Narrow"/>
          <w:b/>
          <w:bCs/>
          <w:sz w:val="26"/>
          <w:szCs w:val="26"/>
        </w:rPr>
      </w:pPr>
      <w:bookmarkStart w:id="36" w:name="_Toc475532259"/>
      <w:r w:rsidRPr="00B07AB8">
        <w:rPr>
          <w:rFonts w:ascii="Arial Narrow" w:hAnsi="Arial Narrow"/>
          <w:b/>
          <w:bCs/>
          <w:sz w:val="26"/>
          <w:szCs w:val="26"/>
        </w:rPr>
        <w:t>5.5.1.4.1. Удовлетворенность с</w:t>
      </w:r>
      <w:r w:rsidRPr="00B07AB8">
        <w:rPr>
          <w:rFonts w:ascii="Arial Narrow" w:eastAsia="Calibri" w:hAnsi="Arial Narrow"/>
          <w:b/>
          <w:bCs/>
          <w:sz w:val="26"/>
          <w:szCs w:val="26"/>
        </w:rPr>
        <w:t>ложностью (количеством) процедур подключения</w:t>
      </w:r>
      <w:r w:rsidRPr="00B07AB8">
        <w:rPr>
          <w:rFonts w:ascii="Arial Narrow" w:hAnsi="Arial Narrow"/>
          <w:b/>
          <w:bCs/>
          <w:sz w:val="26"/>
          <w:szCs w:val="26"/>
        </w:rPr>
        <w:t xml:space="preserve"> услуг электроснабжения в разрезе отраслевой принадлежности, величины и местонахождения субъектов предпринимательства</w:t>
      </w:r>
      <w:bookmarkEnd w:id="36"/>
    </w:p>
    <w:p w:rsidR="00B07AB8" w:rsidRPr="00B07AB8" w:rsidRDefault="00B07AB8" w:rsidP="00B07AB8">
      <w:pPr>
        <w:spacing w:after="0" w:line="360" w:lineRule="auto"/>
        <w:ind w:firstLine="567"/>
        <w:jc w:val="both"/>
        <w:rPr>
          <w:rFonts w:ascii="Arial Narrow" w:hAnsi="Arial Narrow"/>
          <w:sz w:val="24"/>
          <w:szCs w:val="24"/>
        </w:rPr>
      </w:pP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Самые высокие доли субъектов предпринимательства, удовлетворенных сложностью (количеством) процедур подключения услуг электроснабжения (50 % и более), зафиксированы среди следующих групп респондентов:</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 субъекты предпринимательства, ведущие деятельность в Купинском (80,0 %), Усть-Таркском (66,7 %), Колыванском (65,2 %), Доволенском (57,1 %), Татарском (55,6 %), Куйбышевском (53,8 %), Чулымском (53,3 %), Карасукском (52,9 %), Барабинском (52,6 %), Ордынском (52,6 %) районах.</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Среди социально значимых и приоритетных рынков нет таких, представители которых давали бы оценки значительно выше среднего значения (29,0 %). В качестве тенденции можно выделить лишь рынок развития, производства, переработки и хранения сельскохозяйственной продукции, среди представителей которого 48,0 % организаций удовлетворены сложностью (количеством) процедур подключения услуг электроснабжения.</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Средние предприятия чаще, чем малые, удовлетворены данным параметром услуг электроснабжения (45,5 % и 28,9 % соответственно).</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Меньше всего удовлетворены сложностью (количеством) процедур подключения услуг электроснабжения представители рынка услуг дошкольного образования (0,0 %), рынка услуг детского отдыха и оздоровления (0,0 %), перевозок пассажиров наземным транспортом (6,7 %), рынка услуг социального обслуживания населения (12,0 %), рынка услуг в сфере культуры (12,0 %), организации, ведущие деятельность в р. п. Кольцово (0,0 %), Северном (0,0 %), Кочковском (0,0 %), Каргатском (0,0 %) районах, г. Бердске (12,8 %).</w:t>
      </w:r>
    </w:p>
    <w:p w:rsidR="00B07AB8" w:rsidRPr="00B07AB8" w:rsidRDefault="00B07AB8" w:rsidP="00B07AB8">
      <w:pPr>
        <w:jc w:val="center"/>
        <w:rPr>
          <w:rFonts w:ascii="Arial Narrow" w:hAnsi="Arial Narrow"/>
          <w:b/>
          <w:bCs/>
        </w:rPr>
      </w:pPr>
      <w:r w:rsidRPr="00B07AB8">
        <w:rPr>
          <w:rFonts w:ascii="Arial Narrow" w:hAnsi="Arial Narrow"/>
          <w:noProof/>
          <w:lang w:eastAsia="ru-RU"/>
        </w:rPr>
        <w:lastRenderedPageBreak/>
        <w:drawing>
          <wp:inline distT="0" distB="0" distL="0" distR="0">
            <wp:extent cx="6051550" cy="5410200"/>
            <wp:effectExtent l="19050" t="0" r="0" b="0"/>
            <wp:docPr id="586"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B07AB8" w:rsidRPr="00B07AB8" w:rsidRDefault="00B07AB8" w:rsidP="00B07AB8">
      <w:pPr>
        <w:jc w:val="center"/>
        <w:rPr>
          <w:rFonts w:ascii="Arial Narrow" w:hAnsi="Arial Narrow"/>
          <w:b/>
          <w:bCs/>
        </w:rPr>
      </w:pPr>
      <w:r w:rsidRPr="00B07AB8">
        <w:rPr>
          <w:rFonts w:ascii="Arial Narrow" w:hAnsi="Arial Narrow"/>
          <w:bCs/>
        </w:rPr>
        <w:t>Диаграмма 5.5.41</w:t>
      </w:r>
      <w:r w:rsidRPr="00B07AB8">
        <w:rPr>
          <w:rFonts w:ascii="Arial Narrow" w:hAnsi="Arial Narrow"/>
          <w:b/>
          <w:bCs/>
        </w:rPr>
        <w:t xml:space="preserve"> – Удовлетворенность субъектов предпринимательской деятельности сложностью (количеством) процедур подключения услуг электроснабжения, в % от числа опрошенных по сферам деятельности</w:t>
      </w:r>
    </w:p>
    <w:p w:rsidR="00B07AB8" w:rsidRPr="00B07AB8" w:rsidRDefault="00B07AB8" w:rsidP="00B07AB8">
      <w:pPr>
        <w:ind w:firstLine="567"/>
        <w:jc w:val="center"/>
        <w:rPr>
          <w:rFonts w:ascii="Arial Narrow" w:hAnsi="Arial Narrow"/>
          <w:b/>
          <w:bCs/>
        </w:rPr>
      </w:pPr>
      <w:r w:rsidRPr="00B07AB8">
        <w:rPr>
          <w:rFonts w:ascii="Arial Narrow" w:hAnsi="Arial Narrow"/>
          <w:noProof/>
          <w:lang w:eastAsia="ru-RU"/>
        </w:rPr>
        <w:drawing>
          <wp:inline distT="0" distB="0" distL="0" distR="0">
            <wp:extent cx="6032500" cy="1600200"/>
            <wp:effectExtent l="0" t="0" r="0" b="0"/>
            <wp:docPr id="587"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r w:rsidRPr="00B07AB8">
        <w:rPr>
          <w:rFonts w:ascii="Arial Narrow" w:hAnsi="Arial Narrow"/>
          <w:bCs/>
        </w:rPr>
        <w:t>Диаграмма 5.5.42</w:t>
      </w:r>
      <w:r w:rsidRPr="00B07AB8">
        <w:rPr>
          <w:rFonts w:ascii="Arial Narrow" w:hAnsi="Arial Narrow"/>
          <w:b/>
          <w:bCs/>
        </w:rPr>
        <w:t xml:space="preserve"> – Удовлетворенность субъектов предпринимательской деятельности сложностью (количеством) процедур подключения услуг электроснабжения, в % от числа опрошенных в группах по величине предприятий</w:t>
      </w:r>
    </w:p>
    <w:p w:rsidR="00B07AB8" w:rsidRPr="00B07AB8" w:rsidRDefault="00B07AB8" w:rsidP="00B07AB8">
      <w:pPr>
        <w:jc w:val="center"/>
        <w:rPr>
          <w:rFonts w:ascii="Arial Narrow" w:hAnsi="Arial Narrow"/>
          <w:b/>
          <w:bCs/>
          <w:color w:val="595959"/>
          <w:sz w:val="20"/>
          <w:szCs w:val="20"/>
        </w:rPr>
      </w:pPr>
      <w:r w:rsidRPr="00B07AB8">
        <w:rPr>
          <w:rFonts w:ascii="Arial Narrow" w:hAnsi="Arial Narrow"/>
          <w:noProof/>
          <w:color w:val="986297"/>
          <w:lang w:eastAsia="ru-RU"/>
        </w:rPr>
        <w:lastRenderedPageBreak/>
        <w:drawing>
          <wp:inline distT="0" distB="0" distL="0" distR="0">
            <wp:extent cx="6154309" cy="7919499"/>
            <wp:effectExtent l="0" t="0" r="0" b="0"/>
            <wp:docPr id="588"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B07AB8" w:rsidRPr="00B07AB8" w:rsidRDefault="00B07AB8" w:rsidP="00B07AB8">
      <w:pPr>
        <w:jc w:val="center"/>
        <w:rPr>
          <w:rFonts w:ascii="Arial Narrow" w:hAnsi="Arial Narrow"/>
          <w:b/>
          <w:bCs/>
        </w:rPr>
      </w:pPr>
      <w:r w:rsidRPr="00B07AB8">
        <w:rPr>
          <w:rFonts w:ascii="Arial Narrow" w:hAnsi="Arial Narrow"/>
          <w:bCs/>
        </w:rPr>
        <w:t>Диаграмма 5.5.43</w:t>
      </w:r>
      <w:r w:rsidRPr="00B07AB8">
        <w:rPr>
          <w:rFonts w:ascii="Arial Narrow" w:hAnsi="Arial Narrow"/>
          <w:b/>
          <w:bCs/>
        </w:rPr>
        <w:t xml:space="preserve"> – Удовлетворенность субъектов предпринимательской деятельности сложностью (количеством) процедур подключения услуг электроснабжения, в % от числа опрошенных по территориям</w:t>
      </w:r>
    </w:p>
    <w:p w:rsidR="00B07AB8" w:rsidRPr="00B07AB8" w:rsidRDefault="00B07AB8" w:rsidP="00A43AC6">
      <w:pPr>
        <w:jc w:val="both"/>
        <w:outlineLvl w:val="2"/>
        <w:rPr>
          <w:rFonts w:ascii="Arial Narrow" w:hAnsi="Arial Narrow"/>
          <w:b/>
          <w:bCs/>
          <w:sz w:val="26"/>
          <w:szCs w:val="26"/>
        </w:rPr>
      </w:pPr>
      <w:bookmarkStart w:id="37" w:name="_Toc475532260"/>
      <w:r w:rsidRPr="00B07AB8">
        <w:rPr>
          <w:rFonts w:ascii="Arial Narrow" w:hAnsi="Arial Narrow"/>
          <w:b/>
          <w:bCs/>
          <w:sz w:val="26"/>
          <w:szCs w:val="26"/>
        </w:rPr>
        <w:lastRenderedPageBreak/>
        <w:t>5.5.1.4.2. Удовлетворенность с</w:t>
      </w:r>
      <w:r w:rsidRPr="00B07AB8">
        <w:rPr>
          <w:rFonts w:ascii="Arial Narrow" w:eastAsia="Calibri" w:hAnsi="Arial Narrow"/>
          <w:b/>
          <w:bCs/>
          <w:sz w:val="26"/>
          <w:szCs w:val="26"/>
        </w:rPr>
        <w:t>ложностью (количеством) процедур подключения</w:t>
      </w:r>
      <w:r w:rsidRPr="00B07AB8">
        <w:rPr>
          <w:rFonts w:ascii="Arial Narrow" w:hAnsi="Arial Narrow"/>
          <w:b/>
          <w:bCs/>
          <w:sz w:val="26"/>
          <w:szCs w:val="26"/>
        </w:rPr>
        <w:t xml:space="preserve"> услуг водоснабжения/водоотведения в разрезе отраслевой принадлежности, величины и местонахождения субъектов предпринимательства</w:t>
      </w:r>
      <w:bookmarkEnd w:id="37"/>
    </w:p>
    <w:p w:rsidR="00B07AB8" w:rsidRPr="00B07AB8" w:rsidRDefault="00B07AB8" w:rsidP="00B07AB8">
      <w:pPr>
        <w:ind w:firstLine="567"/>
        <w:jc w:val="center"/>
        <w:rPr>
          <w:rFonts w:ascii="Arial Narrow" w:hAnsi="Arial Narrow"/>
        </w:rPr>
      </w:pP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Самые высокие доли субъектов предпринимательства, удовлетворенных сложностью (количеством) процедур подключения услуг водоснабжения/водоотведения (50 % и более), зафиксированы среди следующих групп респондентов:</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 субъекты предпринимательства, ведущие деятельность в Кыштовском (83,3 %), Здвинском (66,7 %), Купинском (66,7 %), Усть-Таркском (66,7 %), Баганском (62,5 %), Барабинском (57,9 %), Коченевском (53,8 %), Куйбышевском (53,8 %), Чулымском (53,3 %), Карасукском (52,9 %), Ордынском (52,6 %), Колыванском (52,2 %) районах.</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Среди социально значимых и приоритетных рынков нет таких, представители которых давали бы оценки значительно выше среднего значения (29,1 %).</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Средние предприятия чаще, чем малые, удовлетворены данным параметром услуг водоснабжения/водоотведения (45,5 % и 29,0 % соответственно).</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Меньше всего удовлетворены сложностью (количеством) процедур подключения услуг водоснабжения/водоотведения представители рынка услуг дошкольного образования (0,0 %), детского отдыха и оздоровления (0,0 %), рынка услуг перевозок пассажиров наземным транспортом (3,3 %), рынка услуг связи (8,0 %), рынка услуг социального обслуживания населения (12,0 %), рынка услуг в сфере культуры (12,0 %), организации, ведущие деятельность в р. п. Кольцово (0,0 %), Кочковском (0,0 %) районах, г. Бердске (10,3 %).</w:t>
      </w:r>
    </w:p>
    <w:p w:rsidR="00B07AB8" w:rsidRPr="00B07AB8" w:rsidRDefault="00B07AB8" w:rsidP="00B07AB8">
      <w:pPr>
        <w:jc w:val="center"/>
        <w:rPr>
          <w:rFonts w:ascii="Arial Narrow" w:hAnsi="Arial Narrow"/>
          <w:bCs/>
        </w:rPr>
      </w:pPr>
      <w:r w:rsidRPr="00B07AB8">
        <w:rPr>
          <w:rFonts w:ascii="Arial Narrow" w:hAnsi="Arial Narrow"/>
          <w:noProof/>
          <w:lang w:eastAsia="ru-RU"/>
        </w:rPr>
        <w:lastRenderedPageBreak/>
        <w:drawing>
          <wp:inline distT="0" distB="0" distL="0" distR="0">
            <wp:extent cx="6389702" cy="5057029"/>
            <wp:effectExtent l="19050" t="0" r="0" b="0"/>
            <wp:docPr id="589"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B07AB8" w:rsidRPr="00B07AB8" w:rsidRDefault="00B07AB8" w:rsidP="00B07AB8">
      <w:pPr>
        <w:jc w:val="center"/>
        <w:rPr>
          <w:rFonts w:ascii="Arial Narrow" w:hAnsi="Arial Narrow"/>
          <w:b/>
          <w:bCs/>
        </w:rPr>
      </w:pPr>
      <w:r w:rsidRPr="00B07AB8">
        <w:rPr>
          <w:rFonts w:ascii="Arial Narrow" w:hAnsi="Arial Narrow"/>
          <w:bCs/>
        </w:rPr>
        <w:t>Диаграмма 5.5.44</w:t>
      </w:r>
      <w:r w:rsidRPr="00B07AB8">
        <w:rPr>
          <w:rFonts w:ascii="Arial Narrow" w:hAnsi="Arial Narrow"/>
          <w:b/>
          <w:bCs/>
        </w:rPr>
        <w:t xml:space="preserve"> – Удовлетворенность субъектов предпринимательской деятельности сложностью (количеством) процедур подключения услуг водоснабжения, водоотведения, в % от числа опрошенных по сферам деятельности</w:t>
      </w:r>
    </w:p>
    <w:p w:rsidR="00B07AB8" w:rsidRPr="00B07AB8" w:rsidRDefault="00B07AB8" w:rsidP="00B07AB8">
      <w:pPr>
        <w:jc w:val="right"/>
        <w:rPr>
          <w:rFonts w:ascii="Arial Narrow" w:hAnsi="Arial Narrow"/>
          <w:b/>
          <w:bCs/>
          <w:color w:val="595959"/>
          <w:sz w:val="20"/>
          <w:szCs w:val="20"/>
        </w:rPr>
      </w:pPr>
    </w:p>
    <w:p w:rsidR="00B07AB8" w:rsidRPr="00B07AB8" w:rsidRDefault="00B07AB8" w:rsidP="00B07AB8">
      <w:pPr>
        <w:ind w:firstLine="567"/>
        <w:jc w:val="center"/>
        <w:rPr>
          <w:rFonts w:ascii="Arial Narrow" w:hAnsi="Arial Narrow"/>
          <w:b/>
          <w:bCs/>
          <w:sz w:val="20"/>
          <w:szCs w:val="20"/>
        </w:rPr>
      </w:pPr>
      <w:r w:rsidRPr="00B07AB8">
        <w:rPr>
          <w:rFonts w:ascii="Arial Narrow" w:hAnsi="Arial Narrow"/>
          <w:noProof/>
          <w:lang w:eastAsia="ru-RU"/>
        </w:rPr>
        <w:drawing>
          <wp:inline distT="0" distB="0" distL="0" distR="0">
            <wp:extent cx="6031230" cy="1885950"/>
            <wp:effectExtent l="0" t="0" r="0" b="0"/>
            <wp:docPr id="590"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r w:rsidRPr="00B07AB8">
        <w:rPr>
          <w:rFonts w:ascii="Arial Narrow" w:hAnsi="Arial Narrow"/>
          <w:bCs/>
        </w:rPr>
        <w:t>Диаграмма 5.5.45</w:t>
      </w:r>
      <w:r w:rsidRPr="00B07AB8">
        <w:rPr>
          <w:rFonts w:ascii="Arial Narrow" w:hAnsi="Arial Narrow"/>
          <w:b/>
          <w:bCs/>
        </w:rPr>
        <w:t xml:space="preserve"> – Удовлетворенность субъектов предпринимательской деятельности сложностью (количеством) процедур подключения услуг водоснабжения, водоотведения, в % от числа опрошенных в группах по величине предприятий</w:t>
      </w:r>
    </w:p>
    <w:p w:rsidR="00B07AB8" w:rsidRPr="00B07AB8" w:rsidRDefault="00B07AB8" w:rsidP="00B07AB8">
      <w:pPr>
        <w:jc w:val="center"/>
        <w:rPr>
          <w:rFonts w:ascii="Arial Narrow" w:hAnsi="Arial Narrow"/>
          <w:b/>
          <w:bCs/>
        </w:rPr>
      </w:pPr>
      <w:r w:rsidRPr="00B07AB8">
        <w:rPr>
          <w:rFonts w:ascii="Arial Narrow" w:hAnsi="Arial Narrow"/>
          <w:noProof/>
          <w:color w:val="986297"/>
          <w:lang w:eastAsia="ru-RU"/>
        </w:rPr>
        <w:lastRenderedPageBreak/>
        <w:drawing>
          <wp:inline distT="0" distB="0" distL="0" distR="0">
            <wp:extent cx="6276975" cy="8077200"/>
            <wp:effectExtent l="0" t="0" r="0" b="0"/>
            <wp:docPr id="591" name="Диаграмма 2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r w:rsidRPr="00B07AB8">
        <w:rPr>
          <w:rFonts w:ascii="Arial Narrow" w:hAnsi="Arial Narrow"/>
          <w:bCs/>
        </w:rPr>
        <w:t>Диаграмма 5.5.46</w:t>
      </w:r>
      <w:r w:rsidRPr="00B07AB8">
        <w:rPr>
          <w:rFonts w:ascii="Arial Narrow" w:hAnsi="Arial Narrow"/>
          <w:b/>
          <w:bCs/>
        </w:rPr>
        <w:t xml:space="preserve"> – Удовлетворенность субъектов предпринимательской деятельности сложностью (количеством) процедур подключения услуг водоснабжения, водоотведения, в % от числа опрошенных по территориям</w:t>
      </w:r>
    </w:p>
    <w:p w:rsidR="00B07AB8" w:rsidRPr="00B07AB8" w:rsidRDefault="00B07AB8" w:rsidP="00A64028">
      <w:pPr>
        <w:rPr>
          <w:rFonts w:ascii="Arial Narrow" w:hAnsi="Arial Narrow"/>
          <w:b/>
          <w:bCs/>
          <w:sz w:val="26"/>
          <w:szCs w:val="26"/>
        </w:rPr>
      </w:pPr>
      <w:r w:rsidRPr="00B07AB8">
        <w:rPr>
          <w:rFonts w:ascii="Arial Narrow" w:hAnsi="Arial Narrow"/>
          <w:b/>
          <w:bCs/>
          <w:sz w:val="26"/>
          <w:szCs w:val="26"/>
        </w:rPr>
        <w:br w:type="page"/>
      </w:r>
      <w:r w:rsidRPr="00B07AB8">
        <w:rPr>
          <w:rFonts w:ascii="Arial Narrow" w:hAnsi="Arial Narrow"/>
          <w:b/>
          <w:bCs/>
          <w:sz w:val="26"/>
          <w:szCs w:val="26"/>
        </w:rPr>
        <w:lastRenderedPageBreak/>
        <w:t>5.5.1.4.3. Удовлетворенность с</w:t>
      </w:r>
      <w:r w:rsidRPr="00B07AB8">
        <w:rPr>
          <w:rFonts w:ascii="Arial Narrow" w:eastAsia="Calibri" w:hAnsi="Arial Narrow"/>
          <w:b/>
          <w:bCs/>
          <w:sz w:val="26"/>
          <w:szCs w:val="26"/>
        </w:rPr>
        <w:t>ложностью (количеством) процедур подключения</w:t>
      </w:r>
      <w:r w:rsidRPr="00B07AB8">
        <w:rPr>
          <w:rFonts w:ascii="Arial Narrow" w:hAnsi="Arial Narrow"/>
          <w:b/>
          <w:bCs/>
          <w:sz w:val="26"/>
          <w:szCs w:val="26"/>
        </w:rPr>
        <w:t xml:space="preserve"> услуг теплоснабжения в разрезе отраслевой принадлежности, величины и местонахождения субъектов предпринимательства</w:t>
      </w:r>
    </w:p>
    <w:p w:rsidR="00B07AB8" w:rsidRPr="00B07AB8" w:rsidRDefault="00B07AB8" w:rsidP="00B07AB8">
      <w:pPr>
        <w:ind w:firstLine="567"/>
        <w:jc w:val="center"/>
        <w:rPr>
          <w:rFonts w:ascii="Arial Narrow" w:hAnsi="Arial Narrow"/>
        </w:rPr>
      </w:pP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Самые высокие доли субъектов предпринимательства, удовлетворенных сложностью (количеством) процедур подключения услуг теплоснабжения (50 % и более), зафиксированы среди следующих групп респондентов:</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 субъекты предпринимательства, ведущие деятельность в Татарском (66,7 %), Колыванском (60,9 %), Купинском (60,0 %), Доволенском (57,1 %), Чулымском (53,3 %), Карасукском (52,9 %), Барабинском (52,6 %), Куйбышевском (50,0 %), Кыштовском (50,0 %), Усть-Таркском (50,0 %) районах.</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Среди социально значимых и приоритетных рынков нет таких, представители которых давали бы оценки значительно выше среднего значения (28,0 %).</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Средние и малые предприятия удовлетворены данным параметром примерно в одинаковой степени (36,4 % и 27,9 % соответственно).</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Меньше всего удовлетворены сложностью (количеством) процедур подключения услуг теплоснабжения представители рынка услуг дошкольного образования (0,0 %), услуг детского отдыха и оздоровления (0,0 %), услуг перевозок пассажиров наземным транспортом (6,7 %), рынка услуг связи (8,0 %), рынка услуг социального обслуживания населения (12,0 %), рынка услуг в сфере культуры (12,0 %), организации, ведущие деятельность в р. п. Кольцово (0,0 %), Каргатском (0,0 %), Баганском (12,5 %) районах, г. Бердске (7,7 %).</w:t>
      </w:r>
    </w:p>
    <w:p w:rsidR="00B07AB8" w:rsidRPr="00B07AB8" w:rsidRDefault="00B07AB8" w:rsidP="00B07AB8">
      <w:pPr>
        <w:jc w:val="both"/>
        <w:rPr>
          <w:rFonts w:ascii="Arial Narrow" w:hAnsi="Arial Narrow"/>
          <w:sz w:val="12"/>
          <w:szCs w:val="12"/>
        </w:rPr>
      </w:pPr>
    </w:p>
    <w:p w:rsidR="00B07AB8" w:rsidRPr="00B07AB8" w:rsidRDefault="00B07AB8" w:rsidP="00B07AB8">
      <w:pPr>
        <w:jc w:val="center"/>
        <w:rPr>
          <w:rFonts w:ascii="Arial Narrow" w:hAnsi="Arial Narrow"/>
          <w:b/>
          <w:bCs/>
        </w:rPr>
      </w:pPr>
      <w:r w:rsidRPr="00B07AB8">
        <w:rPr>
          <w:rFonts w:ascii="Arial Narrow" w:hAnsi="Arial Narrow"/>
          <w:noProof/>
          <w:lang w:eastAsia="ru-RU"/>
        </w:rPr>
        <w:lastRenderedPageBreak/>
        <w:drawing>
          <wp:inline distT="0" distB="0" distL="0" distR="0">
            <wp:extent cx="6393180" cy="5442857"/>
            <wp:effectExtent l="19050" t="0" r="0" b="0"/>
            <wp:docPr id="592"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r w:rsidRPr="00B07AB8">
        <w:rPr>
          <w:rFonts w:ascii="Arial Narrow" w:hAnsi="Arial Narrow"/>
          <w:bCs/>
        </w:rPr>
        <w:t>Диаграмма 5.5.50</w:t>
      </w:r>
      <w:r w:rsidRPr="00B07AB8">
        <w:rPr>
          <w:rFonts w:ascii="Arial Narrow" w:hAnsi="Arial Narrow"/>
          <w:b/>
          <w:bCs/>
        </w:rPr>
        <w:t xml:space="preserve"> – Удовлетворенность субъектов предпринимательской деятельности сложностью (количеством) процедур подключения услуг теплоснабжения, в % от числа опрошенных по сферам деятельности</w:t>
      </w:r>
    </w:p>
    <w:p w:rsidR="00B07AB8" w:rsidRPr="00B07AB8" w:rsidRDefault="00B07AB8" w:rsidP="00B07AB8">
      <w:pPr>
        <w:jc w:val="center"/>
        <w:rPr>
          <w:rFonts w:ascii="Arial Narrow" w:hAnsi="Arial Narrow"/>
          <w:b/>
          <w:bCs/>
          <w:color w:val="595959"/>
          <w:sz w:val="20"/>
          <w:szCs w:val="20"/>
        </w:rPr>
      </w:pPr>
    </w:p>
    <w:p w:rsidR="00B07AB8" w:rsidRPr="00B07AB8" w:rsidRDefault="00B07AB8" w:rsidP="00B07AB8">
      <w:pPr>
        <w:jc w:val="right"/>
        <w:rPr>
          <w:rFonts w:ascii="Arial Narrow" w:hAnsi="Arial Narrow"/>
          <w:b/>
          <w:bCs/>
          <w:color w:val="595959"/>
          <w:sz w:val="20"/>
          <w:szCs w:val="20"/>
        </w:rPr>
      </w:pPr>
    </w:p>
    <w:p w:rsidR="00B07AB8" w:rsidRPr="00B07AB8" w:rsidRDefault="00B07AB8" w:rsidP="00B07AB8">
      <w:pPr>
        <w:ind w:firstLine="567"/>
        <w:jc w:val="center"/>
        <w:rPr>
          <w:rFonts w:ascii="Arial Narrow" w:hAnsi="Arial Narrow"/>
          <w:b/>
          <w:bCs/>
          <w:color w:val="595959"/>
          <w:sz w:val="20"/>
          <w:szCs w:val="20"/>
        </w:rPr>
      </w:pPr>
      <w:r w:rsidRPr="00B07AB8">
        <w:rPr>
          <w:rFonts w:ascii="Arial Narrow" w:hAnsi="Arial Narrow"/>
          <w:noProof/>
          <w:lang w:eastAsia="ru-RU"/>
        </w:rPr>
        <w:drawing>
          <wp:inline distT="0" distB="0" distL="0" distR="0">
            <wp:extent cx="6031230" cy="1404257"/>
            <wp:effectExtent l="0" t="0" r="0" b="0"/>
            <wp:docPr id="593"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r w:rsidRPr="00B07AB8">
        <w:rPr>
          <w:rFonts w:ascii="Arial Narrow" w:hAnsi="Arial Narrow"/>
          <w:bCs/>
        </w:rPr>
        <w:t>Диаграмма 5.5.51</w:t>
      </w:r>
      <w:r w:rsidRPr="00B07AB8">
        <w:rPr>
          <w:rFonts w:ascii="Arial Narrow" w:hAnsi="Arial Narrow"/>
          <w:b/>
          <w:bCs/>
        </w:rPr>
        <w:t xml:space="preserve"> – Удовлетворенность субъектов предпринимательской деятельности сложностью (количеством) процедур подключения услуг теплоснабжения, в % от числа опрошенных в группах по величине предприятий</w:t>
      </w:r>
    </w:p>
    <w:p w:rsidR="00B07AB8" w:rsidRPr="00B07AB8" w:rsidRDefault="00B07AB8" w:rsidP="00B07AB8">
      <w:pPr>
        <w:jc w:val="center"/>
        <w:rPr>
          <w:rFonts w:ascii="Arial Narrow" w:hAnsi="Arial Narrow"/>
          <w:b/>
          <w:bCs/>
          <w:color w:val="595959"/>
          <w:sz w:val="20"/>
          <w:szCs w:val="20"/>
        </w:rPr>
      </w:pPr>
      <w:r w:rsidRPr="00B07AB8">
        <w:rPr>
          <w:rFonts w:ascii="Arial Narrow" w:hAnsi="Arial Narrow"/>
          <w:noProof/>
          <w:color w:val="986297"/>
          <w:lang w:eastAsia="ru-RU"/>
        </w:rPr>
        <w:lastRenderedPageBreak/>
        <w:drawing>
          <wp:inline distT="0" distB="0" distL="0" distR="0">
            <wp:extent cx="6391275" cy="8191500"/>
            <wp:effectExtent l="0" t="0" r="0" b="0"/>
            <wp:docPr id="594" name="Диаграмма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r w:rsidRPr="00B07AB8">
        <w:rPr>
          <w:rFonts w:ascii="Arial Narrow" w:hAnsi="Arial Narrow"/>
          <w:bCs/>
        </w:rPr>
        <w:t>Диаграмма 5.5.52</w:t>
      </w:r>
      <w:r w:rsidRPr="00B07AB8">
        <w:rPr>
          <w:rFonts w:ascii="Arial Narrow" w:hAnsi="Arial Narrow"/>
          <w:b/>
          <w:bCs/>
        </w:rPr>
        <w:t xml:space="preserve"> – Удовлетворенность субъектов предпринимательской деятельности сложностью (количеством) процедур подключения услуг теплоснабжения, в % от числа опрошенных по территориям</w:t>
      </w:r>
    </w:p>
    <w:p w:rsidR="00B07AB8" w:rsidRPr="00B07AB8" w:rsidRDefault="00B07AB8" w:rsidP="00A43AC6">
      <w:pPr>
        <w:jc w:val="both"/>
        <w:rPr>
          <w:rFonts w:ascii="Arial Narrow" w:hAnsi="Arial Narrow"/>
          <w:b/>
          <w:bCs/>
          <w:sz w:val="26"/>
          <w:szCs w:val="26"/>
        </w:rPr>
      </w:pPr>
      <w:r w:rsidRPr="00B07AB8">
        <w:rPr>
          <w:rFonts w:ascii="Arial Narrow" w:hAnsi="Arial Narrow"/>
          <w:b/>
          <w:bCs/>
          <w:sz w:val="26"/>
          <w:szCs w:val="26"/>
        </w:rPr>
        <w:lastRenderedPageBreak/>
        <w:t>5.5.1.3.4. Удовлетворенность с</w:t>
      </w:r>
      <w:r w:rsidRPr="00B07AB8">
        <w:rPr>
          <w:rFonts w:ascii="Arial Narrow" w:eastAsia="Calibri" w:hAnsi="Arial Narrow"/>
          <w:b/>
          <w:bCs/>
          <w:sz w:val="26"/>
          <w:szCs w:val="26"/>
        </w:rPr>
        <w:t>ложностью (количеством) процедур подключения</w:t>
      </w:r>
      <w:r w:rsidRPr="00B07AB8">
        <w:rPr>
          <w:rFonts w:ascii="Arial Narrow" w:hAnsi="Arial Narrow"/>
          <w:b/>
          <w:bCs/>
          <w:sz w:val="26"/>
          <w:szCs w:val="26"/>
        </w:rPr>
        <w:t xml:space="preserve"> услуг газоснабжения в разрезе отраслевой принадлежности, величины и местонахождения субъектов предпринимательства</w:t>
      </w:r>
    </w:p>
    <w:p w:rsidR="00B07AB8" w:rsidRPr="00B07AB8" w:rsidRDefault="00B07AB8" w:rsidP="00B07AB8">
      <w:pPr>
        <w:ind w:firstLine="567"/>
        <w:jc w:val="center"/>
        <w:rPr>
          <w:rFonts w:ascii="Arial Narrow" w:hAnsi="Arial Narrow"/>
        </w:rPr>
      </w:pP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Самые высокие доли субъектов предпринимательства, удовлетворенных сложностью (количеством) процедур подключения услуг газоснабжения (50 % и более), зафиксированы среди следующих групп респондентов:</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 субъекты предпринимательства, ведущие деятельность в Колыванском (56,5 %), Чулымском (53,3 %), Татарском (50,0 %) районах.</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Среди социально значимых и приоритетных рынков нет таких, представители которых давали бы оценки значительно выше среднего значения (23,4 %).</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Средние предприятия более удовлетворены данным параметром, чем малые предприятия (36,4 % и 23,3 % соответственно).</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Меньше всего удовлетворены сложностью (количеством) процедур подключения услуг газоснабжения представители рынка услуг детского отдыха и оздоровления (0,0 %), услуг дошкольного образования (0,0 %), перевозок пассажиров наземным транспортом (6,7 %), рынка услуг связи (8,0 %), рынка услуг социального обслуживания населения (8,0 %), рынка услуг в сфере культуры (12,0 %), организации, ведущие деятельность в р. п. Кольцово (0,0 %), Северном (0,0 %), Кыштовском (0,0 %), Краснозерском (0,0 %), Кочковском (0,0 %), Каргатском (0,0 %), Тогучинском (4,2 %), Купинском (6,7 %) районах, г. Бердске (10,3 %).</w:t>
      </w:r>
    </w:p>
    <w:p w:rsidR="00B07AB8" w:rsidRPr="00B07AB8" w:rsidRDefault="00B07AB8" w:rsidP="00B07AB8">
      <w:pPr>
        <w:jc w:val="center"/>
        <w:rPr>
          <w:rFonts w:ascii="Arial Narrow" w:hAnsi="Arial Narrow"/>
          <w:b/>
          <w:bCs/>
        </w:rPr>
      </w:pPr>
      <w:r w:rsidRPr="00B07AB8">
        <w:rPr>
          <w:rFonts w:ascii="Arial Narrow" w:hAnsi="Arial Narrow"/>
          <w:noProof/>
          <w:lang w:eastAsia="ru-RU"/>
        </w:rPr>
        <w:lastRenderedPageBreak/>
        <w:drawing>
          <wp:inline distT="0" distB="0" distL="0" distR="0">
            <wp:extent cx="6391275" cy="5114925"/>
            <wp:effectExtent l="19050" t="0" r="0" b="0"/>
            <wp:docPr id="595"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r w:rsidRPr="00B07AB8">
        <w:rPr>
          <w:rFonts w:ascii="Arial Narrow" w:hAnsi="Arial Narrow"/>
          <w:bCs/>
        </w:rPr>
        <w:t>Диаграмма 5.5.47</w:t>
      </w:r>
      <w:r w:rsidRPr="00B07AB8">
        <w:rPr>
          <w:rFonts w:ascii="Arial Narrow" w:hAnsi="Arial Narrow"/>
          <w:b/>
          <w:bCs/>
        </w:rPr>
        <w:t xml:space="preserve"> – Удовлетворенность субъектов предпринимательской деятельности сложностью (количеством) процедур подключения услуг газоснабжения, в % от числа опрошенных по сферам деятельности</w:t>
      </w:r>
    </w:p>
    <w:p w:rsidR="00B07AB8" w:rsidRPr="00B07AB8" w:rsidRDefault="00B07AB8" w:rsidP="00B07AB8">
      <w:pPr>
        <w:jc w:val="center"/>
        <w:rPr>
          <w:rFonts w:ascii="Arial Narrow" w:hAnsi="Arial Narrow"/>
          <w:b/>
          <w:bCs/>
          <w:color w:val="595959"/>
        </w:rPr>
      </w:pPr>
      <w:r w:rsidRPr="00B07AB8">
        <w:rPr>
          <w:rFonts w:ascii="Arial Narrow" w:hAnsi="Arial Narrow"/>
          <w:noProof/>
          <w:lang w:eastAsia="ru-RU"/>
        </w:rPr>
        <w:drawing>
          <wp:inline distT="0" distB="0" distL="0" distR="0">
            <wp:extent cx="6031230" cy="1924050"/>
            <wp:effectExtent l="0" t="0" r="0" b="0"/>
            <wp:docPr id="596"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r w:rsidRPr="00B07AB8">
        <w:rPr>
          <w:rFonts w:ascii="Arial Narrow" w:hAnsi="Arial Narrow"/>
          <w:bCs/>
        </w:rPr>
        <w:t>Диаграмма 5.5.48</w:t>
      </w:r>
      <w:r w:rsidRPr="00B07AB8">
        <w:rPr>
          <w:rFonts w:ascii="Arial Narrow" w:hAnsi="Arial Narrow"/>
          <w:b/>
          <w:bCs/>
        </w:rPr>
        <w:t xml:space="preserve"> – Удовлетворенность субъектов предпринимательской деятельности сложностью (количеством) процедур подключения услуг газоснабжения, в % от числа опрошенных в группах по величине предприятий</w:t>
      </w:r>
    </w:p>
    <w:p w:rsidR="00B07AB8" w:rsidRPr="00B07AB8" w:rsidRDefault="00B07AB8" w:rsidP="00B07AB8">
      <w:pPr>
        <w:jc w:val="center"/>
        <w:rPr>
          <w:rFonts w:ascii="Arial Narrow" w:hAnsi="Arial Narrow"/>
        </w:rPr>
      </w:pPr>
      <w:r w:rsidRPr="00B07AB8">
        <w:rPr>
          <w:rFonts w:ascii="Arial Narrow" w:hAnsi="Arial Narrow"/>
          <w:noProof/>
          <w:color w:val="986297"/>
          <w:lang w:eastAsia="ru-RU"/>
        </w:rPr>
        <w:lastRenderedPageBreak/>
        <w:drawing>
          <wp:inline distT="0" distB="0" distL="0" distR="0">
            <wp:extent cx="6433457" cy="8220075"/>
            <wp:effectExtent l="0" t="0" r="0" b="0"/>
            <wp:docPr id="597" name="Диаграмма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r w:rsidRPr="00B07AB8">
        <w:rPr>
          <w:rFonts w:ascii="Arial Narrow" w:hAnsi="Arial Narrow"/>
          <w:bCs/>
        </w:rPr>
        <w:t>Диаграмма 5.5.49</w:t>
      </w:r>
      <w:r w:rsidRPr="00B07AB8">
        <w:rPr>
          <w:rFonts w:ascii="Arial Narrow" w:hAnsi="Arial Narrow"/>
          <w:b/>
          <w:bCs/>
        </w:rPr>
        <w:t xml:space="preserve"> – Удовлетворенность субъектов предпринимательской деятельности сложностью (количеством) процедур подключения услуг газоснабжения, в % от числа опрошенных по территориям</w:t>
      </w:r>
    </w:p>
    <w:p w:rsidR="00B07AB8" w:rsidRPr="00B07AB8" w:rsidRDefault="00B07AB8" w:rsidP="00A43AC6">
      <w:pPr>
        <w:pStyle w:val="3"/>
        <w:jc w:val="both"/>
        <w:rPr>
          <w:rFonts w:ascii="Arial Narrow" w:hAnsi="Arial Narrow"/>
        </w:rPr>
      </w:pPr>
      <w:bookmarkStart w:id="38" w:name="_Toc475532261"/>
      <w:r w:rsidRPr="00B07AB8">
        <w:rPr>
          <w:rFonts w:ascii="Arial Narrow" w:hAnsi="Arial Narrow"/>
        </w:rPr>
        <w:lastRenderedPageBreak/>
        <w:t>5.5.1.5. Удовлетворенность субъектов предпринимательской деятельности стоимостью подключения услуг, предоставляемых субъектами естественных монополий</w:t>
      </w:r>
      <w:bookmarkEnd w:id="38"/>
    </w:p>
    <w:p w:rsidR="00B07AB8" w:rsidRPr="00B07AB8" w:rsidRDefault="00B07AB8" w:rsidP="00B07AB8">
      <w:pPr>
        <w:ind w:firstLine="567"/>
        <w:rPr>
          <w:rFonts w:ascii="Arial Narrow" w:hAnsi="Arial Narrow"/>
          <w:b/>
        </w:rPr>
      </w:pP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Стоимостью подключения услуг естественных монополий довольны от 16,7 % до 22,3 % субъектов предпринимательской деятельности, не довольно несколько большее количество участников опроса – 23,7–26,4 %. Затруднились ответить 52–58,5 % респондентов.</w:t>
      </w:r>
    </w:p>
    <w:p w:rsidR="00B07AB8" w:rsidRPr="00B07AB8" w:rsidRDefault="00B07AB8" w:rsidP="00B07AB8">
      <w:pPr>
        <w:spacing w:after="0" w:line="360" w:lineRule="auto"/>
        <w:ind w:firstLine="284"/>
        <w:jc w:val="both"/>
        <w:rPr>
          <w:rFonts w:ascii="Arial Narrow" w:hAnsi="Arial Narrow"/>
          <w:sz w:val="24"/>
          <w:szCs w:val="24"/>
          <w:u w:val="single"/>
        </w:rPr>
      </w:pPr>
      <w:r w:rsidRPr="00B07AB8">
        <w:rPr>
          <w:rFonts w:ascii="Arial Narrow" w:hAnsi="Arial Narrow"/>
          <w:sz w:val="24"/>
          <w:szCs w:val="24"/>
          <w:u w:val="single"/>
        </w:rPr>
        <w:t>Рейтинг удовлетворенности субъектов предпринимательства стоимостью подключения услуг, предоставляемых естественными монополиями:</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1. Водоснабжение, водоотведение (</w:t>
      </w:r>
      <w:r w:rsidRPr="00B07AB8">
        <w:rPr>
          <w:rFonts w:ascii="Arial Narrow" w:eastAsia="Calibri" w:hAnsi="Arial Narrow" w:cs="Arial"/>
          <w:sz w:val="24"/>
          <w:szCs w:val="24"/>
        </w:rPr>
        <w:t xml:space="preserve">22,3 % </w:t>
      </w:r>
      <w:r w:rsidRPr="00B07AB8">
        <w:rPr>
          <w:rFonts w:ascii="Arial Narrow" w:hAnsi="Arial Narrow"/>
          <w:sz w:val="24"/>
          <w:szCs w:val="24"/>
        </w:rPr>
        <w:t xml:space="preserve">удовлетворены, </w:t>
      </w:r>
      <w:r w:rsidRPr="00B07AB8">
        <w:rPr>
          <w:rFonts w:ascii="Arial Narrow" w:eastAsia="Calibri" w:hAnsi="Arial Narrow" w:cs="Arial"/>
          <w:sz w:val="24"/>
          <w:szCs w:val="24"/>
        </w:rPr>
        <w:t xml:space="preserve">23,7 % </w:t>
      </w:r>
      <w:r w:rsidRPr="00B07AB8">
        <w:rPr>
          <w:rFonts w:ascii="Arial Narrow" w:hAnsi="Arial Narrow"/>
          <w:sz w:val="24"/>
          <w:szCs w:val="24"/>
        </w:rPr>
        <w:t xml:space="preserve">не удовлетворены); </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2. Электроснабжение (</w:t>
      </w:r>
      <w:r w:rsidRPr="00B07AB8">
        <w:rPr>
          <w:rFonts w:ascii="Arial Narrow" w:eastAsia="Calibri" w:hAnsi="Arial Narrow" w:cs="Arial"/>
          <w:sz w:val="24"/>
          <w:szCs w:val="24"/>
        </w:rPr>
        <w:t xml:space="preserve">21,6 % </w:t>
      </w:r>
      <w:r w:rsidRPr="00B07AB8">
        <w:rPr>
          <w:rFonts w:ascii="Arial Narrow" w:hAnsi="Arial Narrow"/>
          <w:sz w:val="24"/>
          <w:szCs w:val="24"/>
        </w:rPr>
        <w:t xml:space="preserve">удовлетворены, </w:t>
      </w:r>
      <w:r w:rsidRPr="00B07AB8">
        <w:rPr>
          <w:rFonts w:ascii="Arial Narrow" w:eastAsia="Calibri" w:hAnsi="Arial Narrow" w:cs="Arial"/>
          <w:sz w:val="24"/>
          <w:szCs w:val="24"/>
        </w:rPr>
        <w:t xml:space="preserve">26,4 % </w:t>
      </w:r>
      <w:r w:rsidRPr="00B07AB8">
        <w:rPr>
          <w:rFonts w:ascii="Arial Narrow" w:hAnsi="Arial Narrow"/>
          <w:sz w:val="24"/>
          <w:szCs w:val="24"/>
        </w:rPr>
        <w:t xml:space="preserve">не удовлетворены); </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3. Теплоснабжение (</w:t>
      </w:r>
      <w:r w:rsidRPr="00B07AB8">
        <w:rPr>
          <w:rFonts w:ascii="Arial Narrow" w:eastAsia="Calibri" w:hAnsi="Arial Narrow" w:cs="Arial"/>
          <w:sz w:val="24"/>
          <w:szCs w:val="24"/>
        </w:rPr>
        <w:t xml:space="preserve">20,3 % </w:t>
      </w:r>
      <w:r w:rsidRPr="00B07AB8">
        <w:rPr>
          <w:rFonts w:ascii="Arial Narrow" w:hAnsi="Arial Narrow"/>
          <w:sz w:val="24"/>
          <w:szCs w:val="24"/>
        </w:rPr>
        <w:t xml:space="preserve">удовлетворены, </w:t>
      </w:r>
      <w:r w:rsidRPr="00B07AB8">
        <w:rPr>
          <w:rFonts w:ascii="Arial Narrow" w:eastAsia="Calibri" w:hAnsi="Arial Narrow" w:cs="Arial"/>
          <w:sz w:val="24"/>
          <w:szCs w:val="24"/>
        </w:rPr>
        <w:t xml:space="preserve">24,5 % </w:t>
      </w:r>
      <w:r w:rsidRPr="00B07AB8">
        <w:rPr>
          <w:rFonts w:ascii="Arial Narrow" w:hAnsi="Arial Narrow"/>
          <w:sz w:val="24"/>
          <w:szCs w:val="24"/>
        </w:rPr>
        <w:t>не удовлетворены);</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4. Газоснабжение (</w:t>
      </w:r>
      <w:r w:rsidRPr="00B07AB8">
        <w:rPr>
          <w:rFonts w:ascii="Arial Narrow" w:eastAsia="Calibri" w:hAnsi="Arial Narrow" w:cs="Arial"/>
          <w:sz w:val="24"/>
          <w:szCs w:val="24"/>
        </w:rPr>
        <w:t xml:space="preserve">16,7 % </w:t>
      </w:r>
      <w:r w:rsidRPr="00B07AB8">
        <w:rPr>
          <w:rFonts w:ascii="Arial Narrow" w:hAnsi="Arial Narrow"/>
          <w:sz w:val="24"/>
          <w:szCs w:val="24"/>
        </w:rPr>
        <w:t xml:space="preserve">удовлетворены, </w:t>
      </w:r>
      <w:r w:rsidRPr="00B07AB8">
        <w:rPr>
          <w:rFonts w:ascii="Arial Narrow" w:eastAsia="Calibri" w:hAnsi="Arial Narrow" w:cs="Arial"/>
          <w:sz w:val="24"/>
          <w:szCs w:val="24"/>
        </w:rPr>
        <w:t xml:space="preserve">24,8 % </w:t>
      </w:r>
      <w:r w:rsidRPr="00B07AB8">
        <w:rPr>
          <w:rFonts w:ascii="Arial Narrow" w:hAnsi="Arial Narrow"/>
          <w:sz w:val="24"/>
          <w:szCs w:val="24"/>
        </w:rPr>
        <w:t>не удовлетворены).</w:t>
      </w:r>
    </w:p>
    <w:p w:rsidR="00B07AB8" w:rsidRPr="00B07AB8" w:rsidRDefault="00B07AB8" w:rsidP="00B07AB8">
      <w:pPr>
        <w:spacing w:after="0" w:line="360" w:lineRule="auto"/>
        <w:ind w:firstLine="284"/>
        <w:jc w:val="both"/>
        <w:rPr>
          <w:rFonts w:ascii="Arial Narrow" w:hAnsi="Arial Narrow"/>
          <w:sz w:val="24"/>
          <w:szCs w:val="24"/>
        </w:rPr>
      </w:pPr>
      <w:r w:rsidRPr="00B07AB8">
        <w:rPr>
          <w:rFonts w:ascii="Arial Narrow" w:hAnsi="Arial Narrow"/>
          <w:sz w:val="24"/>
          <w:szCs w:val="24"/>
        </w:rPr>
        <w:t>Следует отметить, что затруднились ответить на вопрос более 50 % респондентов (52,0–58,5 %).</w:t>
      </w:r>
    </w:p>
    <w:p w:rsidR="00B07AB8" w:rsidRPr="00B07AB8" w:rsidRDefault="00B07AB8" w:rsidP="00B07AB8">
      <w:pPr>
        <w:jc w:val="center"/>
        <w:rPr>
          <w:rFonts w:ascii="Arial Narrow" w:hAnsi="Arial Narrow"/>
          <w:b/>
          <w:bCs/>
        </w:rPr>
      </w:pPr>
      <w:r w:rsidRPr="00B07AB8">
        <w:rPr>
          <w:rFonts w:ascii="Arial Narrow" w:hAnsi="Arial Narrow"/>
          <w:noProof/>
          <w:color w:val="986297"/>
          <w:lang w:eastAsia="ru-RU"/>
        </w:rPr>
        <w:drawing>
          <wp:inline distT="0" distB="0" distL="0" distR="0">
            <wp:extent cx="6031230" cy="2105025"/>
            <wp:effectExtent l="0" t="0" r="0" b="0"/>
            <wp:docPr id="598"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B07AB8" w:rsidRPr="00B07AB8" w:rsidRDefault="00B07AB8" w:rsidP="00B07AB8">
      <w:pPr>
        <w:jc w:val="center"/>
        <w:rPr>
          <w:rFonts w:ascii="Arial Narrow" w:hAnsi="Arial Narrow"/>
          <w:b/>
          <w:bCs/>
        </w:rPr>
      </w:pPr>
      <w:r w:rsidRPr="00B07AB8">
        <w:rPr>
          <w:rFonts w:ascii="Arial Narrow" w:hAnsi="Arial Narrow"/>
          <w:bCs/>
        </w:rPr>
        <w:t>Диаграмма 5.5.53</w:t>
      </w:r>
      <w:r w:rsidRPr="00B07AB8">
        <w:rPr>
          <w:rFonts w:ascii="Arial Narrow" w:hAnsi="Arial Narrow"/>
          <w:b/>
          <w:bCs/>
        </w:rPr>
        <w:t xml:space="preserve"> – Удовлетворенность субъектов предпринимательской деятельности стоимостью подключения услуг субъектов естественных монополий, в % от числа опрошенных</w:t>
      </w:r>
    </w:p>
    <w:p w:rsidR="00C54B76" w:rsidRDefault="00C54B76" w:rsidP="00B07AB8">
      <w:pPr>
        <w:spacing w:after="0" w:line="240" w:lineRule="auto"/>
        <w:rPr>
          <w:rFonts w:ascii="Arial Narrow" w:hAnsi="Arial Narrow"/>
          <w:sz w:val="24"/>
          <w:szCs w:val="24"/>
        </w:rPr>
      </w:pPr>
    </w:p>
    <w:p w:rsidR="00B07AB8" w:rsidRPr="00B07AB8" w:rsidRDefault="00C54B76" w:rsidP="00B07AB8">
      <w:pPr>
        <w:spacing w:after="0" w:line="240" w:lineRule="auto"/>
        <w:rPr>
          <w:rFonts w:ascii="Arial Narrow" w:hAnsi="Arial Narrow"/>
          <w:sz w:val="24"/>
          <w:szCs w:val="24"/>
        </w:rPr>
      </w:pPr>
      <w:r>
        <w:rPr>
          <w:rFonts w:ascii="Arial Narrow" w:hAnsi="Arial Narrow"/>
          <w:sz w:val="24"/>
          <w:szCs w:val="24"/>
        </w:rPr>
        <w:t>Т</w:t>
      </w:r>
      <w:r w:rsidR="00B07AB8" w:rsidRPr="00B07AB8">
        <w:rPr>
          <w:rFonts w:ascii="Arial Narrow" w:hAnsi="Arial Narrow"/>
          <w:sz w:val="24"/>
          <w:szCs w:val="24"/>
        </w:rPr>
        <w:t xml:space="preserve">аблица </w:t>
      </w:r>
      <w:r w:rsidR="00614BC7">
        <w:rPr>
          <w:rFonts w:ascii="Arial Narrow" w:hAnsi="Arial Narrow"/>
          <w:sz w:val="24"/>
          <w:szCs w:val="24"/>
        </w:rPr>
        <w:t>5</w:t>
      </w:r>
      <w:r w:rsidR="00A43AC6">
        <w:rPr>
          <w:rFonts w:ascii="Arial Narrow" w:hAnsi="Arial Narrow"/>
          <w:sz w:val="24"/>
          <w:szCs w:val="24"/>
        </w:rPr>
        <w:t>.</w:t>
      </w:r>
      <w:r w:rsidR="00B07AB8" w:rsidRPr="00B07AB8">
        <w:rPr>
          <w:rFonts w:ascii="Arial Narrow" w:hAnsi="Arial Narrow"/>
          <w:sz w:val="24"/>
          <w:szCs w:val="24"/>
        </w:rPr>
        <w:t>6</w:t>
      </w:r>
      <w:r w:rsidR="00A43AC6">
        <w:rPr>
          <w:rFonts w:ascii="Arial Narrow" w:hAnsi="Arial Narrow"/>
          <w:sz w:val="24"/>
          <w:szCs w:val="24"/>
        </w:rPr>
        <w:t>.</w:t>
      </w:r>
      <w:r w:rsidR="00B07AB8" w:rsidRPr="00B07AB8">
        <w:rPr>
          <w:rFonts w:ascii="Arial Narrow" w:hAnsi="Arial Narrow"/>
          <w:sz w:val="24"/>
          <w:szCs w:val="24"/>
        </w:rPr>
        <w:t xml:space="preserve"> – </w:t>
      </w:r>
      <w:r w:rsidR="00B07AB8" w:rsidRPr="00B07AB8">
        <w:rPr>
          <w:rFonts w:ascii="Arial Narrow" w:hAnsi="Arial Narrow"/>
          <w:b/>
          <w:sz w:val="24"/>
          <w:szCs w:val="24"/>
        </w:rPr>
        <w:t>Удовлетворенность субъектов предпринимательской деятельности стоимостью подключения услуг, предоставляемых субъектами естественных монополий (% от числа опрошенных)</w:t>
      </w:r>
    </w:p>
    <w:tbl>
      <w:tblPr>
        <w:tblW w:w="5700"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2459"/>
        <w:gridCol w:w="2227"/>
        <w:gridCol w:w="1014"/>
      </w:tblGrid>
      <w:tr w:rsidR="00B07AB8" w:rsidRPr="00B07AB8" w:rsidTr="003425A3">
        <w:trPr>
          <w:cantSplit/>
        </w:trPr>
        <w:tc>
          <w:tcPr>
            <w:tcW w:w="2459" w:type="dxa"/>
            <w:vMerge w:val="restart"/>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r w:rsidRPr="00B07AB8">
              <w:rPr>
                <w:rFonts w:ascii="Arial Narrow" w:hAnsi="Arial Narrow" w:cs="Arial"/>
                <w:sz w:val="20"/>
                <w:szCs w:val="20"/>
              </w:rPr>
              <w:t>Водоснабжение, водоотведение</w:t>
            </w:r>
          </w:p>
        </w:tc>
        <w:tc>
          <w:tcPr>
            <w:tcW w:w="2227" w:type="dxa"/>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r w:rsidRPr="00B07AB8">
              <w:rPr>
                <w:rFonts w:ascii="Arial Narrow" w:hAnsi="Arial Narrow" w:cs="Arial"/>
                <w:sz w:val="20"/>
                <w:szCs w:val="20"/>
              </w:rPr>
              <w:t>Удовлетворительно</w:t>
            </w:r>
          </w:p>
        </w:tc>
        <w:tc>
          <w:tcPr>
            <w:tcW w:w="1014" w:type="dxa"/>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r w:rsidRPr="00B07AB8">
              <w:rPr>
                <w:rFonts w:ascii="Arial Narrow" w:eastAsia="Calibri" w:hAnsi="Arial Narrow" w:cs="Arial"/>
                <w:sz w:val="20"/>
                <w:szCs w:val="20"/>
              </w:rPr>
              <w:t>22,3%</w:t>
            </w:r>
          </w:p>
        </w:tc>
      </w:tr>
      <w:tr w:rsidR="00B07AB8" w:rsidRPr="00B07AB8" w:rsidTr="003425A3">
        <w:trPr>
          <w:cantSplit/>
        </w:trPr>
        <w:tc>
          <w:tcPr>
            <w:tcW w:w="2459" w:type="dxa"/>
            <w:vMerge/>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p>
        </w:tc>
        <w:tc>
          <w:tcPr>
            <w:tcW w:w="2227" w:type="dxa"/>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r w:rsidRPr="00B07AB8">
              <w:rPr>
                <w:rFonts w:ascii="Arial Narrow" w:hAnsi="Arial Narrow" w:cs="Arial"/>
                <w:sz w:val="20"/>
                <w:szCs w:val="20"/>
              </w:rPr>
              <w:t>Неудовлетворительно</w:t>
            </w:r>
          </w:p>
        </w:tc>
        <w:tc>
          <w:tcPr>
            <w:tcW w:w="1014" w:type="dxa"/>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r w:rsidRPr="00B07AB8">
              <w:rPr>
                <w:rFonts w:ascii="Arial Narrow" w:eastAsia="Calibri" w:hAnsi="Arial Narrow" w:cs="Arial"/>
                <w:sz w:val="20"/>
                <w:szCs w:val="20"/>
              </w:rPr>
              <w:t>23,7%</w:t>
            </w:r>
          </w:p>
        </w:tc>
      </w:tr>
      <w:tr w:rsidR="00B07AB8" w:rsidRPr="00B07AB8" w:rsidTr="003425A3">
        <w:trPr>
          <w:cantSplit/>
        </w:trPr>
        <w:tc>
          <w:tcPr>
            <w:tcW w:w="2459" w:type="dxa"/>
            <w:vMerge/>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p>
        </w:tc>
        <w:tc>
          <w:tcPr>
            <w:tcW w:w="2227" w:type="dxa"/>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r w:rsidRPr="00B07AB8">
              <w:rPr>
                <w:rFonts w:ascii="Arial Narrow" w:hAnsi="Arial Narrow" w:cs="Arial"/>
                <w:sz w:val="20"/>
                <w:szCs w:val="20"/>
              </w:rPr>
              <w:t>Затрудняюсь ответить</w:t>
            </w:r>
          </w:p>
        </w:tc>
        <w:tc>
          <w:tcPr>
            <w:tcW w:w="1014" w:type="dxa"/>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r w:rsidRPr="00B07AB8">
              <w:rPr>
                <w:rFonts w:ascii="Arial Narrow" w:eastAsia="Calibri" w:hAnsi="Arial Narrow" w:cs="Arial"/>
                <w:sz w:val="20"/>
                <w:szCs w:val="20"/>
              </w:rPr>
              <w:t>54,0%</w:t>
            </w:r>
          </w:p>
        </w:tc>
      </w:tr>
      <w:tr w:rsidR="00B07AB8" w:rsidRPr="00B07AB8" w:rsidTr="003425A3">
        <w:trPr>
          <w:cantSplit/>
        </w:trPr>
        <w:tc>
          <w:tcPr>
            <w:tcW w:w="2459" w:type="dxa"/>
            <w:vMerge w:val="restart"/>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r w:rsidRPr="00B07AB8">
              <w:rPr>
                <w:rFonts w:ascii="Arial Narrow" w:hAnsi="Arial Narrow" w:cs="Arial"/>
                <w:sz w:val="20"/>
                <w:szCs w:val="20"/>
              </w:rPr>
              <w:t>Газоснабжение</w:t>
            </w:r>
          </w:p>
        </w:tc>
        <w:tc>
          <w:tcPr>
            <w:tcW w:w="2227" w:type="dxa"/>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r w:rsidRPr="00B07AB8">
              <w:rPr>
                <w:rFonts w:ascii="Arial Narrow" w:hAnsi="Arial Narrow" w:cs="Arial"/>
                <w:sz w:val="20"/>
                <w:szCs w:val="20"/>
              </w:rPr>
              <w:t>Удовлетворительно</w:t>
            </w:r>
          </w:p>
        </w:tc>
        <w:tc>
          <w:tcPr>
            <w:tcW w:w="1014" w:type="dxa"/>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r w:rsidRPr="00B07AB8">
              <w:rPr>
                <w:rFonts w:ascii="Arial Narrow" w:eastAsia="Calibri" w:hAnsi="Arial Narrow" w:cs="Arial"/>
                <w:sz w:val="20"/>
                <w:szCs w:val="20"/>
              </w:rPr>
              <w:t>16,7%</w:t>
            </w:r>
          </w:p>
        </w:tc>
      </w:tr>
      <w:tr w:rsidR="00B07AB8" w:rsidRPr="00B07AB8" w:rsidTr="003425A3">
        <w:trPr>
          <w:cantSplit/>
        </w:trPr>
        <w:tc>
          <w:tcPr>
            <w:tcW w:w="2459" w:type="dxa"/>
            <w:vMerge/>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p>
        </w:tc>
        <w:tc>
          <w:tcPr>
            <w:tcW w:w="2227" w:type="dxa"/>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r w:rsidRPr="00B07AB8">
              <w:rPr>
                <w:rFonts w:ascii="Arial Narrow" w:hAnsi="Arial Narrow" w:cs="Arial"/>
                <w:sz w:val="20"/>
                <w:szCs w:val="20"/>
              </w:rPr>
              <w:t>Неудовлетворительно</w:t>
            </w:r>
          </w:p>
        </w:tc>
        <w:tc>
          <w:tcPr>
            <w:tcW w:w="1014" w:type="dxa"/>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r w:rsidRPr="00B07AB8">
              <w:rPr>
                <w:rFonts w:ascii="Arial Narrow" w:eastAsia="Calibri" w:hAnsi="Arial Narrow" w:cs="Arial"/>
                <w:sz w:val="20"/>
                <w:szCs w:val="20"/>
              </w:rPr>
              <w:t>24,8%</w:t>
            </w:r>
          </w:p>
        </w:tc>
      </w:tr>
      <w:tr w:rsidR="00B07AB8" w:rsidRPr="00B07AB8" w:rsidTr="003425A3">
        <w:trPr>
          <w:cantSplit/>
        </w:trPr>
        <w:tc>
          <w:tcPr>
            <w:tcW w:w="2459" w:type="dxa"/>
            <w:vMerge/>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p>
        </w:tc>
        <w:tc>
          <w:tcPr>
            <w:tcW w:w="2227" w:type="dxa"/>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r w:rsidRPr="00B07AB8">
              <w:rPr>
                <w:rFonts w:ascii="Arial Narrow" w:hAnsi="Arial Narrow" w:cs="Arial"/>
                <w:sz w:val="20"/>
                <w:szCs w:val="20"/>
              </w:rPr>
              <w:t>Затрудняюсь ответить</w:t>
            </w:r>
          </w:p>
        </w:tc>
        <w:tc>
          <w:tcPr>
            <w:tcW w:w="1014" w:type="dxa"/>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r w:rsidRPr="00B07AB8">
              <w:rPr>
                <w:rFonts w:ascii="Arial Narrow" w:eastAsia="Calibri" w:hAnsi="Arial Narrow" w:cs="Arial"/>
                <w:sz w:val="20"/>
                <w:szCs w:val="20"/>
              </w:rPr>
              <w:t>58,5%</w:t>
            </w:r>
          </w:p>
        </w:tc>
      </w:tr>
      <w:tr w:rsidR="00B07AB8" w:rsidRPr="00B07AB8" w:rsidTr="003425A3">
        <w:trPr>
          <w:cantSplit/>
        </w:trPr>
        <w:tc>
          <w:tcPr>
            <w:tcW w:w="2459" w:type="dxa"/>
            <w:vMerge w:val="restart"/>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r w:rsidRPr="00B07AB8">
              <w:rPr>
                <w:rFonts w:ascii="Arial Narrow" w:hAnsi="Arial Narrow" w:cs="Arial"/>
                <w:sz w:val="20"/>
                <w:szCs w:val="20"/>
              </w:rPr>
              <w:t>Электроснабжение</w:t>
            </w:r>
          </w:p>
        </w:tc>
        <w:tc>
          <w:tcPr>
            <w:tcW w:w="2227" w:type="dxa"/>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r w:rsidRPr="00B07AB8">
              <w:rPr>
                <w:rFonts w:ascii="Arial Narrow" w:hAnsi="Arial Narrow" w:cs="Arial"/>
                <w:sz w:val="20"/>
                <w:szCs w:val="20"/>
              </w:rPr>
              <w:t>Удовлетворительно</w:t>
            </w:r>
          </w:p>
        </w:tc>
        <w:tc>
          <w:tcPr>
            <w:tcW w:w="1014" w:type="dxa"/>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r w:rsidRPr="00B07AB8">
              <w:rPr>
                <w:rFonts w:ascii="Arial Narrow" w:eastAsia="Calibri" w:hAnsi="Arial Narrow" w:cs="Arial"/>
                <w:sz w:val="20"/>
                <w:szCs w:val="20"/>
              </w:rPr>
              <w:t>21,6%</w:t>
            </w:r>
          </w:p>
        </w:tc>
      </w:tr>
      <w:tr w:rsidR="00B07AB8" w:rsidRPr="00B07AB8" w:rsidTr="003425A3">
        <w:trPr>
          <w:cantSplit/>
        </w:trPr>
        <w:tc>
          <w:tcPr>
            <w:tcW w:w="2459" w:type="dxa"/>
            <w:vMerge/>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p>
        </w:tc>
        <w:tc>
          <w:tcPr>
            <w:tcW w:w="2227" w:type="dxa"/>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r w:rsidRPr="00B07AB8">
              <w:rPr>
                <w:rFonts w:ascii="Arial Narrow" w:hAnsi="Arial Narrow" w:cs="Arial"/>
                <w:sz w:val="20"/>
                <w:szCs w:val="20"/>
              </w:rPr>
              <w:t>Неудовлетворительно</w:t>
            </w:r>
          </w:p>
        </w:tc>
        <w:tc>
          <w:tcPr>
            <w:tcW w:w="1014" w:type="dxa"/>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r w:rsidRPr="00B07AB8">
              <w:rPr>
                <w:rFonts w:ascii="Arial Narrow" w:eastAsia="Calibri" w:hAnsi="Arial Narrow" w:cs="Arial"/>
                <w:sz w:val="20"/>
                <w:szCs w:val="20"/>
              </w:rPr>
              <w:t>26,4%</w:t>
            </w:r>
          </w:p>
        </w:tc>
      </w:tr>
      <w:tr w:rsidR="00B07AB8" w:rsidRPr="00B07AB8" w:rsidTr="003425A3">
        <w:trPr>
          <w:cantSplit/>
        </w:trPr>
        <w:tc>
          <w:tcPr>
            <w:tcW w:w="2459" w:type="dxa"/>
            <w:vMerge/>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p>
        </w:tc>
        <w:tc>
          <w:tcPr>
            <w:tcW w:w="2227" w:type="dxa"/>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r w:rsidRPr="00B07AB8">
              <w:rPr>
                <w:rFonts w:ascii="Arial Narrow" w:hAnsi="Arial Narrow" w:cs="Arial"/>
                <w:sz w:val="20"/>
                <w:szCs w:val="20"/>
              </w:rPr>
              <w:t>Затрудняюсь ответить</w:t>
            </w:r>
          </w:p>
        </w:tc>
        <w:tc>
          <w:tcPr>
            <w:tcW w:w="1014" w:type="dxa"/>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r w:rsidRPr="00B07AB8">
              <w:rPr>
                <w:rFonts w:ascii="Arial Narrow" w:eastAsia="Calibri" w:hAnsi="Arial Narrow" w:cs="Arial"/>
                <w:sz w:val="20"/>
                <w:szCs w:val="20"/>
              </w:rPr>
              <w:t>52,0%</w:t>
            </w:r>
          </w:p>
        </w:tc>
      </w:tr>
      <w:tr w:rsidR="00B07AB8" w:rsidRPr="00B07AB8" w:rsidTr="003425A3">
        <w:trPr>
          <w:cantSplit/>
        </w:trPr>
        <w:tc>
          <w:tcPr>
            <w:tcW w:w="2459" w:type="dxa"/>
            <w:vMerge w:val="restart"/>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r w:rsidRPr="00B07AB8">
              <w:rPr>
                <w:rFonts w:ascii="Arial Narrow" w:hAnsi="Arial Narrow" w:cs="Arial"/>
                <w:sz w:val="20"/>
                <w:szCs w:val="20"/>
              </w:rPr>
              <w:t>Теплоснабжение</w:t>
            </w:r>
          </w:p>
        </w:tc>
        <w:tc>
          <w:tcPr>
            <w:tcW w:w="2227" w:type="dxa"/>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r w:rsidRPr="00B07AB8">
              <w:rPr>
                <w:rFonts w:ascii="Arial Narrow" w:hAnsi="Arial Narrow" w:cs="Arial"/>
                <w:sz w:val="20"/>
                <w:szCs w:val="20"/>
              </w:rPr>
              <w:t>Удовлетворительно</w:t>
            </w:r>
          </w:p>
        </w:tc>
        <w:tc>
          <w:tcPr>
            <w:tcW w:w="1014" w:type="dxa"/>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r w:rsidRPr="00B07AB8">
              <w:rPr>
                <w:rFonts w:ascii="Arial Narrow" w:eastAsia="Calibri" w:hAnsi="Arial Narrow" w:cs="Arial"/>
                <w:sz w:val="20"/>
                <w:szCs w:val="20"/>
              </w:rPr>
              <w:t>20,3%</w:t>
            </w:r>
          </w:p>
        </w:tc>
      </w:tr>
      <w:tr w:rsidR="00B07AB8" w:rsidRPr="00B07AB8" w:rsidTr="003425A3">
        <w:trPr>
          <w:cantSplit/>
        </w:trPr>
        <w:tc>
          <w:tcPr>
            <w:tcW w:w="2459" w:type="dxa"/>
            <w:vMerge/>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p>
        </w:tc>
        <w:tc>
          <w:tcPr>
            <w:tcW w:w="2227" w:type="dxa"/>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r w:rsidRPr="00B07AB8">
              <w:rPr>
                <w:rFonts w:ascii="Arial Narrow" w:hAnsi="Arial Narrow" w:cs="Arial"/>
                <w:sz w:val="20"/>
                <w:szCs w:val="20"/>
              </w:rPr>
              <w:t>Неудовлетворительно</w:t>
            </w:r>
          </w:p>
        </w:tc>
        <w:tc>
          <w:tcPr>
            <w:tcW w:w="1014" w:type="dxa"/>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r w:rsidRPr="00B07AB8">
              <w:rPr>
                <w:rFonts w:ascii="Arial Narrow" w:eastAsia="Calibri" w:hAnsi="Arial Narrow" w:cs="Arial"/>
                <w:sz w:val="20"/>
                <w:szCs w:val="20"/>
              </w:rPr>
              <w:t>24,5%</w:t>
            </w:r>
          </w:p>
        </w:tc>
      </w:tr>
      <w:tr w:rsidR="00B07AB8" w:rsidRPr="00B07AB8" w:rsidTr="003425A3">
        <w:trPr>
          <w:cantSplit/>
        </w:trPr>
        <w:tc>
          <w:tcPr>
            <w:tcW w:w="2459" w:type="dxa"/>
            <w:vMerge/>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p>
        </w:tc>
        <w:tc>
          <w:tcPr>
            <w:tcW w:w="2227" w:type="dxa"/>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r w:rsidRPr="00B07AB8">
              <w:rPr>
                <w:rFonts w:ascii="Arial Narrow" w:hAnsi="Arial Narrow" w:cs="Arial"/>
                <w:sz w:val="20"/>
                <w:szCs w:val="20"/>
              </w:rPr>
              <w:t>Затрудняюсь ответить</w:t>
            </w:r>
          </w:p>
        </w:tc>
        <w:tc>
          <w:tcPr>
            <w:tcW w:w="1014" w:type="dxa"/>
            <w:shd w:val="clear" w:color="auto" w:fill="FFFFFF"/>
            <w:vAlign w:val="center"/>
          </w:tcPr>
          <w:p w:rsidR="00B07AB8" w:rsidRPr="00B07AB8" w:rsidRDefault="00B07AB8" w:rsidP="00B07AB8">
            <w:pPr>
              <w:spacing w:after="0" w:line="240" w:lineRule="auto"/>
              <w:ind w:left="127"/>
              <w:rPr>
                <w:rFonts w:ascii="Arial Narrow" w:hAnsi="Arial Narrow" w:cs="Arial"/>
                <w:sz w:val="20"/>
                <w:szCs w:val="20"/>
              </w:rPr>
            </w:pPr>
            <w:r w:rsidRPr="00B07AB8">
              <w:rPr>
                <w:rFonts w:ascii="Arial Narrow" w:eastAsia="Calibri" w:hAnsi="Arial Narrow" w:cs="Arial"/>
                <w:sz w:val="20"/>
                <w:szCs w:val="20"/>
              </w:rPr>
              <w:t>55,1%</w:t>
            </w:r>
          </w:p>
        </w:tc>
      </w:tr>
    </w:tbl>
    <w:p w:rsidR="00B07AB8" w:rsidRPr="00B07AB8" w:rsidRDefault="00B07AB8" w:rsidP="00A43AC6">
      <w:pPr>
        <w:pStyle w:val="3"/>
        <w:jc w:val="both"/>
        <w:rPr>
          <w:rFonts w:ascii="Arial Narrow" w:hAnsi="Arial Narrow"/>
        </w:rPr>
      </w:pPr>
      <w:bookmarkStart w:id="39" w:name="_Toc475464677"/>
      <w:bookmarkStart w:id="40" w:name="_Toc475532262"/>
      <w:r w:rsidRPr="00B07AB8">
        <w:rPr>
          <w:rFonts w:ascii="Arial Narrow" w:hAnsi="Arial Narrow"/>
        </w:rPr>
        <w:lastRenderedPageBreak/>
        <w:t>5.5.1.5.1. Удовлетворенность субъектов предпринимательской деятельности стоимостью</w:t>
      </w:r>
      <w:r w:rsidRPr="00B07AB8">
        <w:rPr>
          <w:rFonts w:ascii="Arial Narrow" w:eastAsia="Calibri" w:hAnsi="Arial Narrow"/>
        </w:rPr>
        <w:t xml:space="preserve"> подключения</w:t>
      </w:r>
      <w:r w:rsidRPr="00B07AB8">
        <w:rPr>
          <w:rFonts w:ascii="Arial Narrow" w:hAnsi="Arial Narrow"/>
        </w:rPr>
        <w:t xml:space="preserve"> услуг электроснабжения в разрезе отраслевой принадлежности, величины и местонахождения субъектов предпринимательства</w:t>
      </w:r>
      <w:bookmarkEnd w:id="39"/>
      <w:bookmarkEnd w:id="40"/>
    </w:p>
    <w:p w:rsidR="00B07AB8" w:rsidRPr="00B07AB8" w:rsidRDefault="00B07AB8" w:rsidP="00C54B76">
      <w:pPr>
        <w:spacing w:after="0" w:line="360" w:lineRule="auto"/>
        <w:ind w:firstLine="284"/>
        <w:jc w:val="both"/>
        <w:rPr>
          <w:rFonts w:ascii="Arial Narrow" w:hAnsi="Arial Narrow"/>
          <w:sz w:val="24"/>
          <w:szCs w:val="24"/>
        </w:rPr>
      </w:pP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Самые высокие доли субъектов предпринимательства, удовлетворенных стоимостью подключения услуг электроснабжения (40 % и более), зафиксированы среди следующих групп респондентов:</w:t>
      </w: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 субъекты предпринимательства, ведущие деятельность в Каргатском (66,7 %), Усть-Таркском (66,7 %), Колыванском (52,2 %), Баганском (50,0 %), Ордынском (47,4 %), Коченевском (46,2 %), Татарском (44,4 %), Куйбышевском (42,3 %), Карасукском (41,2 %), Чулымском (40,0 %) районах.</w:t>
      </w: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 xml:space="preserve">Среди социально значимых и приоритетных рынков нет таких, представители которых давали бы оценки значительно выше среднего значения (21,6 %). </w:t>
      </w: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Средние и малые предприятия примерно в равной степени удовлетворены стоимостью подключения услуг электроснабжения (27,3 % и 21,6 % соответственно).</w:t>
      </w: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Меньше всего удовлетворены стоимостью подключения услуг электроснабжения представители рынка услуг дошкольного образования (0,0 %), рынка услуг детского отдыха и оздоровления (0,0 %), перевозок пассажиров наземным транспортом (5,0 %), рынка услуг по сбору, сортировке и переработке твердых коммунальных (бытовых) отходов (10,0 %), организации, ведущие деятельность в р. п. Кольцово (0,0 %), Убинском (0,0 %), Северном (0,0 %), Кочковском (0,0 %), Венгеровском (0,0 %), Чистоозерном (9,1 %) районах.</w:t>
      </w:r>
    </w:p>
    <w:p w:rsidR="00B07AB8" w:rsidRPr="00B07AB8" w:rsidRDefault="00B07AB8" w:rsidP="00B07AB8">
      <w:pPr>
        <w:jc w:val="center"/>
        <w:rPr>
          <w:rFonts w:ascii="Arial Narrow" w:hAnsi="Arial Narrow"/>
          <w:b/>
          <w:bCs/>
          <w:color w:val="595959"/>
          <w:sz w:val="20"/>
          <w:szCs w:val="20"/>
        </w:rPr>
      </w:pPr>
      <w:r w:rsidRPr="00B07AB8">
        <w:rPr>
          <w:rFonts w:ascii="Arial Narrow" w:hAnsi="Arial Narrow"/>
          <w:noProof/>
          <w:lang w:eastAsia="ru-RU"/>
        </w:rPr>
        <w:lastRenderedPageBreak/>
        <w:drawing>
          <wp:inline distT="0" distB="0" distL="0" distR="0">
            <wp:extent cx="6254750" cy="6248400"/>
            <wp:effectExtent l="19050" t="0" r="0" b="0"/>
            <wp:docPr id="599"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r w:rsidRPr="00B07AB8">
        <w:rPr>
          <w:rFonts w:ascii="Arial Narrow" w:hAnsi="Arial Narrow"/>
          <w:bCs/>
        </w:rPr>
        <w:t>Диаграмма 5.5.54</w:t>
      </w:r>
      <w:r w:rsidRPr="00B07AB8">
        <w:rPr>
          <w:rFonts w:ascii="Arial Narrow" w:hAnsi="Arial Narrow"/>
          <w:b/>
          <w:bCs/>
        </w:rPr>
        <w:t xml:space="preserve"> – Удовлетворенность субъектов предпринимательской деятельности стоимостью подключения услуг электроснабжения, в % от числа опрошенных по сферам деятельности</w:t>
      </w:r>
    </w:p>
    <w:p w:rsidR="00B07AB8" w:rsidRPr="00B07AB8" w:rsidRDefault="00B07AB8" w:rsidP="00B07AB8">
      <w:pPr>
        <w:ind w:firstLine="567"/>
        <w:jc w:val="center"/>
        <w:rPr>
          <w:rFonts w:ascii="Arial Narrow" w:hAnsi="Arial Narrow"/>
          <w:bCs/>
        </w:rPr>
      </w:pPr>
      <w:r w:rsidRPr="00B07AB8">
        <w:rPr>
          <w:rFonts w:ascii="Arial Narrow" w:hAnsi="Arial Narrow"/>
          <w:noProof/>
          <w:lang w:eastAsia="ru-RU"/>
        </w:rPr>
        <w:drawing>
          <wp:inline distT="0" distB="0" distL="0" distR="0">
            <wp:extent cx="6032500" cy="1320800"/>
            <wp:effectExtent l="0" t="0" r="0" b="0"/>
            <wp:docPr id="600"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rsidR="00B07AB8" w:rsidRPr="00B07AB8" w:rsidRDefault="00B07AB8" w:rsidP="00B07AB8">
      <w:pPr>
        <w:ind w:firstLine="567"/>
        <w:jc w:val="center"/>
        <w:rPr>
          <w:rFonts w:ascii="Arial Narrow" w:hAnsi="Arial Narrow"/>
          <w:b/>
          <w:bCs/>
          <w:color w:val="595959"/>
          <w:sz w:val="20"/>
          <w:szCs w:val="20"/>
        </w:rPr>
      </w:pPr>
      <w:r w:rsidRPr="00B07AB8">
        <w:rPr>
          <w:rFonts w:ascii="Arial Narrow" w:hAnsi="Arial Narrow"/>
          <w:bCs/>
        </w:rPr>
        <w:t>Диаграмма 5.5.55</w:t>
      </w:r>
      <w:r w:rsidRPr="00B07AB8">
        <w:rPr>
          <w:rFonts w:ascii="Arial Narrow" w:hAnsi="Arial Narrow"/>
          <w:b/>
          <w:bCs/>
        </w:rPr>
        <w:t xml:space="preserve"> – Удовлетворенность субъектов предпринимательской деятельности стоимостью подключения услуг электроснабжения, в % от числа опрошенных в группах по величине предприятий</w:t>
      </w:r>
    </w:p>
    <w:p w:rsidR="00B07AB8" w:rsidRPr="00B07AB8" w:rsidRDefault="00B07AB8" w:rsidP="00B07AB8">
      <w:pPr>
        <w:jc w:val="center"/>
        <w:rPr>
          <w:rFonts w:ascii="Arial Narrow" w:hAnsi="Arial Narrow"/>
          <w:b/>
          <w:bCs/>
          <w:color w:val="595959"/>
          <w:sz w:val="20"/>
          <w:szCs w:val="20"/>
        </w:rPr>
      </w:pPr>
      <w:r w:rsidRPr="00B07AB8">
        <w:rPr>
          <w:rFonts w:ascii="Arial Narrow" w:hAnsi="Arial Narrow"/>
          <w:noProof/>
          <w:color w:val="986297"/>
          <w:lang w:eastAsia="ru-RU"/>
        </w:rPr>
        <w:lastRenderedPageBreak/>
        <w:drawing>
          <wp:inline distT="0" distB="0" distL="0" distR="0">
            <wp:extent cx="6032500" cy="8178800"/>
            <wp:effectExtent l="0" t="0" r="0" b="0"/>
            <wp:docPr id="601"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r w:rsidRPr="00B07AB8">
        <w:rPr>
          <w:rFonts w:ascii="Arial Narrow" w:hAnsi="Arial Narrow"/>
          <w:bCs/>
        </w:rPr>
        <w:t>Диаграмма 5.5.56</w:t>
      </w:r>
      <w:r w:rsidRPr="00B07AB8">
        <w:rPr>
          <w:rFonts w:ascii="Arial Narrow" w:hAnsi="Arial Narrow"/>
          <w:b/>
          <w:bCs/>
        </w:rPr>
        <w:t xml:space="preserve"> – Удовлетворенность субъектов предпринимательской деятельности стоимостью подключения услуг электроснабжения, в % от числа опрошенных по территориям</w:t>
      </w:r>
    </w:p>
    <w:p w:rsidR="00B07AB8" w:rsidRPr="00B07AB8" w:rsidRDefault="00B07AB8" w:rsidP="00A43AC6">
      <w:pPr>
        <w:pStyle w:val="3"/>
        <w:jc w:val="both"/>
        <w:rPr>
          <w:rFonts w:ascii="Arial Narrow" w:hAnsi="Arial Narrow"/>
        </w:rPr>
      </w:pPr>
      <w:bookmarkStart w:id="41" w:name="_Toc475464678"/>
      <w:bookmarkStart w:id="42" w:name="_Toc475532263"/>
      <w:r w:rsidRPr="00B07AB8">
        <w:rPr>
          <w:rFonts w:ascii="Arial Narrow" w:hAnsi="Arial Narrow"/>
        </w:rPr>
        <w:lastRenderedPageBreak/>
        <w:t>5.5.1.5.2. Удовлетворенность субъектов предпринимательской деятельности стоимостью</w:t>
      </w:r>
      <w:r w:rsidRPr="00B07AB8">
        <w:rPr>
          <w:rFonts w:ascii="Arial Narrow" w:eastAsia="Calibri" w:hAnsi="Arial Narrow"/>
        </w:rPr>
        <w:t xml:space="preserve"> подключения</w:t>
      </w:r>
      <w:r w:rsidRPr="00B07AB8">
        <w:rPr>
          <w:rFonts w:ascii="Arial Narrow" w:hAnsi="Arial Narrow"/>
        </w:rPr>
        <w:t xml:space="preserve"> услуг водоснабжения/водоотведения в разрезе отраслевой принадлежности, величины и местонахождения субъектов предпринимательства</w:t>
      </w:r>
      <w:bookmarkEnd w:id="41"/>
      <w:bookmarkEnd w:id="42"/>
    </w:p>
    <w:p w:rsidR="00B07AB8" w:rsidRPr="00B07AB8" w:rsidRDefault="00B07AB8" w:rsidP="00C54B76">
      <w:pPr>
        <w:spacing w:after="0" w:line="360" w:lineRule="auto"/>
        <w:ind w:firstLine="567"/>
        <w:jc w:val="center"/>
        <w:rPr>
          <w:rFonts w:ascii="Arial Narrow" w:hAnsi="Arial Narrow"/>
        </w:rPr>
      </w:pP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Самые высокие доли субъектов предпринимательства, удовлетворенных стоимостью подключения услуг водоснабжения/водоотведения (40 % и более), зафиксированы среди следующих групп респондентов:</w:t>
      </w: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 субъекты предпринимательства, ведущие деятельность в Кыштовском (66,7 %), Усть-Таркском (66,7 %), Купинском (53,3 %), Баганском (50,0 %), Краснозерском (50,0 %), Колыванском (47,8 %), Ордынском (47,4 %), Татарском (44,4 %), Куйбышевском (42,3 %), Карасукском (41,2 %), Чулымском (40,0 %) районах.</w:t>
      </w: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Среди социально значимых и приоритетных рынков нет таких, представители которых давали бы оценки значительно выше среднего значения (21,6 %).</w:t>
      </w: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Средние предприятия чаще, чем малые, удовлетворены данным параметром услуг водоснабжения/водоотведения (36,4 % и 22,2 % соответственно).</w:t>
      </w: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Меньше всего удовлетворены стоимостью подключения услуг водоснабжения/водоотведения представители рынка услуг дошкольного образования (0,0 %), детского отдыха и оздоровления (0,0 %), рынка услуг перевозок пассажиров наземным транспортом (0,0 %), рынка услуг связи (8,0 %), рынка услуг по сбору, сортировке и переработке твердых коммунальных (бытовых) отходов (10,0 %), организации, ведущие деятельность в р. п. Кольцово (0,0 %), Каргатском (0,0 %), Венгеровском (0,0 %), Новосибирском (9,1 %) районах.</w:t>
      </w:r>
    </w:p>
    <w:p w:rsidR="00B07AB8" w:rsidRPr="00B07AB8" w:rsidRDefault="00B07AB8" w:rsidP="00B07AB8">
      <w:pPr>
        <w:jc w:val="center"/>
        <w:rPr>
          <w:rFonts w:ascii="Arial Narrow" w:hAnsi="Arial Narrow"/>
          <w:b/>
          <w:bCs/>
        </w:rPr>
      </w:pPr>
      <w:r w:rsidRPr="00B07AB8">
        <w:rPr>
          <w:rFonts w:ascii="Arial Narrow" w:hAnsi="Arial Narrow"/>
          <w:noProof/>
          <w:lang w:eastAsia="ru-RU"/>
        </w:rPr>
        <w:lastRenderedPageBreak/>
        <w:drawing>
          <wp:inline distT="0" distB="0" distL="0" distR="0">
            <wp:extent cx="6216650" cy="5600700"/>
            <wp:effectExtent l="19050" t="0" r="0" b="0"/>
            <wp:docPr id="602"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r w:rsidRPr="00B07AB8">
        <w:rPr>
          <w:rFonts w:ascii="Arial Narrow" w:hAnsi="Arial Narrow"/>
          <w:bCs/>
        </w:rPr>
        <w:t>Диаграмма 5.5.57</w:t>
      </w:r>
      <w:r w:rsidRPr="00B07AB8">
        <w:rPr>
          <w:rFonts w:ascii="Arial Narrow" w:hAnsi="Arial Narrow"/>
          <w:b/>
          <w:bCs/>
        </w:rPr>
        <w:t xml:space="preserve"> – Удовлетворенность субъектов предпринимательской деятельности стоимостью подключения услуг водоснабжения, водоотведения, в % от числа опрошенных по сферам деятельности</w:t>
      </w:r>
    </w:p>
    <w:p w:rsidR="00B07AB8" w:rsidRPr="00B07AB8" w:rsidRDefault="00B07AB8" w:rsidP="00B07AB8">
      <w:pPr>
        <w:ind w:firstLine="567"/>
        <w:jc w:val="center"/>
        <w:rPr>
          <w:rFonts w:ascii="Arial Narrow" w:hAnsi="Arial Narrow"/>
          <w:b/>
          <w:bCs/>
        </w:rPr>
      </w:pPr>
      <w:r w:rsidRPr="00B07AB8">
        <w:rPr>
          <w:rFonts w:ascii="Arial Narrow" w:hAnsi="Arial Narrow"/>
          <w:noProof/>
          <w:lang w:eastAsia="ru-RU"/>
        </w:rPr>
        <w:drawing>
          <wp:inline distT="0" distB="0" distL="0" distR="0">
            <wp:extent cx="6031230" cy="2009775"/>
            <wp:effectExtent l="0" t="0" r="0" b="0"/>
            <wp:docPr id="603"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r w:rsidRPr="00B07AB8">
        <w:rPr>
          <w:rFonts w:ascii="Arial Narrow" w:hAnsi="Arial Narrow"/>
          <w:bCs/>
        </w:rPr>
        <w:t>Диаграмма 5.5.58</w:t>
      </w:r>
      <w:r w:rsidRPr="00B07AB8">
        <w:rPr>
          <w:rFonts w:ascii="Arial Narrow" w:hAnsi="Arial Narrow"/>
          <w:b/>
          <w:bCs/>
        </w:rPr>
        <w:t xml:space="preserve"> – Удовлетворенность субъектов предпринимательской деятельности стоимостью подключения услуг водоснабжения, водоотведения, в % от числа опрошенных в группах по величине предприятий</w:t>
      </w:r>
    </w:p>
    <w:p w:rsidR="00B07AB8" w:rsidRPr="00B07AB8" w:rsidRDefault="00B07AB8" w:rsidP="00B07AB8">
      <w:pPr>
        <w:jc w:val="center"/>
        <w:rPr>
          <w:rFonts w:ascii="Arial Narrow" w:hAnsi="Arial Narrow"/>
          <w:b/>
          <w:bCs/>
          <w:sz w:val="20"/>
          <w:szCs w:val="20"/>
        </w:rPr>
      </w:pPr>
      <w:r w:rsidRPr="00B07AB8">
        <w:rPr>
          <w:rFonts w:ascii="Arial Narrow" w:hAnsi="Arial Narrow"/>
          <w:noProof/>
          <w:color w:val="986297"/>
          <w:lang w:eastAsia="ru-RU"/>
        </w:rPr>
        <w:lastRenderedPageBreak/>
        <w:drawing>
          <wp:inline distT="0" distB="0" distL="0" distR="0">
            <wp:extent cx="6032500" cy="8026400"/>
            <wp:effectExtent l="0" t="0" r="0" b="0"/>
            <wp:docPr id="604" name="Диаграмма 2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r w:rsidRPr="00B07AB8">
        <w:rPr>
          <w:rFonts w:ascii="Arial Narrow" w:hAnsi="Arial Narrow"/>
          <w:bCs/>
        </w:rPr>
        <w:t>Диаграмма 5.5.59</w:t>
      </w:r>
      <w:r w:rsidRPr="00B07AB8">
        <w:rPr>
          <w:rFonts w:ascii="Arial Narrow" w:hAnsi="Arial Narrow"/>
          <w:b/>
          <w:bCs/>
        </w:rPr>
        <w:t xml:space="preserve"> – Удовлетворенность субъектов предпринимательской деятельности стоимостью подключения услуг водоснабжения, водоотведения, в % от числа опрошенных по территориям</w:t>
      </w:r>
    </w:p>
    <w:p w:rsidR="00B07AB8" w:rsidRPr="00B07AB8" w:rsidRDefault="00B07AB8" w:rsidP="00A43AC6">
      <w:pPr>
        <w:pStyle w:val="3"/>
        <w:jc w:val="both"/>
        <w:rPr>
          <w:rFonts w:ascii="Arial Narrow" w:hAnsi="Arial Narrow"/>
        </w:rPr>
      </w:pPr>
      <w:bookmarkStart w:id="43" w:name="_Toc475464679"/>
      <w:bookmarkStart w:id="44" w:name="_Toc475532264"/>
      <w:r w:rsidRPr="00B07AB8">
        <w:rPr>
          <w:rFonts w:ascii="Arial Narrow" w:hAnsi="Arial Narrow"/>
        </w:rPr>
        <w:lastRenderedPageBreak/>
        <w:t>5.5.1.5.3. Удовлетворенность субъектов предпринимательской деятельности стоимостью</w:t>
      </w:r>
      <w:r w:rsidRPr="00B07AB8">
        <w:rPr>
          <w:rFonts w:ascii="Arial Narrow" w:eastAsia="Calibri" w:hAnsi="Arial Narrow"/>
        </w:rPr>
        <w:t xml:space="preserve"> подключения</w:t>
      </w:r>
      <w:r w:rsidRPr="00B07AB8">
        <w:rPr>
          <w:rFonts w:ascii="Arial Narrow" w:hAnsi="Arial Narrow"/>
        </w:rPr>
        <w:t xml:space="preserve"> услуг теплоснабжения в разрезе отраслевой принадлежности, величины и местонахождения субъектов предпринимательства</w:t>
      </w:r>
      <w:bookmarkEnd w:id="43"/>
      <w:bookmarkEnd w:id="44"/>
    </w:p>
    <w:p w:rsidR="00B07AB8" w:rsidRPr="00B07AB8" w:rsidRDefault="00B07AB8" w:rsidP="00B07AB8">
      <w:pPr>
        <w:ind w:firstLine="567"/>
        <w:jc w:val="center"/>
        <w:rPr>
          <w:rFonts w:ascii="Arial Narrow" w:hAnsi="Arial Narrow"/>
        </w:rPr>
      </w:pP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Самые высокие доли субъектов предпринимательства, удовлетворенных стоимостью подключения услуг теплоснабжения (40 % и более), зафиксированы среди следующих групп респондентов:</w:t>
      </w: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 субъекты предпринимательства, ведущие деятельность в Колыванском (52,2 %), Усть-Таркском (50,0 %), Татарском (44,4 %), Карасукском (41,2 %), Чулымском (40,0 %) районах.</w:t>
      </w: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Среди социально значимых и приоритетных рынков нет таких, представители которых давали бы оценки значительно выше среднего значения (20,3 %).</w:t>
      </w: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Средние и малые предприятия удовлетворены данным параметром примерно в одинаковой степени (18,2 % и 20,4 % соответственно).</w:t>
      </w: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Меньше всего удовлетворены стоимостью подключения услуг теплоснабжения представители рынка услуг дошкольного образования (0,0 %), услуг детского отдыха и оздоровления (0,0 %), услуг перевозок пассажиров наземным транспортом (0,0 %), рынка услуг связи (8,0 %), рынка услуг социального обслуживания населения (8,0 %), организации, ведущие деятельность в р. п. Кольцово (0,0 %), Северном (0,0 %), Кочковском (0,0 %), Каргатском (0,0 %), Венгеровском (0,0 %), Новосибирском (9,1 %) районах.</w:t>
      </w:r>
    </w:p>
    <w:p w:rsidR="00B07AB8" w:rsidRPr="00B07AB8" w:rsidRDefault="00B07AB8" w:rsidP="00B07AB8">
      <w:pPr>
        <w:rPr>
          <w:rFonts w:ascii="Arial Narrow" w:hAnsi="Arial Narrow"/>
        </w:rPr>
      </w:pPr>
      <w:r w:rsidRPr="00B07AB8">
        <w:rPr>
          <w:rFonts w:ascii="Arial Narrow" w:hAnsi="Arial Narrow"/>
        </w:rPr>
        <w:br w:type="page"/>
      </w:r>
    </w:p>
    <w:p w:rsidR="00B07AB8" w:rsidRPr="00B07AB8" w:rsidRDefault="00B07AB8" w:rsidP="00B07AB8">
      <w:pPr>
        <w:jc w:val="center"/>
        <w:rPr>
          <w:rFonts w:ascii="Arial Narrow" w:hAnsi="Arial Narrow"/>
          <w:bCs/>
        </w:rPr>
      </w:pPr>
      <w:r w:rsidRPr="00B07AB8">
        <w:rPr>
          <w:rFonts w:ascii="Arial Narrow" w:hAnsi="Arial Narrow"/>
          <w:noProof/>
          <w:lang w:eastAsia="ru-RU"/>
        </w:rPr>
        <w:lastRenderedPageBreak/>
        <w:drawing>
          <wp:inline distT="0" distB="0" distL="0" distR="0">
            <wp:extent cx="6238627" cy="5470497"/>
            <wp:effectExtent l="19050" t="0" r="0" b="0"/>
            <wp:docPr id="605"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rsidR="00B07AB8" w:rsidRPr="00B07AB8" w:rsidRDefault="00B07AB8" w:rsidP="00B07AB8">
      <w:pPr>
        <w:jc w:val="center"/>
        <w:rPr>
          <w:rFonts w:ascii="Arial Narrow" w:hAnsi="Arial Narrow"/>
          <w:b/>
          <w:bCs/>
        </w:rPr>
      </w:pPr>
      <w:r w:rsidRPr="00B07AB8">
        <w:rPr>
          <w:rFonts w:ascii="Arial Narrow" w:hAnsi="Arial Narrow"/>
          <w:bCs/>
        </w:rPr>
        <w:t xml:space="preserve">Диаграмма 5.5.63 </w:t>
      </w:r>
      <w:r w:rsidRPr="00B07AB8">
        <w:rPr>
          <w:rFonts w:ascii="Arial Narrow" w:hAnsi="Arial Narrow"/>
          <w:b/>
          <w:bCs/>
        </w:rPr>
        <w:t>– Удовлетворенность субъектов предпринимательской деятельности стоимостью подключения услуг теплоснабжения, в % от числа опрошенных по сферам деятельности</w:t>
      </w:r>
    </w:p>
    <w:p w:rsidR="00B07AB8" w:rsidRPr="00B07AB8" w:rsidRDefault="00B07AB8" w:rsidP="00B07AB8">
      <w:pPr>
        <w:jc w:val="center"/>
        <w:rPr>
          <w:rFonts w:ascii="Arial Narrow" w:hAnsi="Arial Narrow"/>
        </w:rPr>
      </w:pPr>
      <w:r w:rsidRPr="00B07AB8">
        <w:rPr>
          <w:rFonts w:ascii="Arial Narrow" w:hAnsi="Arial Narrow"/>
          <w:noProof/>
          <w:lang w:eastAsia="ru-RU"/>
        </w:rPr>
        <w:drawing>
          <wp:inline distT="0" distB="0" distL="0" distR="0">
            <wp:extent cx="6031230" cy="2047875"/>
            <wp:effectExtent l="0" t="0" r="0" b="0"/>
            <wp:docPr id="606"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r w:rsidRPr="00B07AB8">
        <w:rPr>
          <w:rFonts w:ascii="Arial Narrow" w:hAnsi="Arial Narrow"/>
          <w:bCs/>
        </w:rPr>
        <w:t>Диаграмма 5.5.64</w:t>
      </w:r>
      <w:r w:rsidRPr="00B07AB8">
        <w:rPr>
          <w:rFonts w:ascii="Arial Narrow" w:hAnsi="Arial Narrow"/>
          <w:b/>
          <w:bCs/>
        </w:rPr>
        <w:t xml:space="preserve"> – Удовлетворенность субъектов предпринимательской деятельности стоимостью подключения услуг теплоснабжения, в % от числа опрошенных в группах по величине предприятий</w:t>
      </w:r>
    </w:p>
    <w:p w:rsidR="00C54B76" w:rsidRDefault="00B07AB8" w:rsidP="00B07AB8">
      <w:pPr>
        <w:jc w:val="center"/>
        <w:rPr>
          <w:rFonts w:ascii="Arial Narrow" w:hAnsi="Arial Narrow"/>
          <w:bCs/>
        </w:rPr>
      </w:pPr>
      <w:r w:rsidRPr="00B07AB8">
        <w:rPr>
          <w:rFonts w:ascii="Arial Narrow" w:hAnsi="Arial Narrow"/>
          <w:noProof/>
          <w:color w:val="986297"/>
          <w:lang w:eastAsia="ru-RU"/>
        </w:rPr>
        <w:lastRenderedPageBreak/>
        <w:drawing>
          <wp:inline distT="0" distB="0" distL="0" distR="0">
            <wp:extent cx="6032500" cy="8013700"/>
            <wp:effectExtent l="0" t="0" r="0" b="0"/>
            <wp:docPr id="607" name="Диаграмма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rsidR="00B07AB8" w:rsidRPr="00B07AB8" w:rsidRDefault="00B07AB8" w:rsidP="00B07AB8">
      <w:pPr>
        <w:jc w:val="center"/>
        <w:rPr>
          <w:rFonts w:ascii="Arial Narrow" w:hAnsi="Arial Narrow"/>
          <w:b/>
          <w:bCs/>
          <w:sz w:val="26"/>
          <w:szCs w:val="26"/>
        </w:rPr>
      </w:pPr>
      <w:r w:rsidRPr="00B07AB8">
        <w:rPr>
          <w:rFonts w:ascii="Arial Narrow" w:hAnsi="Arial Narrow"/>
          <w:bCs/>
        </w:rPr>
        <w:t>Диаграмма 5.5.65</w:t>
      </w:r>
      <w:r w:rsidRPr="00B07AB8">
        <w:rPr>
          <w:rFonts w:ascii="Arial Narrow" w:hAnsi="Arial Narrow"/>
          <w:b/>
          <w:bCs/>
        </w:rPr>
        <w:t xml:space="preserve"> – Удовлетворенность субъектов предпринимательской деятельности стоимостью подключения услуг теплоснабжения, в % от числа опрошенных по территориям</w:t>
      </w:r>
      <w:r w:rsidRPr="00B07AB8">
        <w:rPr>
          <w:rFonts w:ascii="Arial Narrow" w:hAnsi="Arial Narrow"/>
        </w:rPr>
        <w:br w:type="page"/>
      </w:r>
    </w:p>
    <w:p w:rsidR="00B07AB8" w:rsidRPr="00B07AB8" w:rsidRDefault="00B07AB8" w:rsidP="00A43AC6">
      <w:pPr>
        <w:pStyle w:val="3"/>
        <w:jc w:val="both"/>
        <w:rPr>
          <w:rFonts w:ascii="Arial Narrow" w:hAnsi="Arial Narrow"/>
        </w:rPr>
      </w:pPr>
      <w:bookmarkStart w:id="45" w:name="_Toc475464680"/>
      <w:bookmarkStart w:id="46" w:name="_Toc475532265"/>
      <w:r w:rsidRPr="00B07AB8">
        <w:rPr>
          <w:rFonts w:ascii="Arial Narrow" w:hAnsi="Arial Narrow"/>
        </w:rPr>
        <w:lastRenderedPageBreak/>
        <w:t>5.5.1.5.4. Удовлетворенность субъектов предпринимательской деятельности стоимостью</w:t>
      </w:r>
      <w:r w:rsidRPr="00B07AB8">
        <w:rPr>
          <w:rFonts w:ascii="Arial Narrow" w:eastAsia="Calibri" w:hAnsi="Arial Narrow"/>
        </w:rPr>
        <w:t xml:space="preserve"> подключения</w:t>
      </w:r>
      <w:r w:rsidRPr="00B07AB8">
        <w:rPr>
          <w:rFonts w:ascii="Arial Narrow" w:hAnsi="Arial Narrow"/>
        </w:rPr>
        <w:t xml:space="preserve"> услуг газоснабжения в разрезе отраслевой принадлежности, величины и местонахождения субъектов предпринимательства</w:t>
      </w:r>
      <w:bookmarkEnd w:id="45"/>
      <w:bookmarkEnd w:id="46"/>
    </w:p>
    <w:p w:rsidR="00B07AB8" w:rsidRPr="00B07AB8" w:rsidRDefault="00B07AB8" w:rsidP="00B07AB8">
      <w:pPr>
        <w:ind w:firstLine="567"/>
        <w:jc w:val="center"/>
        <w:rPr>
          <w:rFonts w:ascii="Arial Narrow" w:hAnsi="Arial Narrow"/>
        </w:rPr>
      </w:pP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Самые высокие доли субъектов предпринимательства, удовлетворенных стоимостью подключения услуг газоснабжения (30 % и более), зафиксированы среди следующих групп респондентов:</w:t>
      </w: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 субъекты предпринимательства, ведущие деятельность в Колыванском (47,8 %), Карасукском (41,2 %), Чулымском (40,0 %), Куйбышевском (34,6 %) районах, г. Искитиме (34,0 %), Ордынском (31,6 %), Коченевском (30,8 %), Маслянинском (30,8 %) районах.</w:t>
      </w: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Среди социально значимых и приоритетных рынков нет таких, представители которых давали бы оценки значительно выше среднего значения (16,7 %).</w:t>
      </w: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Средние и малые предприятия удовлетворены данным параметром примерно в одинаковой степени (18,2 % и 16,6 % соответственно).</w:t>
      </w: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Меньше всего удовлетворены стоимостью подключения услуг газоснабжения представители рынка услуг детского отдыха и оздоровления (0,0 %), услуг дошкольного образования (0,0 %), перевозок пассажиров наземным транспортом (0,0 %), рынка услуг связи (8,0 %), рынка услуг социального обслуживания населения (8,0 %), организации, ведущие деятельность в Болотнинском (7,7 %), Купинском (6,7 %), Венгеровском (0,0 %), Здвинском (0,0 %), Каргатском (0,0 %), Кочковском (0,0 %), Краснозерском (0,0 %), Кыштовском районах (0,0 %), р. п. Кольцово (0,0 %), Северном (0,0 %), Тогучинском (0,0 %), Убинском (0,0 %) районах.</w:t>
      </w:r>
    </w:p>
    <w:p w:rsidR="00B07AB8" w:rsidRPr="00B07AB8" w:rsidRDefault="00B07AB8" w:rsidP="00B07AB8">
      <w:pPr>
        <w:jc w:val="center"/>
        <w:rPr>
          <w:rFonts w:ascii="Arial Narrow" w:hAnsi="Arial Narrow"/>
          <w:bCs/>
        </w:rPr>
      </w:pPr>
      <w:r w:rsidRPr="00B07AB8">
        <w:rPr>
          <w:rFonts w:ascii="Arial Narrow" w:hAnsi="Arial Narrow"/>
          <w:noProof/>
          <w:lang w:eastAsia="ru-RU"/>
        </w:rPr>
        <w:lastRenderedPageBreak/>
        <w:drawing>
          <wp:inline distT="0" distB="0" distL="0" distR="0">
            <wp:extent cx="6390005" cy="5421086"/>
            <wp:effectExtent l="19050" t="0" r="0" b="0"/>
            <wp:docPr id="608"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rsidR="00B07AB8" w:rsidRPr="00B07AB8" w:rsidRDefault="00B07AB8" w:rsidP="00B07AB8">
      <w:pPr>
        <w:jc w:val="center"/>
        <w:rPr>
          <w:rFonts w:ascii="Arial Narrow" w:hAnsi="Arial Narrow"/>
          <w:bCs/>
        </w:rPr>
      </w:pPr>
    </w:p>
    <w:p w:rsidR="00B07AB8" w:rsidRPr="00B07AB8" w:rsidRDefault="00B07AB8" w:rsidP="00B07AB8">
      <w:pPr>
        <w:jc w:val="center"/>
        <w:rPr>
          <w:rFonts w:ascii="Arial Narrow" w:hAnsi="Arial Narrow"/>
          <w:b/>
          <w:bCs/>
          <w:color w:val="595959"/>
          <w:sz w:val="20"/>
          <w:szCs w:val="20"/>
        </w:rPr>
      </w:pPr>
      <w:r w:rsidRPr="00B07AB8">
        <w:rPr>
          <w:rFonts w:ascii="Arial Narrow" w:hAnsi="Arial Narrow"/>
          <w:bCs/>
        </w:rPr>
        <w:t>Диаграмма 5.5.60</w:t>
      </w:r>
      <w:r w:rsidRPr="00B07AB8">
        <w:rPr>
          <w:rFonts w:ascii="Arial Narrow" w:hAnsi="Arial Narrow"/>
          <w:b/>
          <w:bCs/>
        </w:rPr>
        <w:t xml:space="preserve"> – Удовлетворенность субъектов предпринимательской деятельности стоимостью подключения услуг газоснабжения, в % от числа опрошенных по сферам деятельности</w:t>
      </w:r>
    </w:p>
    <w:p w:rsidR="00C54B76" w:rsidRDefault="00B07AB8" w:rsidP="00B07AB8">
      <w:pPr>
        <w:ind w:firstLine="567"/>
        <w:jc w:val="center"/>
        <w:rPr>
          <w:rFonts w:ascii="Arial Narrow" w:hAnsi="Arial Narrow"/>
          <w:bCs/>
        </w:rPr>
      </w:pPr>
      <w:r w:rsidRPr="00B07AB8">
        <w:rPr>
          <w:rFonts w:ascii="Arial Narrow" w:hAnsi="Arial Narrow"/>
          <w:noProof/>
          <w:lang w:eastAsia="ru-RU"/>
        </w:rPr>
        <w:drawing>
          <wp:inline distT="0" distB="0" distL="0" distR="0">
            <wp:extent cx="6031230" cy="1436915"/>
            <wp:effectExtent l="0" t="0" r="0" b="0"/>
            <wp:docPr id="609"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rsidR="00B07AB8" w:rsidRPr="00B07AB8" w:rsidRDefault="00B07AB8" w:rsidP="00B07AB8">
      <w:pPr>
        <w:ind w:firstLine="567"/>
        <w:jc w:val="center"/>
        <w:rPr>
          <w:rFonts w:ascii="Arial Narrow" w:hAnsi="Arial Narrow"/>
          <w:b/>
          <w:bCs/>
          <w:color w:val="595959"/>
          <w:sz w:val="20"/>
          <w:szCs w:val="20"/>
        </w:rPr>
      </w:pPr>
      <w:r w:rsidRPr="00B07AB8">
        <w:rPr>
          <w:rFonts w:ascii="Arial Narrow" w:hAnsi="Arial Narrow"/>
          <w:bCs/>
        </w:rPr>
        <w:t>Диаграмма 5.5.61</w:t>
      </w:r>
      <w:r w:rsidRPr="00B07AB8">
        <w:rPr>
          <w:rFonts w:ascii="Arial Narrow" w:hAnsi="Arial Narrow"/>
          <w:b/>
          <w:bCs/>
        </w:rPr>
        <w:t xml:space="preserve"> – Удовлетворенность субъектов предпринимательской деятельности стоимостью подключения услуг газоснабжения, в % от числа опрошенных в группах по величине предприятий</w:t>
      </w:r>
    </w:p>
    <w:p w:rsidR="00B07AB8" w:rsidRPr="00B07AB8" w:rsidRDefault="00B07AB8" w:rsidP="00B07AB8">
      <w:pPr>
        <w:jc w:val="center"/>
        <w:rPr>
          <w:rFonts w:ascii="Arial Narrow" w:hAnsi="Arial Narrow"/>
          <w:b/>
          <w:bCs/>
        </w:rPr>
      </w:pPr>
      <w:r w:rsidRPr="00B07AB8">
        <w:rPr>
          <w:rFonts w:ascii="Arial Narrow" w:hAnsi="Arial Narrow"/>
          <w:noProof/>
          <w:color w:val="986297"/>
          <w:lang w:eastAsia="ru-RU"/>
        </w:rPr>
        <w:lastRenderedPageBreak/>
        <w:drawing>
          <wp:inline distT="0" distB="0" distL="0" distR="0">
            <wp:extent cx="6032500" cy="8026400"/>
            <wp:effectExtent l="0" t="0" r="0" b="0"/>
            <wp:docPr id="610" name="Диаграмма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r w:rsidRPr="00B07AB8">
        <w:rPr>
          <w:rFonts w:ascii="Arial Narrow" w:hAnsi="Arial Narrow"/>
          <w:bCs/>
        </w:rPr>
        <w:t>Диаграмма 5.5.62</w:t>
      </w:r>
      <w:r w:rsidRPr="00B07AB8">
        <w:rPr>
          <w:rFonts w:ascii="Arial Narrow" w:hAnsi="Arial Narrow"/>
          <w:b/>
          <w:bCs/>
        </w:rPr>
        <w:t xml:space="preserve"> – Удовлетворенность субъектов предпринимательской деятельности стоимостью подключения услуг газоснабжения, в % от числа опрошенных по территориям</w:t>
      </w:r>
    </w:p>
    <w:p w:rsidR="00B07AB8" w:rsidRPr="00B07AB8" w:rsidRDefault="00B07AB8" w:rsidP="00A43AC6">
      <w:pPr>
        <w:pStyle w:val="3"/>
        <w:jc w:val="both"/>
        <w:rPr>
          <w:rFonts w:ascii="Arial Narrow" w:hAnsi="Arial Narrow"/>
        </w:rPr>
      </w:pPr>
      <w:bookmarkStart w:id="47" w:name="_Toc475464681"/>
      <w:bookmarkStart w:id="48" w:name="_Toc475532266"/>
      <w:bookmarkStart w:id="49" w:name="_Toc470587936"/>
      <w:r w:rsidRPr="00B07AB8">
        <w:rPr>
          <w:rFonts w:ascii="Arial Narrow" w:hAnsi="Arial Narrow"/>
        </w:rPr>
        <w:lastRenderedPageBreak/>
        <w:t>5.5.2. Удовлетворенность качеством товаров, работ и услуг, предоставляемых субъектами естественных монополий, со стороны потребителей (населения)</w:t>
      </w:r>
      <w:bookmarkEnd w:id="47"/>
      <w:bookmarkEnd w:id="48"/>
      <w:r w:rsidRPr="00B07AB8">
        <w:rPr>
          <w:rFonts w:ascii="Arial Narrow" w:hAnsi="Arial Narrow"/>
        </w:rPr>
        <w:t xml:space="preserve"> </w:t>
      </w:r>
    </w:p>
    <w:bookmarkEnd w:id="49"/>
    <w:p w:rsidR="00B07AB8" w:rsidRPr="00B07AB8" w:rsidRDefault="00B07AB8" w:rsidP="00A43AC6">
      <w:pPr>
        <w:spacing w:after="0" w:line="240" w:lineRule="auto"/>
        <w:ind w:firstLine="567"/>
        <w:jc w:val="both"/>
        <w:rPr>
          <w:rFonts w:ascii="Arial Narrow" w:hAnsi="Arial Narrow"/>
          <w:b/>
        </w:rPr>
      </w:pPr>
    </w:p>
    <w:p w:rsidR="00B07AB8" w:rsidRPr="00B07AB8" w:rsidRDefault="00B07AB8" w:rsidP="00A43AC6">
      <w:pPr>
        <w:pStyle w:val="3"/>
        <w:jc w:val="both"/>
        <w:rPr>
          <w:rFonts w:ascii="Arial Narrow" w:hAnsi="Arial Narrow"/>
        </w:rPr>
      </w:pPr>
      <w:bookmarkStart w:id="50" w:name="_Toc475532267"/>
      <w:r w:rsidRPr="00B07AB8">
        <w:rPr>
          <w:rFonts w:ascii="Arial Narrow" w:hAnsi="Arial Narrow"/>
        </w:rPr>
        <w:t>5.5.2.1. Удовлетворенность потребителей (населения) стоимостью услуг, предоставляемых субъектами естественных монополий</w:t>
      </w:r>
      <w:bookmarkEnd w:id="50"/>
    </w:p>
    <w:p w:rsidR="00B07AB8" w:rsidRPr="00B07AB8" w:rsidRDefault="00B07AB8" w:rsidP="00C54B76">
      <w:pPr>
        <w:spacing w:after="0" w:line="360" w:lineRule="auto"/>
        <w:rPr>
          <w:rFonts w:ascii="Arial Narrow" w:hAnsi="Arial Narrow"/>
          <w:sz w:val="24"/>
          <w:szCs w:val="24"/>
        </w:rPr>
      </w:pP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Стоимость услуг естественных монополий удовлетворяет от 34,6 % до 59,7 % потребителей, не удовлетворяет от 30,5 % до 38,2 %.</w:t>
      </w:r>
    </w:p>
    <w:p w:rsidR="00B07AB8" w:rsidRPr="00B07AB8" w:rsidRDefault="00B07AB8" w:rsidP="00C54B76">
      <w:pPr>
        <w:spacing w:after="0" w:line="360" w:lineRule="auto"/>
        <w:ind w:firstLine="284"/>
        <w:jc w:val="both"/>
        <w:rPr>
          <w:rFonts w:ascii="Arial Narrow" w:hAnsi="Arial Narrow"/>
          <w:sz w:val="24"/>
          <w:szCs w:val="24"/>
          <w:u w:val="single"/>
        </w:rPr>
      </w:pPr>
      <w:r w:rsidRPr="00B07AB8">
        <w:rPr>
          <w:rFonts w:ascii="Arial Narrow" w:hAnsi="Arial Narrow"/>
          <w:sz w:val="24"/>
          <w:szCs w:val="24"/>
          <w:u w:val="single"/>
        </w:rPr>
        <w:t>Рейтинг удовлетворенности потребителей (населения) стоимостью услуг естественных монополий:</w:t>
      </w: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1. Электроснабжение (</w:t>
      </w:r>
      <w:r w:rsidRPr="00B07AB8">
        <w:rPr>
          <w:rFonts w:ascii="Arial Narrow" w:hAnsi="Arial Narrow"/>
          <w:b/>
          <w:sz w:val="24"/>
          <w:szCs w:val="24"/>
        </w:rPr>
        <w:t>59,7 %</w:t>
      </w:r>
      <w:r w:rsidRPr="00B07AB8">
        <w:rPr>
          <w:rFonts w:ascii="Arial Narrow" w:hAnsi="Arial Narrow"/>
          <w:sz w:val="24"/>
          <w:szCs w:val="24"/>
        </w:rPr>
        <w:t xml:space="preserve"> удовлетворены, 38,2 % не удовлетворены); </w:t>
      </w: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2. Водоснабжение/водоотведение (</w:t>
      </w:r>
      <w:r w:rsidRPr="00B07AB8">
        <w:rPr>
          <w:rFonts w:ascii="Arial Narrow" w:hAnsi="Arial Narrow"/>
          <w:b/>
          <w:sz w:val="24"/>
          <w:szCs w:val="24"/>
        </w:rPr>
        <w:t>53,8 %</w:t>
      </w:r>
      <w:r w:rsidRPr="00B07AB8">
        <w:rPr>
          <w:rFonts w:ascii="Arial Narrow" w:hAnsi="Arial Narrow"/>
          <w:sz w:val="24"/>
          <w:szCs w:val="24"/>
        </w:rPr>
        <w:t xml:space="preserve"> удовлетворены, 38,1 % не удовлетворены);</w:t>
      </w: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3. Теплоснабжение (</w:t>
      </w:r>
      <w:r w:rsidRPr="00B07AB8">
        <w:rPr>
          <w:rFonts w:ascii="Arial Narrow" w:hAnsi="Arial Narrow"/>
          <w:b/>
          <w:sz w:val="24"/>
          <w:szCs w:val="24"/>
        </w:rPr>
        <w:t>38,7 %</w:t>
      </w:r>
      <w:r w:rsidRPr="00B07AB8">
        <w:rPr>
          <w:rFonts w:ascii="Arial Narrow" w:hAnsi="Arial Narrow"/>
          <w:sz w:val="24"/>
          <w:szCs w:val="24"/>
        </w:rPr>
        <w:t xml:space="preserve"> удовлетворены, 35,9 % не удовлетворены); </w:t>
      </w: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4. Газоснабжение (</w:t>
      </w:r>
      <w:r w:rsidRPr="00B07AB8">
        <w:rPr>
          <w:rFonts w:ascii="Arial Narrow" w:hAnsi="Arial Narrow"/>
          <w:b/>
          <w:sz w:val="24"/>
          <w:szCs w:val="24"/>
        </w:rPr>
        <w:t>34,6 %</w:t>
      </w:r>
      <w:r w:rsidRPr="00B07AB8">
        <w:rPr>
          <w:rFonts w:ascii="Arial Narrow" w:hAnsi="Arial Narrow"/>
          <w:sz w:val="24"/>
          <w:szCs w:val="24"/>
        </w:rPr>
        <w:t xml:space="preserve"> удовлетворены, 30,5 % не удовлетворены). </w:t>
      </w: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Потребители значительно чаще удовлетворены стоимостью электроснабжения и водоснабжения/водоотведения, чем стоимостью теплоснабжения и газоснабжения. При этом две последние услуги набрали наибольшее количество затруднившихся ответить (25,3 % – для теплоснабжения и 34,9 % – для газоснабжения).</w:t>
      </w: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Доли потребителей, удовлетворенных стоимостью услуг электроснабжения и водоснабжения/водоотведения (59,7 % и 53,8 %), значительно превосходят доли не удовлетворенных ими (38,2 % и 38,1 %). А доли потребителей, удовлетворенных данным параметром теплоснабжения и газоснабжения (38,7 % и 34,6 %), почти совпадают с долями неудовлетворенных (35,9 % и 30,5 %).</w:t>
      </w: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 xml:space="preserve">Чаще остальных не удовлетворены каждой из услуг естественных монополий жители городов, люди с самыми высокими доходами, домохозяйки, а также респонденты, в семье которых 1 ребенок. </w:t>
      </w:r>
    </w:p>
    <w:p w:rsidR="00B07AB8" w:rsidRPr="00B07AB8" w:rsidRDefault="00B07AB8" w:rsidP="00B07AB8">
      <w:pPr>
        <w:spacing w:line="360" w:lineRule="auto"/>
        <w:ind w:firstLine="567"/>
        <w:jc w:val="both"/>
        <w:rPr>
          <w:rFonts w:ascii="Arial Narrow" w:hAnsi="Arial Narrow"/>
          <w:sz w:val="24"/>
          <w:szCs w:val="24"/>
        </w:rPr>
      </w:pPr>
    </w:p>
    <w:p w:rsidR="00B07AB8" w:rsidRPr="00B07AB8" w:rsidRDefault="00B07AB8" w:rsidP="00B07AB8">
      <w:pPr>
        <w:jc w:val="center"/>
        <w:rPr>
          <w:rFonts w:ascii="Arial Narrow" w:hAnsi="Arial Narrow"/>
        </w:rPr>
      </w:pPr>
      <w:r w:rsidRPr="00B07AB8">
        <w:rPr>
          <w:rFonts w:ascii="Arial Narrow" w:hAnsi="Arial Narrow"/>
          <w:noProof/>
          <w:color w:val="986297"/>
          <w:lang w:eastAsia="ru-RU"/>
        </w:rPr>
        <w:drawing>
          <wp:inline distT="0" distB="0" distL="0" distR="0">
            <wp:extent cx="6031230" cy="1959428"/>
            <wp:effectExtent l="0" t="0" r="0" b="0"/>
            <wp:docPr id="611"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r w:rsidRPr="00B07AB8">
        <w:rPr>
          <w:rFonts w:ascii="Arial Narrow" w:hAnsi="Arial Narrow"/>
          <w:bCs/>
        </w:rPr>
        <w:t>Диаграмма 5.5.66</w:t>
      </w:r>
      <w:r w:rsidRPr="00B07AB8">
        <w:rPr>
          <w:rFonts w:ascii="Arial Narrow" w:hAnsi="Arial Narrow"/>
          <w:b/>
          <w:bCs/>
        </w:rPr>
        <w:t xml:space="preserve"> – Удовлетворенность потребителей товаров, работ, услуг стоимостью услуг субъектов естественных монополий, в % от числа опрошенных</w:t>
      </w:r>
    </w:p>
    <w:p w:rsidR="00B07AB8" w:rsidRPr="00B07AB8" w:rsidRDefault="00B07AB8" w:rsidP="00B07AB8">
      <w:pPr>
        <w:ind w:firstLine="567"/>
        <w:jc w:val="both"/>
        <w:rPr>
          <w:rFonts w:ascii="Arial Narrow" w:hAnsi="Arial Narrow"/>
        </w:rPr>
      </w:pPr>
    </w:p>
    <w:p w:rsidR="00A43AC6" w:rsidRDefault="00A43AC6" w:rsidP="00C54B76">
      <w:pPr>
        <w:spacing w:after="0" w:line="240" w:lineRule="auto"/>
        <w:rPr>
          <w:rFonts w:ascii="Arial Narrow" w:hAnsi="Arial Narrow"/>
          <w:sz w:val="24"/>
          <w:szCs w:val="24"/>
        </w:rPr>
      </w:pPr>
    </w:p>
    <w:p w:rsidR="00B07AB8" w:rsidRPr="00C54B76" w:rsidRDefault="00B07AB8" w:rsidP="00C54B76">
      <w:pPr>
        <w:spacing w:after="0" w:line="240" w:lineRule="auto"/>
        <w:rPr>
          <w:rFonts w:ascii="Arial Narrow" w:hAnsi="Arial Narrow"/>
          <w:b/>
          <w:sz w:val="24"/>
          <w:szCs w:val="24"/>
        </w:rPr>
      </w:pPr>
      <w:r w:rsidRPr="00B07AB8">
        <w:rPr>
          <w:rFonts w:ascii="Arial Narrow" w:hAnsi="Arial Narrow"/>
          <w:sz w:val="24"/>
          <w:szCs w:val="24"/>
        </w:rPr>
        <w:t xml:space="preserve">Таблица </w:t>
      </w:r>
      <w:r w:rsidR="00614BC7">
        <w:rPr>
          <w:rFonts w:ascii="Arial Narrow" w:hAnsi="Arial Narrow"/>
          <w:sz w:val="24"/>
          <w:szCs w:val="24"/>
        </w:rPr>
        <w:t>5</w:t>
      </w:r>
      <w:r w:rsidR="00A43AC6">
        <w:rPr>
          <w:rFonts w:ascii="Arial Narrow" w:hAnsi="Arial Narrow"/>
          <w:sz w:val="24"/>
          <w:szCs w:val="24"/>
        </w:rPr>
        <w:t>.</w:t>
      </w:r>
      <w:r w:rsidRPr="00B07AB8">
        <w:rPr>
          <w:rFonts w:ascii="Arial Narrow" w:hAnsi="Arial Narrow"/>
          <w:sz w:val="24"/>
          <w:szCs w:val="24"/>
        </w:rPr>
        <w:t>7</w:t>
      </w:r>
      <w:r w:rsidR="00A43AC6">
        <w:rPr>
          <w:rFonts w:ascii="Arial Narrow" w:hAnsi="Arial Narrow"/>
          <w:sz w:val="24"/>
          <w:szCs w:val="24"/>
        </w:rPr>
        <w:t>.</w:t>
      </w:r>
      <w:r w:rsidRPr="00B07AB8">
        <w:rPr>
          <w:rFonts w:ascii="Arial Narrow" w:hAnsi="Arial Narrow"/>
          <w:sz w:val="24"/>
          <w:szCs w:val="24"/>
        </w:rPr>
        <w:t xml:space="preserve"> – </w:t>
      </w:r>
      <w:r w:rsidRPr="00C54B76">
        <w:rPr>
          <w:rFonts w:ascii="Arial Narrow" w:hAnsi="Arial Narrow"/>
          <w:b/>
          <w:sz w:val="24"/>
          <w:szCs w:val="24"/>
        </w:rPr>
        <w:t>Удовлетворенность потребителей стоимостью услуг, предоставляемых естественными монополиями (% от числа опрошенных)</w:t>
      </w:r>
    </w:p>
    <w:tbl>
      <w:tblPr>
        <w:tblW w:w="5700"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2459"/>
        <w:gridCol w:w="2227"/>
        <w:gridCol w:w="1014"/>
      </w:tblGrid>
      <w:tr w:rsidR="00B07AB8" w:rsidRPr="00B07AB8" w:rsidTr="003425A3">
        <w:trPr>
          <w:cantSplit/>
        </w:trPr>
        <w:tc>
          <w:tcPr>
            <w:tcW w:w="2458" w:type="dxa"/>
            <w:vMerge w:val="restart"/>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r w:rsidRPr="00B07AB8">
              <w:rPr>
                <w:rFonts w:ascii="Arial Narrow" w:hAnsi="Arial Narrow" w:cs="Arial"/>
                <w:sz w:val="20"/>
                <w:szCs w:val="20"/>
              </w:rPr>
              <w:t>Водоснабжение, водоотведение</w:t>
            </w:r>
          </w:p>
        </w:tc>
        <w:tc>
          <w:tcPr>
            <w:tcW w:w="2227" w:type="dxa"/>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r w:rsidRPr="00B07AB8">
              <w:rPr>
                <w:rFonts w:ascii="Arial Narrow" w:hAnsi="Arial Narrow" w:cs="Arial"/>
                <w:sz w:val="20"/>
                <w:szCs w:val="20"/>
              </w:rPr>
              <w:t>Удовлетворительно</w:t>
            </w:r>
          </w:p>
        </w:tc>
        <w:tc>
          <w:tcPr>
            <w:tcW w:w="1014" w:type="dxa"/>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r w:rsidRPr="00B07AB8">
              <w:rPr>
                <w:rFonts w:ascii="Arial Narrow" w:hAnsi="Arial Narrow" w:cs="Arial"/>
                <w:sz w:val="20"/>
                <w:szCs w:val="20"/>
              </w:rPr>
              <w:t>53,8%</w:t>
            </w:r>
          </w:p>
        </w:tc>
      </w:tr>
      <w:tr w:rsidR="00B07AB8" w:rsidRPr="00B07AB8" w:rsidTr="003425A3">
        <w:trPr>
          <w:cantSplit/>
        </w:trPr>
        <w:tc>
          <w:tcPr>
            <w:tcW w:w="2458" w:type="dxa"/>
            <w:vMerge/>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p>
        </w:tc>
        <w:tc>
          <w:tcPr>
            <w:tcW w:w="2227" w:type="dxa"/>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r w:rsidRPr="00B07AB8">
              <w:rPr>
                <w:rFonts w:ascii="Arial Narrow" w:hAnsi="Arial Narrow" w:cs="Arial"/>
                <w:sz w:val="20"/>
                <w:szCs w:val="20"/>
              </w:rPr>
              <w:t>Неудовлетворительно</w:t>
            </w:r>
          </w:p>
        </w:tc>
        <w:tc>
          <w:tcPr>
            <w:tcW w:w="1014" w:type="dxa"/>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r w:rsidRPr="00B07AB8">
              <w:rPr>
                <w:rFonts w:ascii="Arial Narrow" w:hAnsi="Arial Narrow" w:cs="Arial"/>
                <w:sz w:val="20"/>
                <w:szCs w:val="20"/>
              </w:rPr>
              <w:t>38,1%</w:t>
            </w:r>
          </w:p>
        </w:tc>
      </w:tr>
      <w:tr w:rsidR="00B07AB8" w:rsidRPr="00B07AB8" w:rsidTr="003425A3">
        <w:trPr>
          <w:cantSplit/>
        </w:trPr>
        <w:tc>
          <w:tcPr>
            <w:tcW w:w="2458" w:type="dxa"/>
            <w:vMerge/>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p>
        </w:tc>
        <w:tc>
          <w:tcPr>
            <w:tcW w:w="2227" w:type="dxa"/>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r w:rsidRPr="00B07AB8">
              <w:rPr>
                <w:rFonts w:ascii="Arial Narrow" w:hAnsi="Arial Narrow" w:cs="Arial"/>
                <w:sz w:val="20"/>
                <w:szCs w:val="20"/>
              </w:rPr>
              <w:t>Затрудняюсь ответить</w:t>
            </w:r>
          </w:p>
        </w:tc>
        <w:tc>
          <w:tcPr>
            <w:tcW w:w="1014" w:type="dxa"/>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r w:rsidRPr="00B07AB8">
              <w:rPr>
                <w:rFonts w:ascii="Arial Narrow" w:hAnsi="Arial Narrow" w:cs="Arial"/>
                <w:sz w:val="20"/>
                <w:szCs w:val="20"/>
              </w:rPr>
              <w:t>8,1%</w:t>
            </w:r>
          </w:p>
        </w:tc>
      </w:tr>
      <w:tr w:rsidR="00B07AB8" w:rsidRPr="00B07AB8" w:rsidTr="003425A3">
        <w:trPr>
          <w:cantSplit/>
        </w:trPr>
        <w:tc>
          <w:tcPr>
            <w:tcW w:w="2458" w:type="dxa"/>
            <w:vMerge w:val="restart"/>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r w:rsidRPr="00B07AB8">
              <w:rPr>
                <w:rFonts w:ascii="Arial Narrow" w:hAnsi="Arial Narrow" w:cs="Arial"/>
                <w:sz w:val="20"/>
                <w:szCs w:val="20"/>
              </w:rPr>
              <w:t>Газоснабжение</w:t>
            </w:r>
          </w:p>
        </w:tc>
        <w:tc>
          <w:tcPr>
            <w:tcW w:w="2227" w:type="dxa"/>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r w:rsidRPr="00B07AB8">
              <w:rPr>
                <w:rFonts w:ascii="Arial Narrow" w:hAnsi="Arial Narrow" w:cs="Arial"/>
                <w:sz w:val="20"/>
                <w:szCs w:val="20"/>
              </w:rPr>
              <w:t>Удовлетворительно</w:t>
            </w:r>
          </w:p>
        </w:tc>
        <w:tc>
          <w:tcPr>
            <w:tcW w:w="1014" w:type="dxa"/>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r w:rsidRPr="00B07AB8">
              <w:rPr>
                <w:rFonts w:ascii="Arial Narrow" w:hAnsi="Arial Narrow" w:cs="Arial"/>
                <w:sz w:val="20"/>
                <w:szCs w:val="20"/>
              </w:rPr>
              <w:t>34,6%</w:t>
            </w:r>
          </w:p>
        </w:tc>
      </w:tr>
      <w:tr w:rsidR="00B07AB8" w:rsidRPr="00B07AB8" w:rsidTr="003425A3">
        <w:trPr>
          <w:cantSplit/>
        </w:trPr>
        <w:tc>
          <w:tcPr>
            <w:tcW w:w="2458" w:type="dxa"/>
            <w:vMerge/>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p>
        </w:tc>
        <w:tc>
          <w:tcPr>
            <w:tcW w:w="2227" w:type="dxa"/>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r w:rsidRPr="00B07AB8">
              <w:rPr>
                <w:rFonts w:ascii="Arial Narrow" w:hAnsi="Arial Narrow" w:cs="Arial"/>
                <w:sz w:val="20"/>
                <w:szCs w:val="20"/>
              </w:rPr>
              <w:t>Неудовлетворительно</w:t>
            </w:r>
          </w:p>
        </w:tc>
        <w:tc>
          <w:tcPr>
            <w:tcW w:w="1014" w:type="dxa"/>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r w:rsidRPr="00B07AB8">
              <w:rPr>
                <w:rFonts w:ascii="Arial Narrow" w:hAnsi="Arial Narrow" w:cs="Arial"/>
                <w:sz w:val="20"/>
                <w:szCs w:val="20"/>
              </w:rPr>
              <w:t>30,5%</w:t>
            </w:r>
          </w:p>
        </w:tc>
      </w:tr>
      <w:tr w:rsidR="00B07AB8" w:rsidRPr="00B07AB8" w:rsidTr="003425A3">
        <w:trPr>
          <w:cantSplit/>
        </w:trPr>
        <w:tc>
          <w:tcPr>
            <w:tcW w:w="2458" w:type="dxa"/>
            <w:vMerge/>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p>
        </w:tc>
        <w:tc>
          <w:tcPr>
            <w:tcW w:w="2227" w:type="dxa"/>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r w:rsidRPr="00B07AB8">
              <w:rPr>
                <w:rFonts w:ascii="Arial Narrow" w:hAnsi="Arial Narrow" w:cs="Arial"/>
                <w:sz w:val="20"/>
                <w:szCs w:val="20"/>
              </w:rPr>
              <w:t>Затрудняюсь ответить</w:t>
            </w:r>
          </w:p>
        </w:tc>
        <w:tc>
          <w:tcPr>
            <w:tcW w:w="1014" w:type="dxa"/>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r w:rsidRPr="00B07AB8">
              <w:rPr>
                <w:rFonts w:ascii="Arial Narrow" w:hAnsi="Arial Narrow" w:cs="Arial"/>
                <w:sz w:val="20"/>
                <w:szCs w:val="20"/>
              </w:rPr>
              <w:t>34,9%</w:t>
            </w:r>
          </w:p>
        </w:tc>
      </w:tr>
      <w:tr w:rsidR="00B07AB8" w:rsidRPr="00B07AB8" w:rsidTr="003425A3">
        <w:trPr>
          <w:cantSplit/>
        </w:trPr>
        <w:tc>
          <w:tcPr>
            <w:tcW w:w="2458" w:type="dxa"/>
            <w:vMerge w:val="restart"/>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r w:rsidRPr="00B07AB8">
              <w:rPr>
                <w:rFonts w:ascii="Arial Narrow" w:hAnsi="Arial Narrow" w:cs="Arial"/>
                <w:sz w:val="20"/>
                <w:szCs w:val="20"/>
              </w:rPr>
              <w:t>Электроснабжение</w:t>
            </w:r>
          </w:p>
        </w:tc>
        <w:tc>
          <w:tcPr>
            <w:tcW w:w="2227" w:type="dxa"/>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r w:rsidRPr="00B07AB8">
              <w:rPr>
                <w:rFonts w:ascii="Arial Narrow" w:hAnsi="Arial Narrow" w:cs="Arial"/>
                <w:sz w:val="20"/>
                <w:szCs w:val="20"/>
              </w:rPr>
              <w:t>Удовлетворительно</w:t>
            </w:r>
          </w:p>
        </w:tc>
        <w:tc>
          <w:tcPr>
            <w:tcW w:w="1014" w:type="dxa"/>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r w:rsidRPr="00B07AB8">
              <w:rPr>
                <w:rFonts w:ascii="Arial Narrow" w:hAnsi="Arial Narrow" w:cs="Arial"/>
                <w:sz w:val="20"/>
                <w:szCs w:val="20"/>
              </w:rPr>
              <w:t>59,7%</w:t>
            </w:r>
          </w:p>
        </w:tc>
      </w:tr>
      <w:tr w:rsidR="00B07AB8" w:rsidRPr="00B07AB8" w:rsidTr="003425A3">
        <w:trPr>
          <w:cantSplit/>
        </w:trPr>
        <w:tc>
          <w:tcPr>
            <w:tcW w:w="2458" w:type="dxa"/>
            <w:vMerge/>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p>
        </w:tc>
        <w:tc>
          <w:tcPr>
            <w:tcW w:w="2227" w:type="dxa"/>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r w:rsidRPr="00B07AB8">
              <w:rPr>
                <w:rFonts w:ascii="Arial Narrow" w:hAnsi="Arial Narrow" w:cs="Arial"/>
                <w:sz w:val="20"/>
                <w:szCs w:val="20"/>
              </w:rPr>
              <w:t>Неудовлетворительно</w:t>
            </w:r>
          </w:p>
        </w:tc>
        <w:tc>
          <w:tcPr>
            <w:tcW w:w="1014" w:type="dxa"/>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r w:rsidRPr="00B07AB8">
              <w:rPr>
                <w:rFonts w:ascii="Arial Narrow" w:hAnsi="Arial Narrow" w:cs="Arial"/>
                <w:sz w:val="20"/>
                <w:szCs w:val="20"/>
              </w:rPr>
              <w:t>38,2%</w:t>
            </w:r>
          </w:p>
        </w:tc>
      </w:tr>
      <w:tr w:rsidR="00B07AB8" w:rsidRPr="00B07AB8" w:rsidTr="003425A3">
        <w:trPr>
          <w:cantSplit/>
        </w:trPr>
        <w:tc>
          <w:tcPr>
            <w:tcW w:w="2458" w:type="dxa"/>
            <w:vMerge/>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p>
        </w:tc>
        <w:tc>
          <w:tcPr>
            <w:tcW w:w="2227" w:type="dxa"/>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r w:rsidRPr="00B07AB8">
              <w:rPr>
                <w:rFonts w:ascii="Arial Narrow" w:hAnsi="Arial Narrow" w:cs="Arial"/>
                <w:sz w:val="20"/>
                <w:szCs w:val="20"/>
              </w:rPr>
              <w:t>Затрудняюсь ответить</w:t>
            </w:r>
          </w:p>
        </w:tc>
        <w:tc>
          <w:tcPr>
            <w:tcW w:w="1014" w:type="dxa"/>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r w:rsidRPr="00B07AB8">
              <w:rPr>
                <w:rFonts w:ascii="Arial Narrow" w:hAnsi="Arial Narrow" w:cs="Arial"/>
                <w:sz w:val="20"/>
                <w:szCs w:val="20"/>
              </w:rPr>
              <w:t>2,1%</w:t>
            </w:r>
          </w:p>
        </w:tc>
      </w:tr>
      <w:tr w:rsidR="00B07AB8" w:rsidRPr="00B07AB8" w:rsidTr="003425A3">
        <w:trPr>
          <w:cantSplit/>
        </w:trPr>
        <w:tc>
          <w:tcPr>
            <w:tcW w:w="2458" w:type="dxa"/>
            <w:vMerge w:val="restart"/>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r w:rsidRPr="00B07AB8">
              <w:rPr>
                <w:rFonts w:ascii="Arial Narrow" w:hAnsi="Arial Narrow" w:cs="Arial"/>
                <w:sz w:val="20"/>
                <w:szCs w:val="20"/>
              </w:rPr>
              <w:t>Теплоснабжение</w:t>
            </w:r>
          </w:p>
        </w:tc>
        <w:tc>
          <w:tcPr>
            <w:tcW w:w="2227" w:type="dxa"/>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r w:rsidRPr="00B07AB8">
              <w:rPr>
                <w:rFonts w:ascii="Arial Narrow" w:hAnsi="Arial Narrow" w:cs="Arial"/>
                <w:sz w:val="20"/>
                <w:szCs w:val="20"/>
              </w:rPr>
              <w:t>Удовлетворительно</w:t>
            </w:r>
          </w:p>
        </w:tc>
        <w:tc>
          <w:tcPr>
            <w:tcW w:w="1014" w:type="dxa"/>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r w:rsidRPr="00B07AB8">
              <w:rPr>
                <w:rFonts w:ascii="Arial Narrow" w:hAnsi="Arial Narrow" w:cs="Arial"/>
                <w:sz w:val="20"/>
                <w:szCs w:val="20"/>
              </w:rPr>
              <w:t>38,7%</w:t>
            </w:r>
          </w:p>
        </w:tc>
      </w:tr>
      <w:tr w:rsidR="00B07AB8" w:rsidRPr="00B07AB8" w:rsidTr="003425A3">
        <w:trPr>
          <w:cantSplit/>
        </w:trPr>
        <w:tc>
          <w:tcPr>
            <w:tcW w:w="2458" w:type="dxa"/>
            <w:vMerge/>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p>
        </w:tc>
        <w:tc>
          <w:tcPr>
            <w:tcW w:w="2227" w:type="dxa"/>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r w:rsidRPr="00B07AB8">
              <w:rPr>
                <w:rFonts w:ascii="Arial Narrow" w:hAnsi="Arial Narrow" w:cs="Arial"/>
                <w:sz w:val="20"/>
                <w:szCs w:val="20"/>
              </w:rPr>
              <w:t>Неудовлетворительно</w:t>
            </w:r>
          </w:p>
        </w:tc>
        <w:tc>
          <w:tcPr>
            <w:tcW w:w="1014" w:type="dxa"/>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r w:rsidRPr="00B07AB8">
              <w:rPr>
                <w:rFonts w:ascii="Arial Narrow" w:hAnsi="Arial Narrow" w:cs="Arial"/>
                <w:sz w:val="20"/>
                <w:szCs w:val="20"/>
              </w:rPr>
              <w:t>35,9%</w:t>
            </w:r>
          </w:p>
        </w:tc>
      </w:tr>
      <w:tr w:rsidR="00B07AB8" w:rsidRPr="00B07AB8" w:rsidTr="003425A3">
        <w:trPr>
          <w:cantSplit/>
        </w:trPr>
        <w:tc>
          <w:tcPr>
            <w:tcW w:w="2458" w:type="dxa"/>
            <w:vMerge/>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p>
        </w:tc>
        <w:tc>
          <w:tcPr>
            <w:tcW w:w="2227" w:type="dxa"/>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r w:rsidRPr="00B07AB8">
              <w:rPr>
                <w:rFonts w:ascii="Arial Narrow" w:hAnsi="Arial Narrow" w:cs="Arial"/>
                <w:sz w:val="20"/>
                <w:szCs w:val="20"/>
              </w:rPr>
              <w:t>Затрудняюсь ответить</w:t>
            </w:r>
          </w:p>
        </w:tc>
        <w:tc>
          <w:tcPr>
            <w:tcW w:w="1014" w:type="dxa"/>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r w:rsidRPr="00B07AB8">
              <w:rPr>
                <w:rFonts w:ascii="Arial Narrow" w:hAnsi="Arial Narrow" w:cs="Arial"/>
                <w:sz w:val="20"/>
                <w:szCs w:val="20"/>
              </w:rPr>
              <w:t>25,3%</w:t>
            </w:r>
          </w:p>
        </w:tc>
      </w:tr>
    </w:tbl>
    <w:p w:rsidR="00C54B76" w:rsidRDefault="00C54B76">
      <w:pPr>
        <w:rPr>
          <w:rFonts w:ascii="Arial Narrow" w:eastAsia="Times New Roman" w:hAnsi="Arial Narrow" w:cs="Times New Roman"/>
          <w:b/>
          <w:bCs/>
          <w:color w:val="000000"/>
          <w:sz w:val="26"/>
          <w:szCs w:val="26"/>
          <w:lang w:eastAsia="ru-RU"/>
        </w:rPr>
      </w:pPr>
      <w:bookmarkStart w:id="51" w:name="_Toc475464683"/>
    </w:p>
    <w:p w:rsidR="00DD748B" w:rsidRDefault="00DD748B">
      <w:pPr>
        <w:rPr>
          <w:rFonts w:ascii="Arial Narrow" w:eastAsia="Times New Roman" w:hAnsi="Arial Narrow" w:cs="Times New Roman"/>
          <w:b/>
          <w:bCs/>
          <w:color w:val="000000"/>
          <w:sz w:val="26"/>
          <w:szCs w:val="26"/>
          <w:lang w:eastAsia="ru-RU"/>
        </w:rPr>
      </w:pPr>
    </w:p>
    <w:p w:rsidR="00B07AB8" w:rsidRPr="00B07AB8" w:rsidRDefault="00B07AB8" w:rsidP="00A43AC6">
      <w:pPr>
        <w:pStyle w:val="3"/>
        <w:jc w:val="both"/>
        <w:rPr>
          <w:rFonts w:ascii="Arial Narrow" w:hAnsi="Arial Narrow"/>
        </w:rPr>
      </w:pPr>
      <w:bookmarkStart w:id="52" w:name="_Toc475532268"/>
      <w:r w:rsidRPr="00B07AB8">
        <w:rPr>
          <w:rFonts w:ascii="Arial Narrow" w:hAnsi="Arial Narrow"/>
        </w:rPr>
        <w:t>5.5.2.1.1. Удовлетворенность потребителей (населения) стоимостью услуг электроснабжения в разрезе территории проживания</w:t>
      </w:r>
      <w:bookmarkEnd w:id="51"/>
      <w:bookmarkEnd w:id="52"/>
    </w:p>
    <w:p w:rsidR="00B07AB8" w:rsidRPr="00B07AB8" w:rsidRDefault="00B07AB8" w:rsidP="00C54B76">
      <w:pPr>
        <w:spacing w:after="0" w:line="360" w:lineRule="auto"/>
        <w:ind w:firstLine="567"/>
        <w:jc w:val="both"/>
        <w:rPr>
          <w:rFonts w:ascii="Arial Narrow" w:hAnsi="Arial Narrow"/>
        </w:rPr>
      </w:pP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Наиболее высокие доли потребителей (населения), удовлетворенных стоимостью услуг электроснабжения (80 % и более), выявлены в Здвинском (84,3 %), Кыштовском (82,9 %), Убинском (81,4 %), Усть-Таркском (81,4 %) районах.</w:t>
      </w: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Самые низкие доли потребителей, удовлетворенных данным показателем (менее 40 %), зафиксированы в г. Новосибирске (38,7 %) и г. Бердске (35,6 %).</w:t>
      </w:r>
    </w:p>
    <w:p w:rsidR="00B07AB8" w:rsidRPr="00B07AB8" w:rsidRDefault="00B07AB8" w:rsidP="00B07AB8">
      <w:pPr>
        <w:jc w:val="center"/>
        <w:rPr>
          <w:rFonts w:ascii="Arial Narrow" w:hAnsi="Arial Narrow"/>
          <w:b/>
          <w:bCs/>
        </w:rPr>
      </w:pPr>
      <w:r w:rsidRPr="00B07AB8">
        <w:rPr>
          <w:rFonts w:ascii="Arial Narrow" w:hAnsi="Arial Narrow"/>
          <w:noProof/>
          <w:color w:val="986297"/>
          <w:lang w:eastAsia="ru-RU"/>
        </w:rPr>
        <w:lastRenderedPageBreak/>
        <w:drawing>
          <wp:inline distT="0" distB="0" distL="0" distR="0">
            <wp:extent cx="6032500" cy="8153400"/>
            <wp:effectExtent l="0" t="0" r="0" b="0"/>
            <wp:docPr id="612"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r w:rsidRPr="00B07AB8">
        <w:rPr>
          <w:rFonts w:ascii="Arial Narrow" w:hAnsi="Arial Narrow"/>
          <w:bCs/>
        </w:rPr>
        <w:t>Диаграмма 5.5.67</w:t>
      </w:r>
      <w:r w:rsidRPr="00B07AB8">
        <w:rPr>
          <w:rFonts w:ascii="Arial Narrow" w:hAnsi="Arial Narrow"/>
          <w:b/>
          <w:bCs/>
        </w:rPr>
        <w:t xml:space="preserve"> – Удовлетворенность потребителей товаров, работ, услуг стоимостью услуг электроснабжения, в % от числа опрошенных по территориям</w:t>
      </w:r>
    </w:p>
    <w:p w:rsidR="00B07AB8" w:rsidRPr="00B07AB8" w:rsidRDefault="00B07AB8" w:rsidP="00A43AC6">
      <w:pPr>
        <w:pStyle w:val="3"/>
        <w:jc w:val="both"/>
        <w:rPr>
          <w:rFonts w:ascii="Arial Narrow" w:hAnsi="Arial Narrow"/>
        </w:rPr>
      </w:pPr>
      <w:bookmarkStart w:id="53" w:name="_Toc475464684"/>
      <w:bookmarkStart w:id="54" w:name="_Toc475532269"/>
      <w:r w:rsidRPr="00B07AB8">
        <w:rPr>
          <w:rFonts w:ascii="Arial Narrow" w:hAnsi="Arial Narrow"/>
        </w:rPr>
        <w:lastRenderedPageBreak/>
        <w:t>5.5.2.1.2. Удовлетворенность потребителей (населения) стоимостью услуг водоснабжения/водоотведения в разрезе территории проживания</w:t>
      </w:r>
      <w:bookmarkEnd w:id="53"/>
      <w:bookmarkEnd w:id="54"/>
    </w:p>
    <w:p w:rsidR="00B07AB8" w:rsidRPr="00B07AB8" w:rsidRDefault="00B07AB8" w:rsidP="00C54B76">
      <w:pPr>
        <w:spacing w:after="0" w:line="360" w:lineRule="auto"/>
        <w:ind w:firstLine="567"/>
        <w:jc w:val="both"/>
        <w:rPr>
          <w:rFonts w:ascii="Arial Narrow" w:hAnsi="Arial Narrow"/>
        </w:rPr>
      </w:pP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Наиболее высокие доли потребителей (населения), удовлетворенных стоимостью услуг водоснабжения/водоотведения (70 % и более), выявлены в Усть-Таркском (78,6 %), Здвинском (74,3 %), Баганском (72,9 %), Убинском (71,4 %), Кыштовском (70,0 %) районах.</w:t>
      </w: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Самые низкие доли потребителей, удовлетворенных данным показателем (менее 40 %), зафиксированы в Северном районе (31,4 %), р. п. Кольцово (31,4 %), г. Оби (35,2 %), г. Бердске (37,0 %), Колыванском районе (37,1 %), г. Новосибирске (39,3 %).</w:t>
      </w:r>
    </w:p>
    <w:p w:rsidR="00B07AB8" w:rsidRPr="00B07AB8" w:rsidRDefault="00B07AB8" w:rsidP="00B07AB8">
      <w:pPr>
        <w:jc w:val="center"/>
        <w:rPr>
          <w:rFonts w:ascii="Arial Narrow" w:hAnsi="Arial Narrow"/>
        </w:rPr>
      </w:pPr>
      <w:r w:rsidRPr="00B07AB8">
        <w:rPr>
          <w:rFonts w:ascii="Arial Narrow" w:hAnsi="Arial Narrow"/>
          <w:noProof/>
          <w:color w:val="986297"/>
          <w:lang w:eastAsia="ru-RU"/>
        </w:rPr>
        <w:lastRenderedPageBreak/>
        <w:drawing>
          <wp:inline distT="0" distB="0" distL="0" distR="0">
            <wp:extent cx="6032500" cy="8140700"/>
            <wp:effectExtent l="0" t="0" r="0" b="0"/>
            <wp:docPr id="613"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r w:rsidRPr="00B07AB8">
        <w:rPr>
          <w:rFonts w:ascii="Arial Narrow" w:hAnsi="Arial Narrow"/>
          <w:bCs/>
        </w:rPr>
        <w:t xml:space="preserve">Диаграмма 5.5.68 </w:t>
      </w:r>
      <w:r w:rsidRPr="00B07AB8">
        <w:rPr>
          <w:rFonts w:ascii="Arial Narrow" w:hAnsi="Arial Narrow"/>
          <w:b/>
          <w:bCs/>
        </w:rPr>
        <w:t>– Удовлетворенность потребителей товаров, работ, услуг стоимостью услуг водоснабжения, водоотведения, в % от числа опрошенных по территориям</w:t>
      </w:r>
      <w:r w:rsidRPr="00B07AB8">
        <w:rPr>
          <w:rFonts w:ascii="Arial Narrow" w:hAnsi="Arial Narrow"/>
        </w:rPr>
        <w:br w:type="page"/>
      </w:r>
    </w:p>
    <w:p w:rsidR="00B07AB8" w:rsidRDefault="00B07AB8" w:rsidP="00A43AC6">
      <w:pPr>
        <w:pStyle w:val="3"/>
        <w:jc w:val="both"/>
        <w:rPr>
          <w:rFonts w:ascii="Arial Narrow" w:hAnsi="Arial Narrow"/>
        </w:rPr>
      </w:pPr>
      <w:bookmarkStart w:id="55" w:name="_Toc475464685"/>
      <w:bookmarkStart w:id="56" w:name="_Toc475532270"/>
      <w:r w:rsidRPr="00B07AB8">
        <w:rPr>
          <w:rFonts w:ascii="Arial Narrow" w:hAnsi="Arial Narrow"/>
        </w:rPr>
        <w:lastRenderedPageBreak/>
        <w:t>5.5.2.1.3. Удовлетворенность потребителей (населения) стоимостью услуг теплоснабжения в разрезе территории проживания</w:t>
      </w:r>
      <w:bookmarkEnd w:id="55"/>
      <w:bookmarkEnd w:id="56"/>
    </w:p>
    <w:p w:rsidR="00103148" w:rsidRPr="00103148" w:rsidRDefault="00103148" w:rsidP="00103148">
      <w:pPr>
        <w:spacing w:after="0" w:line="240" w:lineRule="auto"/>
        <w:ind w:firstLine="284"/>
        <w:jc w:val="both"/>
        <w:rPr>
          <w:rFonts w:ascii="Arial Narrow" w:hAnsi="Arial Narrow"/>
          <w:sz w:val="16"/>
          <w:szCs w:val="16"/>
        </w:rPr>
      </w:pPr>
    </w:p>
    <w:p w:rsidR="00B07AB8" w:rsidRPr="00B07AB8" w:rsidRDefault="00B07AB8" w:rsidP="00103148">
      <w:pPr>
        <w:spacing w:after="0" w:line="240" w:lineRule="auto"/>
        <w:ind w:firstLine="284"/>
        <w:jc w:val="both"/>
        <w:rPr>
          <w:rFonts w:ascii="Arial Narrow" w:hAnsi="Arial Narrow"/>
          <w:sz w:val="24"/>
          <w:szCs w:val="24"/>
        </w:rPr>
      </w:pPr>
      <w:r w:rsidRPr="00B07AB8">
        <w:rPr>
          <w:rFonts w:ascii="Arial Narrow" w:hAnsi="Arial Narrow"/>
          <w:sz w:val="24"/>
          <w:szCs w:val="24"/>
        </w:rPr>
        <w:t>Наиболее высокие доли потребителей (населения), удовлетворенных стоимостью услуг теплоснабжения (50 % и более), выявлены в Здвинском (67,1 %), Каргатском (55,7 %), Баганском (51,4 %), Маслянинском (50,0 %) районах.</w:t>
      </w:r>
    </w:p>
    <w:p w:rsidR="00B07AB8" w:rsidRPr="00B07AB8" w:rsidRDefault="00B07AB8" w:rsidP="00103148">
      <w:pPr>
        <w:spacing w:after="0" w:line="240" w:lineRule="auto"/>
        <w:ind w:firstLine="284"/>
        <w:jc w:val="both"/>
        <w:rPr>
          <w:rFonts w:ascii="Arial Narrow" w:hAnsi="Arial Narrow"/>
          <w:sz w:val="24"/>
          <w:szCs w:val="24"/>
        </w:rPr>
      </w:pPr>
      <w:r w:rsidRPr="00B07AB8">
        <w:rPr>
          <w:rFonts w:ascii="Arial Narrow" w:hAnsi="Arial Narrow"/>
          <w:sz w:val="24"/>
          <w:szCs w:val="24"/>
        </w:rPr>
        <w:t>Самые низкие доли потребителей, удовлетворенных данным показателем (менее 20 %), зафиксированы в Северном (17,1 %) и Ордынском (14,1 %) районах.</w:t>
      </w:r>
    </w:p>
    <w:p w:rsidR="00B07AB8" w:rsidRPr="00B07AB8" w:rsidRDefault="00B07AB8" w:rsidP="00B07AB8">
      <w:pPr>
        <w:spacing w:line="240" w:lineRule="auto"/>
        <w:ind w:firstLine="567"/>
        <w:jc w:val="both"/>
        <w:rPr>
          <w:rFonts w:ascii="Arial Narrow" w:hAnsi="Arial Narrow"/>
          <w:bCs/>
        </w:rPr>
      </w:pPr>
      <w:r w:rsidRPr="00B07AB8">
        <w:rPr>
          <w:rFonts w:ascii="Arial Narrow" w:hAnsi="Arial Narrow"/>
          <w:noProof/>
          <w:color w:val="986297"/>
          <w:lang w:eastAsia="ru-RU"/>
        </w:rPr>
        <w:drawing>
          <wp:inline distT="0" distB="0" distL="0" distR="0">
            <wp:extent cx="5565913" cy="6472362"/>
            <wp:effectExtent l="0" t="0" r="0" b="0"/>
            <wp:docPr id="614" name="Диаграмма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rsidR="00B07AB8" w:rsidRPr="00B07AB8" w:rsidRDefault="00B07AB8" w:rsidP="00B07AB8">
      <w:pPr>
        <w:spacing w:line="240" w:lineRule="auto"/>
        <w:ind w:firstLine="567"/>
        <w:jc w:val="center"/>
        <w:rPr>
          <w:rFonts w:ascii="Arial Narrow" w:hAnsi="Arial Narrow"/>
        </w:rPr>
      </w:pPr>
      <w:r w:rsidRPr="00B07AB8">
        <w:rPr>
          <w:rFonts w:ascii="Arial Narrow" w:hAnsi="Arial Narrow"/>
          <w:bCs/>
        </w:rPr>
        <w:t>Диаграмма 5.5.70</w:t>
      </w:r>
      <w:r w:rsidRPr="00B07AB8">
        <w:rPr>
          <w:rFonts w:ascii="Arial Narrow" w:hAnsi="Arial Narrow"/>
          <w:b/>
          <w:bCs/>
        </w:rPr>
        <w:t xml:space="preserve"> – Удовлетворенность потребителей товаров, работ, услуг стоимостью услуг теплоснабжения, в % от числа опрошенных по территориям</w:t>
      </w:r>
    </w:p>
    <w:p w:rsidR="00C54B76" w:rsidRDefault="00C54B76">
      <w:pPr>
        <w:rPr>
          <w:rFonts w:ascii="Arial Narrow" w:eastAsia="Times New Roman" w:hAnsi="Arial Narrow" w:cs="Times New Roman"/>
          <w:b/>
          <w:bCs/>
          <w:color w:val="000000"/>
          <w:sz w:val="26"/>
          <w:szCs w:val="26"/>
          <w:lang w:eastAsia="ru-RU"/>
        </w:rPr>
      </w:pPr>
      <w:bookmarkStart w:id="57" w:name="_Toc475464686"/>
      <w:r>
        <w:rPr>
          <w:rFonts w:ascii="Arial Narrow" w:hAnsi="Arial Narrow"/>
        </w:rPr>
        <w:br w:type="page"/>
      </w:r>
    </w:p>
    <w:p w:rsidR="00B07AB8" w:rsidRPr="00B07AB8" w:rsidRDefault="00B07AB8" w:rsidP="00A43AC6">
      <w:pPr>
        <w:pStyle w:val="3"/>
        <w:jc w:val="both"/>
        <w:rPr>
          <w:rFonts w:ascii="Arial Narrow" w:hAnsi="Arial Narrow"/>
        </w:rPr>
      </w:pPr>
      <w:bookmarkStart w:id="58" w:name="_Toc475532271"/>
      <w:r w:rsidRPr="00B07AB8">
        <w:rPr>
          <w:rFonts w:ascii="Arial Narrow" w:hAnsi="Arial Narrow"/>
        </w:rPr>
        <w:lastRenderedPageBreak/>
        <w:t>5.5.2.1.4. Удовлетворенность потребителей (населения) стоимостью услуг газоснабжения в разрезе территории проживания</w:t>
      </w:r>
      <w:bookmarkEnd w:id="57"/>
      <w:bookmarkEnd w:id="58"/>
    </w:p>
    <w:p w:rsidR="00B07AB8" w:rsidRPr="00B07AB8" w:rsidRDefault="00B07AB8" w:rsidP="00C54B76">
      <w:pPr>
        <w:spacing w:after="0" w:line="360" w:lineRule="auto"/>
        <w:ind w:firstLine="567"/>
        <w:jc w:val="both"/>
        <w:rPr>
          <w:rFonts w:ascii="Arial Narrow" w:hAnsi="Arial Narrow"/>
        </w:rPr>
      </w:pP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Наиболее высокие доли потребителей (населения), удовлетворенных стоимостью услуг газоснабжения (50 % и более), выявлены в Убинском районе (51,4 %).</w:t>
      </w: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Самые низкие доли потребителей, удовлетворенных данным показателем (менее 20 %), зафиксированы в Ордынском районе (15,5 %), р. п. Кольцово (15,7 %) и г. Бердске (17,8 %).</w:t>
      </w:r>
    </w:p>
    <w:p w:rsidR="00B07AB8" w:rsidRPr="00B07AB8" w:rsidRDefault="00B07AB8" w:rsidP="00B07AB8">
      <w:pPr>
        <w:jc w:val="center"/>
        <w:rPr>
          <w:rFonts w:ascii="Arial Narrow" w:hAnsi="Arial Narrow"/>
          <w:bCs/>
        </w:rPr>
      </w:pPr>
      <w:r w:rsidRPr="00B07AB8">
        <w:rPr>
          <w:rFonts w:ascii="Arial Narrow" w:hAnsi="Arial Narrow"/>
          <w:noProof/>
          <w:color w:val="986297"/>
          <w:lang w:eastAsia="ru-RU"/>
        </w:rPr>
        <w:drawing>
          <wp:inline distT="0" distB="0" distL="0" distR="0">
            <wp:extent cx="6276442" cy="6232550"/>
            <wp:effectExtent l="0" t="0" r="0" b="0"/>
            <wp:docPr id="615" name="Диаграмма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rsidR="00B07AB8" w:rsidRPr="00B07AB8" w:rsidRDefault="00B07AB8" w:rsidP="00B07AB8">
      <w:pPr>
        <w:jc w:val="center"/>
        <w:rPr>
          <w:rFonts w:ascii="Arial Narrow" w:hAnsi="Arial Narrow"/>
          <w:b/>
          <w:bCs/>
        </w:rPr>
      </w:pPr>
      <w:r w:rsidRPr="00B07AB8">
        <w:rPr>
          <w:rFonts w:ascii="Arial Narrow" w:hAnsi="Arial Narrow"/>
          <w:bCs/>
        </w:rPr>
        <w:t>Диаграмма 5.5.69</w:t>
      </w:r>
      <w:r w:rsidRPr="00B07AB8">
        <w:rPr>
          <w:rFonts w:ascii="Arial Narrow" w:hAnsi="Arial Narrow"/>
          <w:b/>
          <w:bCs/>
        </w:rPr>
        <w:t xml:space="preserve"> – Удовлетворенность потребителей товаров, работ, услуг стоимостью услуг газоснабжения, в % от числа опрошенных по территориям</w:t>
      </w:r>
    </w:p>
    <w:p w:rsidR="00B07AB8" w:rsidRPr="00B07AB8" w:rsidRDefault="00B07AB8" w:rsidP="00A43AC6">
      <w:pPr>
        <w:pStyle w:val="3"/>
        <w:jc w:val="both"/>
        <w:rPr>
          <w:rFonts w:ascii="Arial Narrow" w:hAnsi="Arial Narrow"/>
        </w:rPr>
      </w:pPr>
      <w:bookmarkStart w:id="59" w:name="_Toc475532272"/>
      <w:r w:rsidRPr="00B07AB8">
        <w:rPr>
          <w:rFonts w:ascii="Arial Narrow" w:hAnsi="Arial Narrow"/>
        </w:rPr>
        <w:lastRenderedPageBreak/>
        <w:t>5.5.2.2. Удовлетворенность потребителей (населения) качеством услуг, предоставляемых субъектами естественных монополий</w:t>
      </w:r>
      <w:bookmarkEnd w:id="59"/>
    </w:p>
    <w:p w:rsidR="00B07AB8" w:rsidRPr="00B07AB8" w:rsidRDefault="00B07AB8" w:rsidP="00B07AB8">
      <w:pPr>
        <w:rPr>
          <w:rFonts w:ascii="Arial Narrow" w:hAnsi="Arial Narrow"/>
          <w:sz w:val="24"/>
          <w:szCs w:val="24"/>
        </w:rPr>
      </w:pP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 xml:space="preserve">Качество услуг каждой из естественных монополий удовлетворяет более 50 % потребителей (53,0–83,8 %). Доля неудовлетворенных колеблется от 13,1 % до 32,3 %. </w:t>
      </w:r>
    </w:p>
    <w:p w:rsidR="00B07AB8" w:rsidRPr="00B07AB8" w:rsidRDefault="00B07AB8" w:rsidP="00C54B76">
      <w:pPr>
        <w:spacing w:after="0" w:line="360" w:lineRule="auto"/>
        <w:ind w:firstLine="284"/>
        <w:jc w:val="both"/>
        <w:rPr>
          <w:rFonts w:ascii="Arial Narrow" w:hAnsi="Arial Narrow"/>
          <w:sz w:val="24"/>
          <w:szCs w:val="24"/>
          <w:u w:val="single"/>
        </w:rPr>
      </w:pPr>
      <w:r w:rsidRPr="00B07AB8">
        <w:rPr>
          <w:rFonts w:ascii="Arial Narrow" w:hAnsi="Arial Narrow"/>
          <w:sz w:val="24"/>
          <w:szCs w:val="24"/>
          <w:u w:val="single"/>
        </w:rPr>
        <w:t>Рейтинг удовлетворенности потребителей (населения) качеством услуг естественных монополий:</w:t>
      </w: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1. Электроснабжение (</w:t>
      </w:r>
      <w:r w:rsidRPr="00B07AB8">
        <w:rPr>
          <w:rFonts w:ascii="Arial Narrow" w:hAnsi="Arial Narrow"/>
          <w:b/>
          <w:sz w:val="24"/>
          <w:szCs w:val="24"/>
        </w:rPr>
        <w:t>83,8 %</w:t>
      </w:r>
      <w:r w:rsidRPr="00B07AB8">
        <w:rPr>
          <w:rFonts w:ascii="Arial Narrow" w:hAnsi="Arial Narrow"/>
          <w:sz w:val="24"/>
          <w:szCs w:val="24"/>
        </w:rPr>
        <w:t xml:space="preserve"> удовлетворены, 15,4 % не удовлетворены); </w:t>
      </w: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2. Водоснабжение/водоотведение (</w:t>
      </w:r>
      <w:r w:rsidRPr="00B07AB8">
        <w:rPr>
          <w:rFonts w:ascii="Arial Narrow" w:hAnsi="Arial Narrow"/>
          <w:b/>
          <w:sz w:val="24"/>
          <w:szCs w:val="24"/>
        </w:rPr>
        <w:t>61,7 %</w:t>
      </w:r>
      <w:r w:rsidRPr="00B07AB8">
        <w:rPr>
          <w:rFonts w:ascii="Arial Narrow" w:hAnsi="Arial Narrow"/>
          <w:sz w:val="24"/>
          <w:szCs w:val="24"/>
        </w:rPr>
        <w:t xml:space="preserve"> удовлетворены, 32,3 % не удовлетворены); </w:t>
      </w: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3. Теплоснабжение (</w:t>
      </w:r>
      <w:r w:rsidRPr="00B07AB8">
        <w:rPr>
          <w:rFonts w:ascii="Arial Narrow" w:hAnsi="Arial Narrow"/>
          <w:b/>
          <w:sz w:val="24"/>
          <w:szCs w:val="24"/>
        </w:rPr>
        <w:t>60,7 %</w:t>
      </w:r>
      <w:r w:rsidRPr="00B07AB8">
        <w:rPr>
          <w:rFonts w:ascii="Arial Narrow" w:hAnsi="Arial Narrow"/>
          <w:sz w:val="24"/>
          <w:szCs w:val="24"/>
        </w:rPr>
        <w:t xml:space="preserve"> удовлетворены, 14,3 % не удовлетворены);</w:t>
      </w: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4. Газоснабжение (</w:t>
      </w:r>
      <w:r w:rsidRPr="00B07AB8">
        <w:rPr>
          <w:rFonts w:ascii="Arial Narrow" w:hAnsi="Arial Narrow"/>
          <w:b/>
          <w:sz w:val="24"/>
          <w:szCs w:val="24"/>
        </w:rPr>
        <w:t>53,0 %</w:t>
      </w:r>
      <w:r w:rsidRPr="00B07AB8">
        <w:rPr>
          <w:rFonts w:ascii="Arial Narrow" w:hAnsi="Arial Narrow"/>
          <w:sz w:val="24"/>
          <w:szCs w:val="24"/>
        </w:rPr>
        <w:t xml:space="preserve"> удовлетворены, 13,1 % не удовлетворены). </w:t>
      </w: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 xml:space="preserve">Удовлетворенность потребителей (населения) качеством электроснабжения намного выше, чем какой-либо другой услугой из числа исследуемых. Остальными услугами (теплоснабжением, водоснабжением и водоотведением, газоснабжением) потребители довольны в меньшей и примерно в одинаковой степени (53–61,7 %). При этом наибольшая неудовлетворенность зафиксирована в отношении качества водоснабжения и водоотведения – 32,3 %. </w:t>
      </w: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Теплоснабжением чаще остальных не удовлетворены студенты, электроснабжением и газоснабжением – люди до 50 лет, водоснабжением – люди с высоким уровнем образования.</w:t>
      </w:r>
    </w:p>
    <w:p w:rsidR="00B07AB8" w:rsidRPr="00B07AB8" w:rsidRDefault="00B07AB8" w:rsidP="00B07AB8">
      <w:pPr>
        <w:ind w:firstLine="567"/>
        <w:jc w:val="both"/>
        <w:rPr>
          <w:rFonts w:ascii="Arial Narrow" w:hAnsi="Arial Narrow"/>
          <w:b/>
        </w:rPr>
      </w:pPr>
    </w:p>
    <w:p w:rsidR="00B07AB8" w:rsidRPr="00B07AB8" w:rsidRDefault="00B07AB8" w:rsidP="00B07AB8">
      <w:pPr>
        <w:jc w:val="center"/>
        <w:rPr>
          <w:rFonts w:ascii="Arial Narrow" w:hAnsi="Arial Narrow"/>
          <w:b/>
          <w:bCs/>
          <w:color w:val="595959"/>
          <w:sz w:val="20"/>
          <w:szCs w:val="20"/>
        </w:rPr>
      </w:pPr>
      <w:r w:rsidRPr="00B07AB8">
        <w:rPr>
          <w:rFonts w:ascii="Arial Narrow" w:hAnsi="Arial Narrow"/>
          <w:noProof/>
          <w:color w:val="986297"/>
          <w:lang w:eastAsia="ru-RU"/>
        </w:rPr>
        <w:drawing>
          <wp:inline distT="0" distB="0" distL="0" distR="0">
            <wp:extent cx="6035040" cy="2027583"/>
            <wp:effectExtent l="0" t="0" r="0" b="0"/>
            <wp:docPr id="616"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rsidR="00B07AB8" w:rsidRPr="00B07AB8" w:rsidRDefault="00B07AB8" w:rsidP="00B07AB8">
      <w:pPr>
        <w:jc w:val="center"/>
        <w:rPr>
          <w:rFonts w:ascii="Arial Narrow" w:hAnsi="Arial Narrow"/>
          <w:b/>
          <w:bCs/>
          <w:color w:val="595959"/>
          <w:sz w:val="20"/>
          <w:szCs w:val="20"/>
        </w:rPr>
      </w:pPr>
    </w:p>
    <w:p w:rsidR="00B07AB8" w:rsidRPr="00B07AB8" w:rsidRDefault="00B07AB8" w:rsidP="00B07AB8">
      <w:pPr>
        <w:jc w:val="center"/>
        <w:rPr>
          <w:rFonts w:ascii="Arial Narrow" w:hAnsi="Arial Narrow"/>
          <w:b/>
          <w:bCs/>
        </w:rPr>
      </w:pPr>
      <w:r w:rsidRPr="00B07AB8">
        <w:rPr>
          <w:rFonts w:ascii="Arial Narrow" w:hAnsi="Arial Narrow"/>
          <w:bCs/>
        </w:rPr>
        <w:t>Диаграмма 5.5.71</w:t>
      </w:r>
      <w:r w:rsidRPr="00B07AB8">
        <w:rPr>
          <w:rFonts w:ascii="Arial Narrow" w:hAnsi="Arial Narrow"/>
          <w:b/>
          <w:bCs/>
        </w:rPr>
        <w:t xml:space="preserve"> – Удовлетворенность потребителей товаров, работ, услуг качеством услуг субъектов естественных монополий, в % от числа опрошенных</w:t>
      </w:r>
    </w:p>
    <w:p w:rsidR="00B07AB8" w:rsidRPr="00B07AB8" w:rsidRDefault="00B07AB8" w:rsidP="00B07AB8">
      <w:pPr>
        <w:jc w:val="both"/>
        <w:rPr>
          <w:rFonts w:ascii="Arial Narrow" w:hAnsi="Arial Narrow"/>
        </w:rPr>
      </w:pPr>
    </w:p>
    <w:p w:rsidR="00C54B76" w:rsidRDefault="00C54B76">
      <w:pPr>
        <w:rPr>
          <w:rFonts w:ascii="Arial Narrow" w:hAnsi="Arial Narrow"/>
          <w:sz w:val="24"/>
          <w:szCs w:val="24"/>
        </w:rPr>
      </w:pPr>
      <w:r>
        <w:rPr>
          <w:rFonts w:ascii="Arial Narrow" w:hAnsi="Arial Narrow"/>
          <w:sz w:val="24"/>
          <w:szCs w:val="24"/>
        </w:rPr>
        <w:br w:type="page"/>
      </w:r>
    </w:p>
    <w:p w:rsidR="00B07AB8" w:rsidRPr="00B07AB8" w:rsidRDefault="00B07AB8" w:rsidP="00C54B76">
      <w:pPr>
        <w:spacing w:after="0" w:line="240" w:lineRule="auto"/>
        <w:rPr>
          <w:rFonts w:ascii="Arial Narrow" w:hAnsi="Arial Narrow"/>
          <w:b/>
          <w:sz w:val="24"/>
          <w:szCs w:val="24"/>
        </w:rPr>
      </w:pPr>
      <w:r w:rsidRPr="00B07AB8">
        <w:rPr>
          <w:rFonts w:ascii="Arial Narrow" w:hAnsi="Arial Narrow"/>
          <w:sz w:val="24"/>
          <w:szCs w:val="24"/>
        </w:rPr>
        <w:lastRenderedPageBreak/>
        <w:t xml:space="preserve">Таблица </w:t>
      </w:r>
      <w:r w:rsidR="00614BC7">
        <w:rPr>
          <w:rFonts w:ascii="Arial Narrow" w:hAnsi="Arial Narrow"/>
          <w:sz w:val="24"/>
          <w:szCs w:val="24"/>
        </w:rPr>
        <w:t>5</w:t>
      </w:r>
      <w:r w:rsidR="00A43AC6">
        <w:rPr>
          <w:rFonts w:ascii="Arial Narrow" w:hAnsi="Arial Narrow"/>
          <w:sz w:val="24"/>
          <w:szCs w:val="24"/>
        </w:rPr>
        <w:t>.</w:t>
      </w:r>
      <w:r w:rsidRPr="00B07AB8">
        <w:rPr>
          <w:rFonts w:ascii="Arial Narrow" w:hAnsi="Arial Narrow"/>
          <w:sz w:val="24"/>
          <w:szCs w:val="24"/>
        </w:rPr>
        <w:t>8</w:t>
      </w:r>
      <w:r w:rsidR="00A43AC6">
        <w:rPr>
          <w:rFonts w:ascii="Arial Narrow" w:hAnsi="Arial Narrow"/>
          <w:sz w:val="24"/>
          <w:szCs w:val="24"/>
        </w:rPr>
        <w:t>.</w:t>
      </w:r>
      <w:r w:rsidRPr="00B07AB8">
        <w:rPr>
          <w:rFonts w:ascii="Arial Narrow" w:hAnsi="Arial Narrow"/>
          <w:sz w:val="24"/>
          <w:szCs w:val="24"/>
        </w:rPr>
        <w:t xml:space="preserve"> – </w:t>
      </w:r>
      <w:r w:rsidRPr="00B07AB8">
        <w:rPr>
          <w:rFonts w:ascii="Arial Narrow" w:hAnsi="Arial Narrow"/>
          <w:b/>
          <w:sz w:val="24"/>
          <w:szCs w:val="24"/>
        </w:rPr>
        <w:t>Удовлетворенность потребителей качеством услуг, предоставляемых субъектами естественных монополий (% от числа опрошенных)</w:t>
      </w:r>
    </w:p>
    <w:tbl>
      <w:tblPr>
        <w:tblW w:w="5700"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2459"/>
        <w:gridCol w:w="2227"/>
        <w:gridCol w:w="1014"/>
      </w:tblGrid>
      <w:tr w:rsidR="00B07AB8" w:rsidRPr="00B07AB8" w:rsidTr="003425A3">
        <w:trPr>
          <w:cantSplit/>
        </w:trPr>
        <w:tc>
          <w:tcPr>
            <w:tcW w:w="2459" w:type="dxa"/>
            <w:vMerge w:val="restart"/>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r w:rsidRPr="00B07AB8">
              <w:rPr>
                <w:rFonts w:ascii="Arial Narrow" w:hAnsi="Arial Narrow" w:cs="Arial"/>
                <w:sz w:val="20"/>
                <w:szCs w:val="20"/>
              </w:rPr>
              <w:t>Водоснабжение, водоотведение</w:t>
            </w:r>
          </w:p>
        </w:tc>
        <w:tc>
          <w:tcPr>
            <w:tcW w:w="2227" w:type="dxa"/>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r w:rsidRPr="00B07AB8">
              <w:rPr>
                <w:rFonts w:ascii="Arial Narrow" w:hAnsi="Arial Narrow" w:cs="Arial"/>
                <w:sz w:val="20"/>
                <w:szCs w:val="20"/>
              </w:rPr>
              <w:t>Удовлетворительно</w:t>
            </w:r>
          </w:p>
        </w:tc>
        <w:tc>
          <w:tcPr>
            <w:tcW w:w="1014" w:type="dxa"/>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r w:rsidRPr="00B07AB8">
              <w:rPr>
                <w:rFonts w:ascii="Arial Narrow" w:hAnsi="Arial Narrow" w:cs="Arial"/>
                <w:sz w:val="20"/>
                <w:szCs w:val="20"/>
              </w:rPr>
              <w:t>61,7%</w:t>
            </w:r>
          </w:p>
        </w:tc>
      </w:tr>
      <w:tr w:rsidR="00B07AB8" w:rsidRPr="00B07AB8" w:rsidTr="003425A3">
        <w:trPr>
          <w:cantSplit/>
        </w:trPr>
        <w:tc>
          <w:tcPr>
            <w:tcW w:w="2459" w:type="dxa"/>
            <w:vMerge/>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p>
        </w:tc>
        <w:tc>
          <w:tcPr>
            <w:tcW w:w="2227" w:type="dxa"/>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r w:rsidRPr="00B07AB8">
              <w:rPr>
                <w:rFonts w:ascii="Arial Narrow" w:hAnsi="Arial Narrow" w:cs="Arial"/>
                <w:sz w:val="20"/>
                <w:szCs w:val="20"/>
              </w:rPr>
              <w:t>Неудовлетворительно</w:t>
            </w:r>
          </w:p>
        </w:tc>
        <w:tc>
          <w:tcPr>
            <w:tcW w:w="1014" w:type="dxa"/>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r w:rsidRPr="00B07AB8">
              <w:rPr>
                <w:rFonts w:ascii="Arial Narrow" w:hAnsi="Arial Narrow" w:cs="Arial"/>
                <w:sz w:val="20"/>
                <w:szCs w:val="20"/>
              </w:rPr>
              <w:t>32,3%</w:t>
            </w:r>
          </w:p>
        </w:tc>
      </w:tr>
      <w:tr w:rsidR="00B07AB8" w:rsidRPr="00B07AB8" w:rsidTr="003425A3">
        <w:trPr>
          <w:cantSplit/>
        </w:trPr>
        <w:tc>
          <w:tcPr>
            <w:tcW w:w="2459" w:type="dxa"/>
            <w:vMerge/>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p>
        </w:tc>
        <w:tc>
          <w:tcPr>
            <w:tcW w:w="2227" w:type="dxa"/>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r w:rsidRPr="00B07AB8">
              <w:rPr>
                <w:rFonts w:ascii="Arial Narrow" w:hAnsi="Arial Narrow" w:cs="Arial"/>
                <w:sz w:val="20"/>
                <w:szCs w:val="20"/>
              </w:rPr>
              <w:t>Затрудняюсь ответить</w:t>
            </w:r>
          </w:p>
        </w:tc>
        <w:tc>
          <w:tcPr>
            <w:tcW w:w="1014" w:type="dxa"/>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r w:rsidRPr="00B07AB8">
              <w:rPr>
                <w:rFonts w:ascii="Arial Narrow" w:hAnsi="Arial Narrow" w:cs="Arial"/>
                <w:sz w:val="20"/>
                <w:szCs w:val="20"/>
              </w:rPr>
              <w:t>6,0%</w:t>
            </w:r>
          </w:p>
        </w:tc>
      </w:tr>
      <w:tr w:rsidR="00B07AB8" w:rsidRPr="00B07AB8" w:rsidTr="003425A3">
        <w:trPr>
          <w:cantSplit/>
        </w:trPr>
        <w:tc>
          <w:tcPr>
            <w:tcW w:w="2459" w:type="dxa"/>
            <w:vMerge w:val="restart"/>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r w:rsidRPr="00B07AB8">
              <w:rPr>
                <w:rFonts w:ascii="Arial Narrow" w:hAnsi="Arial Narrow" w:cs="Arial"/>
                <w:sz w:val="20"/>
                <w:szCs w:val="20"/>
              </w:rPr>
              <w:t>Газоснабжение</w:t>
            </w:r>
          </w:p>
        </w:tc>
        <w:tc>
          <w:tcPr>
            <w:tcW w:w="2227" w:type="dxa"/>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r w:rsidRPr="00B07AB8">
              <w:rPr>
                <w:rFonts w:ascii="Arial Narrow" w:hAnsi="Arial Narrow" w:cs="Arial"/>
                <w:sz w:val="20"/>
                <w:szCs w:val="20"/>
              </w:rPr>
              <w:t>Удовлетворительно</w:t>
            </w:r>
          </w:p>
        </w:tc>
        <w:tc>
          <w:tcPr>
            <w:tcW w:w="1014" w:type="dxa"/>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r w:rsidRPr="00B07AB8">
              <w:rPr>
                <w:rFonts w:ascii="Arial Narrow" w:hAnsi="Arial Narrow" w:cs="Arial"/>
                <w:sz w:val="20"/>
                <w:szCs w:val="20"/>
              </w:rPr>
              <w:t>53,0%</w:t>
            </w:r>
          </w:p>
        </w:tc>
      </w:tr>
      <w:tr w:rsidR="00B07AB8" w:rsidRPr="00B07AB8" w:rsidTr="003425A3">
        <w:trPr>
          <w:cantSplit/>
        </w:trPr>
        <w:tc>
          <w:tcPr>
            <w:tcW w:w="2459" w:type="dxa"/>
            <w:vMerge/>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p>
        </w:tc>
        <w:tc>
          <w:tcPr>
            <w:tcW w:w="2227" w:type="dxa"/>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r w:rsidRPr="00B07AB8">
              <w:rPr>
                <w:rFonts w:ascii="Arial Narrow" w:hAnsi="Arial Narrow" w:cs="Arial"/>
                <w:sz w:val="20"/>
                <w:szCs w:val="20"/>
              </w:rPr>
              <w:t>Неудовлетворительно</w:t>
            </w:r>
          </w:p>
        </w:tc>
        <w:tc>
          <w:tcPr>
            <w:tcW w:w="1014" w:type="dxa"/>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r w:rsidRPr="00B07AB8">
              <w:rPr>
                <w:rFonts w:ascii="Arial Narrow" w:hAnsi="Arial Narrow" w:cs="Arial"/>
                <w:sz w:val="20"/>
                <w:szCs w:val="20"/>
              </w:rPr>
              <w:t>13,1%</w:t>
            </w:r>
          </w:p>
        </w:tc>
      </w:tr>
      <w:tr w:rsidR="00B07AB8" w:rsidRPr="00B07AB8" w:rsidTr="003425A3">
        <w:trPr>
          <w:cantSplit/>
        </w:trPr>
        <w:tc>
          <w:tcPr>
            <w:tcW w:w="2459" w:type="dxa"/>
            <w:vMerge/>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p>
        </w:tc>
        <w:tc>
          <w:tcPr>
            <w:tcW w:w="2227" w:type="dxa"/>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r w:rsidRPr="00B07AB8">
              <w:rPr>
                <w:rFonts w:ascii="Arial Narrow" w:hAnsi="Arial Narrow" w:cs="Arial"/>
                <w:sz w:val="20"/>
                <w:szCs w:val="20"/>
              </w:rPr>
              <w:t>Затрудняюсь ответить</w:t>
            </w:r>
          </w:p>
        </w:tc>
        <w:tc>
          <w:tcPr>
            <w:tcW w:w="1014" w:type="dxa"/>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r w:rsidRPr="00B07AB8">
              <w:rPr>
                <w:rFonts w:ascii="Arial Narrow" w:hAnsi="Arial Narrow" w:cs="Arial"/>
                <w:sz w:val="20"/>
                <w:szCs w:val="20"/>
              </w:rPr>
              <w:t>33,9%</w:t>
            </w:r>
          </w:p>
        </w:tc>
      </w:tr>
      <w:tr w:rsidR="00B07AB8" w:rsidRPr="00B07AB8" w:rsidTr="003425A3">
        <w:trPr>
          <w:cantSplit/>
        </w:trPr>
        <w:tc>
          <w:tcPr>
            <w:tcW w:w="2459" w:type="dxa"/>
            <w:vMerge w:val="restart"/>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r w:rsidRPr="00B07AB8">
              <w:rPr>
                <w:rFonts w:ascii="Arial Narrow" w:hAnsi="Arial Narrow" w:cs="Arial"/>
                <w:sz w:val="20"/>
                <w:szCs w:val="20"/>
              </w:rPr>
              <w:t>Электроснабжение</w:t>
            </w:r>
          </w:p>
        </w:tc>
        <w:tc>
          <w:tcPr>
            <w:tcW w:w="2227" w:type="dxa"/>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r w:rsidRPr="00B07AB8">
              <w:rPr>
                <w:rFonts w:ascii="Arial Narrow" w:hAnsi="Arial Narrow" w:cs="Arial"/>
                <w:sz w:val="20"/>
                <w:szCs w:val="20"/>
              </w:rPr>
              <w:t>Удовлетворительно</w:t>
            </w:r>
          </w:p>
        </w:tc>
        <w:tc>
          <w:tcPr>
            <w:tcW w:w="1014" w:type="dxa"/>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r w:rsidRPr="00B07AB8">
              <w:rPr>
                <w:rFonts w:ascii="Arial Narrow" w:hAnsi="Arial Narrow" w:cs="Arial"/>
                <w:sz w:val="20"/>
                <w:szCs w:val="20"/>
              </w:rPr>
              <w:t>83,8%</w:t>
            </w:r>
          </w:p>
        </w:tc>
      </w:tr>
      <w:tr w:rsidR="00B07AB8" w:rsidRPr="00B07AB8" w:rsidTr="003425A3">
        <w:trPr>
          <w:cantSplit/>
        </w:trPr>
        <w:tc>
          <w:tcPr>
            <w:tcW w:w="2459" w:type="dxa"/>
            <w:vMerge/>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p>
        </w:tc>
        <w:tc>
          <w:tcPr>
            <w:tcW w:w="2227" w:type="dxa"/>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r w:rsidRPr="00B07AB8">
              <w:rPr>
                <w:rFonts w:ascii="Arial Narrow" w:hAnsi="Arial Narrow" w:cs="Arial"/>
                <w:sz w:val="20"/>
                <w:szCs w:val="20"/>
              </w:rPr>
              <w:t>Неудовлетворительно</w:t>
            </w:r>
          </w:p>
        </w:tc>
        <w:tc>
          <w:tcPr>
            <w:tcW w:w="1014" w:type="dxa"/>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r w:rsidRPr="00B07AB8">
              <w:rPr>
                <w:rFonts w:ascii="Arial Narrow" w:hAnsi="Arial Narrow" w:cs="Arial"/>
                <w:sz w:val="20"/>
                <w:szCs w:val="20"/>
              </w:rPr>
              <w:t>15,4%</w:t>
            </w:r>
          </w:p>
        </w:tc>
      </w:tr>
      <w:tr w:rsidR="00B07AB8" w:rsidRPr="00B07AB8" w:rsidTr="003425A3">
        <w:trPr>
          <w:cantSplit/>
        </w:trPr>
        <w:tc>
          <w:tcPr>
            <w:tcW w:w="2459" w:type="dxa"/>
            <w:vMerge/>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p>
        </w:tc>
        <w:tc>
          <w:tcPr>
            <w:tcW w:w="2227" w:type="dxa"/>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r w:rsidRPr="00B07AB8">
              <w:rPr>
                <w:rFonts w:ascii="Arial Narrow" w:hAnsi="Arial Narrow" w:cs="Arial"/>
                <w:sz w:val="20"/>
                <w:szCs w:val="20"/>
              </w:rPr>
              <w:t>Затрудняюсь ответить</w:t>
            </w:r>
          </w:p>
        </w:tc>
        <w:tc>
          <w:tcPr>
            <w:tcW w:w="1014" w:type="dxa"/>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r w:rsidRPr="00B07AB8">
              <w:rPr>
                <w:rFonts w:ascii="Arial Narrow" w:hAnsi="Arial Narrow" w:cs="Arial"/>
                <w:sz w:val="20"/>
                <w:szCs w:val="20"/>
              </w:rPr>
              <w:t>0,8%</w:t>
            </w:r>
          </w:p>
        </w:tc>
      </w:tr>
      <w:tr w:rsidR="00B07AB8" w:rsidRPr="00B07AB8" w:rsidTr="003425A3">
        <w:trPr>
          <w:cantSplit/>
        </w:trPr>
        <w:tc>
          <w:tcPr>
            <w:tcW w:w="2459" w:type="dxa"/>
            <w:vMerge w:val="restart"/>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r w:rsidRPr="00B07AB8">
              <w:rPr>
                <w:rFonts w:ascii="Arial Narrow" w:hAnsi="Arial Narrow" w:cs="Arial"/>
                <w:sz w:val="20"/>
                <w:szCs w:val="20"/>
              </w:rPr>
              <w:t>Теплоснабжение</w:t>
            </w:r>
          </w:p>
        </w:tc>
        <w:tc>
          <w:tcPr>
            <w:tcW w:w="2227" w:type="dxa"/>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r w:rsidRPr="00B07AB8">
              <w:rPr>
                <w:rFonts w:ascii="Arial Narrow" w:hAnsi="Arial Narrow" w:cs="Arial"/>
                <w:sz w:val="20"/>
                <w:szCs w:val="20"/>
              </w:rPr>
              <w:t>Удовлетворительно</w:t>
            </w:r>
          </w:p>
        </w:tc>
        <w:tc>
          <w:tcPr>
            <w:tcW w:w="1014" w:type="dxa"/>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r w:rsidRPr="00B07AB8">
              <w:rPr>
                <w:rFonts w:ascii="Arial Narrow" w:hAnsi="Arial Narrow" w:cs="Arial"/>
                <w:sz w:val="20"/>
                <w:szCs w:val="20"/>
              </w:rPr>
              <w:t>60,7%</w:t>
            </w:r>
          </w:p>
        </w:tc>
      </w:tr>
      <w:tr w:rsidR="00B07AB8" w:rsidRPr="00B07AB8" w:rsidTr="003425A3">
        <w:trPr>
          <w:cantSplit/>
        </w:trPr>
        <w:tc>
          <w:tcPr>
            <w:tcW w:w="2459" w:type="dxa"/>
            <w:vMerge/>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p>
        </w:tc>
        <w:tc>
          <w:tcPr>
            <w:tcW w:w="2227" w:type="dxa"/>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r w:rsidRPr="00B07AB8">
              <w:rPr>
                <w:rFonts w:ascii="Arial Narrow" w:hAnsi="Arial Narrow" w:cs="Arial"/>
                <w:sz w:val="20"/>
                <w:szCs w:val="20"/>
              </w:rPr>
              <w:t>Неудовлетворительно</w:t>
            </w:r>
          </w:p>
        </w:tc>
        <w:tc>
          <w:tcPr>
            <w:tcW w:w="1014" w:type="dxa"/>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r w:rsidRPr="00B07AB8">
              <w:rPr>
                <w:rFonts w:ascii="Arial Narrow" w:hAnsi="Arial Narrow" w:cs="Arial"/>
                <w:sz w:val="20"/>
                <w:szCs w:val="20"/>
              </w:rPr>
              <w:t>14,3%</w:t>
            </w:r>
          </w:p>
        </w:tc>
      </w:tr>
      <w:tr w:rsidR="00B07AB8" w:rsidRPr="00B07AB8" w:rsidTr="003425A3">
        <w:trPr>
          <w:cantSplit/>
        </w:trPr>
        <w:tc>
          <w:tcPr>
            <w:tcW w:w="2459" w:type="dxa"/>
            <w:vMerge/>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p>
        </w:tc>
        <w:tc>
          <w:tcPr>
            <w:tcW w:w="2227" w:type="dxa"/>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r w:rsidRPr="00B07AB8">
              <w:rPr>
                <w:rFonts w:ascii="Arial Narrow" w:hAnsi="Arial Narrow" w:cs="Arial"/>
                <w:sz w:val="20"/>
                <w:szCs w:val="20"/>
              </w:rPr>
              <w:t>Затрудняюсь ответить</w:t>
            </w:r>
          </w:p>
        </w:tc>
        <w:tc>
          <w:tcPr>
            <w:tcW w:w="1014" w:type="dxa"/>
            <w:shd w:val="clear" w:color="auto" w:fill="FFFFFF"/>
            <w:vAlign w:val="center"/>
          </w:tcPr>
          <w:p w:rsidR="00B07AB8" w:rsidRPr="00B07AB8" w:rsidRDefault="00B07AB8" w:rsidP="00C54B76">
            <w:pPr>
              <w:spacing w:after="0" w:line="240" w:lineRule="auto"/>
              <w:ind w:left="127"/>
              <w:rPr>
                <w:rFonts w:ascii="Arial Narrow" w:hAnsi="Arial Narrow" w:cs="Arial"/>
                <w:sz w:val="20"/>
                <w:szCs w:val="20"/>
              </w:rPr>
            </w:pPr>
            <w:r w:rsidRPr="00B07AB8">
              <w:rPr>
                <w:rFonts w:ascii="Arial Narrow" w:hAnsi="Arial Narrow" w:cs="Arial"/>
                <w:sz w:val="20"/>
                <w:szCs w:val="20"/>
              </w:rPr>
              <w:t>25,0%</w:t>
            </w:r>
          </w:p>
        </w:tc>
      </w:tr>
    </w:tbl>
    <w:p w:rsidR="00C54B76" w:rsidRDefault="00C54B76" w:rsidP="00B07AB8">
      <w:pPr>
        <w:pStyle w:val="3"/>
        <w:jc w:val="both"/>
        <w:rPr>
          <w:rFonts w:ascii="Arial Narrow" w:hAnsi="Arial Narrow"/>
        </w:rPr>
      </w:pPr>
      <w:bookmarkStart w:id="60" w:name="_Toc475464688"/>
    </w:p>
    <w:p w:rsidR="00C54B76" w:rsidRDefault="00C54B76" w:rsidP="00C54B76">
      <w:pPr>
        <w:rPr>
          <w:rFonts w:eastAsia="Times New Roman" w:cs="Times New Roman"/>
          <w:color w:val="000000"/>
          <w:sz w:val="26"/>
          <w:szCs w:val="26"/>
          <w:lang w:eastAsia="ru-RU"/>
        </w:rPr>
      </w:pPr>
    </w:p>
    <w:p w:rsidR="00DD748B" w:rsidRDefault="00DD748B" w:rsidP="00C54B76">
      <w:pPr>
        <w:rPr>
          <w:rFonts w:eastAsia="Times New Roman" w:cs="Times New Roman"/>
          <w:color w:val="000000"/>
          <w:sz w:val="26"/>
          <w:szCs w:val="26"/>
          <w:lang w:eastAsia="ru-RU"/>
        </w:rPr>
      </w:pPr>
    </w:p>
    <w:p w:rsidR="00B07AB8" w:rsidRPr="00B07AB8" w:rsidRDefault="00B07AB8" w:rsidP="00A43AC6">
      <w:pPr>
        <w:pStyle w:val="3"/>
        <w:jc w:val="both"/>
        <w:rPr>
          <w:rFonts w:ascii="Arial Narrow" w:hAnsi="Arial Narrow"/>
        </w:rPr>
      </w:pPr>
      <w:bookmarkStart w:id="61" w:name="_Toc475532273"/>
      <w:r w:rsidRPr="00B07AB8">
        <w:rPr>
          <w:rFonts w:ascii="Arial Narrow" w:hAnsi="Arial Narrow"/>
        </w:rPr>
        <w:t>5.5.2.2.1. Удовлетворенность потребителей (населения) качеством услуг электроснабжения в разрезе территории проживания</w:t>
      </w:r>
      <w:bookmarkEnd w:id="60"/>
      <w:bookmarkEnd w:id="61"/>
    </w:p>
    <w:p w:rsidR="00B07AB8" w:rsidRPr="00B07AB8" w:rsidRDefault="00B07AB8" w:rsidP="00B07AB8">
      <w:pPr>
        <w:spacing w:line="360" w:lineRule="auto"/>
        <w:ind w:firstLine="567"/>
        <w:jc w:val="both"/>
        <w:rPr>
          <w:rFonts w:ascii="Arial Narrow" w:hAnsi="Arial Narrow"/>
        </w:rPr>
      </w:pP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 xml:space="preserve">Почти повсеместная удовлетворенность качеством услуг электроснабжения (более 90 %) зафиксирована в муниципальных образованиях: Здвинский (97,1 %), Маслянинский (95,7 %), Усть-Таркский (95,7 %), Баганский (94,3 %), Карасукский (94,3 %) районы, р. п. Кольцово (94,3 %), Доволенский (90,1%), Кочковский (90,0 %) районы. </w:t>
      </w: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Самые малые доли потребителей, удовлетворенных данным показателем (менее 70 %), зафиксированы в Барабинском (64,3 %) и Куйбышевском (68,6 %) районах.</w:t>
      </w:r>
    </w:p>
    <w:p w:rsidR="00B07AB8" w:rsidRPr="00B07AB8" w:rsidRDefault="00B07AB8" w:rsidP="00B07AB8">
      <w:pPr>
        <w:ind w:firstLine="567"/>
        <w:jc w:val="both"/>
        <w:rPr>
          <w:rFonts w:ascii="Arial Narrow" w:hAnsi="Arial Narrow"/>
          <w:sz w:val="12"/>
          <w:szCs w:val="12"/>
        </w:rPr>
      </w:pPr>
    </w:p>
    <w:p w:rsidR="00B07AB8" w:rsidRPr="00B07AB8" w:rsidRDefault="00B07AB8" w:rsidP="00B07AB8">
      <w:pPr>
        <w:jc w:val="center"/>
        <w:rPr>
          <w:rFonts w:ascii="Arial Narrow" w:hAnsi="Arial Narrow"/>
          <w:b/>
          <w:bCs/>
        </w:rPr>
      </w:pPr>
      <w:r w:rsidRPr="00B07AB8">
        <w:rPr>
          <w:rFonts w:ascii="Arial Narrow" w:hAnsi="Arial Narrow"/>
          <w:noProof/>
          <w:color w:val="986297"/>
          <w:lang w:eastAsia="ru-RU"/>
        </w:rPr>
        <w:lastRenderedPageBreak/>
        <w:drawing>
          <wp:inline distT="0" distB="0" distL="0" distR="0">
            <wp:extent cx="6350000" cy="8077200"/>
            <wp:effectExtent l="0" t="0" r="0" b="0"/>
            <wp:docPr id="617"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r w:rsidRPr="00B07AB8">
        <w:rPr>
          <w:rFonts w:ascii="Arial Narrow" w:hAnsi="Arial Narrow"/>
          <w:bCs/>
        </w:rPr>
        <w:t>Диаграмма 5.5.72</w:t>
      </w:r>
      <w:r w:rsidRPr="00B07AB8">
        <w:rPr>
          <w:rFonts w:ascii="Arial Narrow" w:hAnsi="Arial Narrow"/>
          <w:b/>
          <w:bCs/>
        </w:rPr>
        <w:t xml:space="preserve"> – Удовлетворенность потребителей товаров, работ, услуг качеством услуг электроснабжения, в % от числа опрошенных по территориям</w:t>
      </w:r>
    </w:p>
    <w:p w:rsidR="00B07AB8" w:rsidRPr="00B07AB8" w:rsidRDefault="00B07AB8" w:rsidP="00103148">
      <w:pPr>
        <w:pStyle w:val="3"/>
        <w:rPr>
          <w:rFonts w:ascii="Arial Narrow" w:hAnsi="Arial Narrow"/>
        </w:rPr>
      </w:pPr>
      <w:bookmarkStart w:id="62" w:name="_Toc475464689"/>
      <w:bookmarkStart w:id="63" w:name="_Toc475532274"/>
      <w:r w:rsidRPr="00B07AB8">
        <w:rPr>
          <w:rFonts w:ascii="Arial Narrow" w:hAnsi="Arial Narrow"/>
        </w:rPr>
        <w:lastRenderedPageBreak/>
        <w:t>5.5.2.2.2. Удовлетворенность потребителей (населения) качеством услуг водоснабжения/водоотведения в разрезе территории проживания</w:t>
      </w:r>
      <w:bookmarkEnd w:id="62"/>
      <w:bookmarkEnd w:id="63"/>
    </w:p>
    <w:p w:rsidR="00B07AB8" w:rsidRPr="00B07AB8" w:rsidRDefault="00B07AB8" w:rsidP="00B07AB8">
      <w:pPr>
        <w:spacing w:line="360" w:lineRule="auto"/>
        <w:ind w:firstLine="567"/>
        <w:jc w:val="both"/>
        <w:rPr>
          <w:rFonts w:ascii="Arial Narrow" w:hAnsi="Arial Narrow"/>
        </w:rPr>
      </w:pP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 xml:space="preserve">Удовлетворенность качеством услуг водоснабжения и водоотведения сильно различается по территориям. </w:t>
      </w: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Наиболее высокие доли потребителей (населения), удовлетворенных качеством услуг водоснабжения и водоотведения (80 % и более), выявлены в Здвинском районе (95,7 %), р. п. Кольцово (90,0 %), Баганском (85,7 %), Карасукском (82,9 %) районах, г. Бердске (82,2 %), Купинском районе (80,6 %), г. Искитиме (80,0 %).</w:t>
      </w: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Самые малые доли потребителей, удовлетворенных данным показателем (менее 40 %), зафиксированы в Северном (27,1 %), Колыванском (28,6 %), Кыштовском (31,4 %), Куйбышевском (34,3 %), Краснозерском (37,1 %), Ордынском (38,0 %) районах.</w:t>
      </w:r>
    </w:p>
    <w:p w:rsidR="00B07AB8" w:rsidRPr="00B07AB8" w:rsidRDefault="00B07AB8" w:rsidP="00B07AB8">
      <w:pPr>
        <w:jc w:val="right"/>
        <w:rPr>
          <w:rFonts w:ascii="Arial Narrow" w:hAnsi="Arial Narrow"/>
          <w:b/>
          <w:bCs/>
          <w:color w:val="595959"/>
          <w:sz w:val="20"/>
          <w:szCs w:val="20"/>
        </w:rPr>
      </w:pPr>
    </w:p>
    <w:p w:rsidR="00B07AB8" w:rsidRPr="00B07AB8" w:rsidRDefault="00B07AB8" w:rsidP="00B07AB8">
      <w:pPr>
        <w:jc w:val="center"/>
        <w:rPr>
          <w:rFonts w:ascii="Arial Narrow" w:hAnsi="Arial Narrow"/>
        </w:rPr>
      </w:pPr>
      <w:r w:rsidRPr="00B07AB8">
        <w:rPr>
          <w:rFonts w:ascii="Arial Narrow" w:hAnsi="Arial Narrow"/>
          <w:noProof/>
          <w:color w:val="986297"/>
          <w:lang w:eastAsia="ru-RU"/>
        </w:rPr>
        <w:lastRenderedPageBreak/>
        <w:drawing>
          <wp:inline distT="0" distB="0" distL="0" distR="0">
            <wp:extent cx="6337300" cy="8178800"/>
            <wp:effectExtent l="0" t="0" r="0" b="0"/>
            <wp:docPr id="618" name="Диаграмма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r w:rsidRPr="00B07AB8">
        <w:rPr>
          <w:rFonts w:ascii="Arial Narrow" w:hAnsi="Arial Narrow"/>
          <w:bCs/>
        </w:rPr>
        <w:t>Диаграмма 5.5.73</w:t>
      </w:r>
      <w:r w:rsidRPr="00B07AB8">
        <w:rPr>
          <w:rFonts w:ascii="Arial Narrow" w:hAnsi="Arial Narrow"/>
          <w:b/>
          <w:bCs/>
        </w:rPr>
        <w:t xml:space="preserve"> – Удовлетворенность потребителей товаров, работ, услуг качеством услуг водоснабжения, водоотведения, в % от числа опрошенных по территориям</w:t>
      </w:r>
      <w:r w:rsidRPr="00B07AB8">
        <w:rPr>
          <w:rFonts w:ascii="Arial Narrow" w:hAnsi="Arial Narrow"/>
        </w:rPr>
        <w:br w:type="page"/>
      </w:r>
    </w:p>
    <w:p w:rsidR="00B07AB8" w:rsidRPr="00B07AB8" w:rsidRDefault="00B07AB8" w:rsidP="00A43AC6">
      <w:pPr>
        <w:pStyle w:val="3"/>
        <w:jc w:val="both"/>
        <w:rPr>
          <w:rFonts w:ascii="Arial Narrow" w:hAnsi="Arial Narrow"/>
        </w:rPr>
      </w:pPr>
      <w:bookmarkStart w:id="64" w:name="_Toc475464690"/>
      <w:bookmarkStart w:id="65" w:name="_Toc475532275"/>
      <w:r w:rsidRPr="00B07AB8">
        <w:rPr>
          <w:rFonts w:ascii="Arial Narrow" w:hAnsi="Arial Narrow"/>
        </w:rPr>
        <w:lastRenderedPageBreak/>
        <w:t>5.5.2.2.3. Удовлетворенность потребителей (населения) качеством услуг теплоснабжения в разрезе территории проживания</w:t>
      </w:r>
      <w:bookmarkEnd w:id="64"/>
      <w:bookmarkEnd w:id="65"/>
    </w:p>
    <w:p w:rsidR="00B07AB8" w:rsidRPr="00B07AB8" w:rsidRDefault="00B07AB8" w:rsidP="00B07AB8">
      <w:pPr>
        <w:spacing w:line="360" w:lineRule="auto"/>
        <w:ind w:firstLine="284"/>
        <w:jc w:val="both"/>
        <w:rPr>
          <w:rFonts w:ascii="Arial Narrow" w:hAnsi="Arial Narrow"/>
        </w:rPr>
      </w:pPr>
    </w:p>
    <w:p w:rsidR="00B07AB8" w:rsidRPr="00B07AB8" w:rsidRDefault="00B07AB8" w:rsidP="00B07AB8">
      <w:pPr>
        <w:spacing w:line="360" w:lineRule="auto"/>
        <w:ind w:firstLine="284"/>
        <w:jc w:val="both"/>
        <w:rPr>
          <w:rFonts w:ascii="Arial Narrow" w:hAnsi="Arial Narrow"/>
          <w:sz w:val="24"/>
          <w:szCs w:val="24"/>
        </w:rPr>
      </w:pPr>
      <w:r w:rsidRPr="00B07AB8">
        <w:rPr>
          <w:rFonts w:ascii="Arial Narrow" w:hAnsi="Arial Narrow"/>
          <w:sz w:val="24"/>
          <w:szCs w:val="24"/>
        </w:rPr>
        <w:t xml:space="preserve">Удовлетворенность качеством услуг теплоснабжения сильно различается по территориям. </w:t>
      </w:r>
    </w:p>
    <w:p w:rsidR="00B07AB8" w:rsidRPr="00B07AB8" w:rsidRDefault="00B07AB8" w:rsidP="00B07AB8">
      <w:pPr>
        <w:spacing w:line="360" w:lineRule="auto"/>
        <w:ind w:firstLine="284"/>
        <w:jc w:val="both"/>
        <w:rPr>
          <w:rFonts w:ascii="Arial Narrow" w:hAnsi="Arial Narrow"/>
          <w:sz w:val="24"/>
          <w:szCs w:val="24"/>
        </w:rPr>
      </w:pPr>
      <w:r w:rsidRPr="00B07AB8">
        <w:rPr>
          <w:rFonts w:ascii="Arial Narrow" w:hAnsi="Arial Narrow"/>
          <w:sz w:val="24"/>
          <w:szCs w:val="24"/>
        </w:rPr>
        <w:t xml:space="preserve">Наиболее высокие доли потребителей (населения), удовлетворенных качеством услуг теплоснабжения (80 % и более), выявлены в р. п. Кольцово (95,7 %), Здвинском районе (87,1 %), г. Новосибирске (80,7 %). </w:t>
      </w:r>
    </w:p>
    <w:p w:rsidR="00B07AB8" w:rsidRPr="00B07AB8" w:rsidRDefault="00B07AB8" w:rsidP="00B07AB8">
      <w:pPr>
        <w:spacing w:line="360" w:lineRule="auto"/>
        <w:ind w:firstLine="284"/>
        <w:jc w:val="both"/>
        <w:rPr>
          <w:rFonts w:ascii="Arial Narrow" w:hAnsi="Arial Narrow"/>
          <w:sz w:val="24"/>
          <w:szCs w:val="24"/>
        </w:rPr>
      </w:pPr>
      <w:r w:rsidRPr="00B07AB8">
        <w:rPr>
          <w:rFonts w:ascii="Arial Narrow" w:hAnsi="Arial Narrow"/>
          <w:sz w:val="24"/>
          <w:szCs w:val="24"/>
        </w:rPr>
        <w:t>Самые малые доли потребителей, удовлетворенных данным показателем (менее 40 %), зафиксированы в Ордынском (14,1 %), Северном (31,4 %), Краснозерском (32,9 %), Усть-Таркском (35,7 %), Кыштовском (38,6 %) районах.</w:t>
      </w:r>
    </w:p>
    <w:p w:rsidR="00B07AB8" w:rsidRPr="00B07AB8" w:rsidRDefault="00B07AB8" w:rsidP="00B07AB8">
      <w:pPr>
        <w:spacing w:line="240" w:lineRule="auto"/>
        <w:jc w:val="center"/>
        <w:rPr>
          <w:rFonts w:ascii="Arial Narrow" w:hAnsi="Arial Narrow"/>
          <w:b/>
          <w:bCs/>
          <w:color w:val="595959"/>
          <w:sz w:val="20"/>
          <w:szCs w:val="20"/>
        </w:rPr>
      </w:pPr>
      <w:r w:rsidRPr="00B07AB8">
        <w:rPr>
          <w:rFonts w:ascii="Arial Narrow" w:hAnsi="Arial Narrow"/>
          <w:noProof/>
          <w:color w:val="986297"/>
          <w:lang w:eastAsia="ru-RU"/>
        </w:rPr>
        <w:lastRenderedPageBreak/>
        <w:drawing>
          <wp:inline distT="0" distB="0" distL="0" distR="0">
            <wp:extent cx="6381750" cy="8051800"/>
            <wp:effectExtent l="19050" t="0" r="0" b="0"/>
            <wp:docPr id="619" name="Диаграмма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rsidR="00B07AB8" w:rsidRPr="00B07AB8" w:rsidRDefault="00B07AB8" w:rsidP="00B07AB8">
      <w:pPr>
        <w:spacing w:line="240" w:lineRule="auto"/>
        <w:jc w:val="center"/>
        <w:rPr>
          <w:rFonts w:ascii="Arial Narrow" w:hAnsi="Arial Narrow"/>
          <w:b/>
          <w:bCs/>
        </w:rPr>
      </w:pPr>
      <w:r w:rsidRPr="00B07AB8">
        <w:rPr>
          <w:rFonts w:ascii="Arial Narrow" w:hAnsi="Arial Narrow"/>
          <w:bCs/>
        </w:rPr>
        <w:t>Диаграмма 5.5.75</w:t>
      </w:r>
      <w:r w:rsidRPr="00B07AB8">
        <w:rPr>
          <w:rFonts w:ascii="Arial Narrow" w:hAnsi="Arial Narrow"/>
          <w:b/>
          <w:bCs/>
        </w:rPr>
        <w:t xml:space="preserve"> – Удовлетворенность потребителей товаров, работ, услуг качеством услуг теплоснабжения, в % от числа опрошенных по территориям</w:t>
      </w:r>
    </w:p>
    <w:p w:rsidR="00B07AB8" w:rsidRPr="00B07AB8" w:rsidRDefault="00B07AB8" w:rsidP="00A43AC6">
      <w:pPr>
        <w:pStyle w:val="3"/>
        <w:jc w:val="both"/>
        <w:rPr>
          <w:rFonts w:ascii="Arial Narrow" w:hAnsi="Arial Narrow"/>
        </w:rPr>
      </w:pPr>
      <w:bookmarkStart w:id="66" w:name="_Toc475464691"/>
      <w:bookmarkStart w:id="67" w:name="_Toc475532276"/>
      <w:r w:rsidRPr="00B07AB8">
        <w:rPr>
          <w:rFonts w:ascii="Arial Narrow" w:hAnsi="Arial Narrow"/>
        </w:rPr>
        <w:lastRenderedPageBreak/>
        <w:t>5.5.2.2.4. Удовлетворенность потребителей (населения) качеством услуг газоснабжения в разрезе территории проживания</w:t>
      </w:r>
      <w:bookmarkEnd w:id="66"/>
      <w:bookmarkEnd w:id="67"/>
    </w:p>
    <w:p w:rsidR="00B07AB8" w:rsidRPr="00B07AB8" w:rsidRDefault="00B07AB8" w:rsidP="00B07AB8">
      <w:pPr>
        <w:spacing w:line="360" w:lineRule="auto"/>
        <w:ind w:firstLine="567"/>
        <w:jc w:val="both"/>
        <w:rPr>
          <w:rFonts w:ascii="Arial Narrow" w:hAnsi="Arial Narrow"/>
          <w:b/>
          <w:bCs/>
          <w:color w:val="595959"/>
          <w:sz w:val="20"/>
          <w:szCs w:val="20"/>
        </w:rPr>
      </w:pP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 xml:space="preserve">Удовлетворенность качеством услуг газоснабжения сильно различается по территориям. </w:t>
      </w: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Наиболее высокие доли потребителей (населения), удовлетворенных качеством услуг газоснабжения (70 % и более), выявлены в Каргатском (74,3 %), Чистоозерском (72,9 %), Маслянинском (71,4 %), Новосибирском (71,4 %) районах.</w:t>
      </w:r>
    </w:p>
    <w:p w:rsidR="00B07AB8" w:rsidRPr="00B07AB8" w:rsidRDefault="00B07AB8" w:rsidP="00C54B76">
      <w:pPr>
        <w:spacing w:after="0" w:line="360" w:lineRule="auto"/>
        <w:ind w:firstLine="284"/>
        <w:jc w:val="both"/>
        <w:rPr>
          <w:rFonts w:ascii="Arial Narrow" w:hAnsi="Arial Narrow"/>
          <w:sz w:val="24"/>
          <w:szCs w:val="24"/>
        </w:rPr>
      </w:pPr>
      <w:r w:rsidRPr="00B07AB8">
        <w:rPr>
          <w:rFonts w:ascii="Arial Narrow" w:hAnsi="Arial Narrow"/>
          <w:sz w:val="24"/>
          <w:szCs w:val="24"/>
        </w:rPr>
        <w:t>Самые малые доли потребителей, удовлетворенных данным показателем (менее 40 %), зафиксированы в Ордынском (23,9 %), Северном (27,1 %), Усть-Таркском (28,6 %), Тогучинском (37,1 %), Чановском (39,7 %) районах.</w:t>
      </w:r>
    </w:p>
    <w:p w:rsidR="00B07AB8" w:rsidRPr="00B07AB8" w:rsidRDefault="00B07AB8" w:rsidP="00B07AB8">
      <w:pPr>
        <w:jc w:val="center"/>
        <w:rPr>
          <w:rFonts w:ascii="Arial Narrow" w:hAnsi="Arial Narrow"/>
          <w:b/>
          <w:bCs/>
        </w:rPr>
      </w:pPr>
      <w:r w:rsidRPr="00B07AB8">
        <w:rPr>
          <w:rFonts w:ascii="Arial Narrow" w:hAnsi="Arial Narrow"/>
          <w:noProof/>
          <w:color w:val="986297"/>
          <w:lang w:eastAsia="ru-RU"/>
        </w:rPr>
        <w:lastRenderedPageBreak/>
        <w:drawing>
          <wp:inline distT="0" distB="0" distL="0" distR="0">
            <wp:extent cx="6451600" cy="8026400"/>
            <wp:effectExtent l="0" t="0" r="0" b="0"/>
            <wp:docPr id="620" name="Диаграмма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r w:rsidRPr="00B07AB8">
        <w:rPr>
          <w:rFonts w:ascii="Arial Narrow" w:hAnsi="Arial Narrow"/>
          <w:bCs/>
        </w:rPr>
        <w:t>Диаграмма 5.5.74</w:t>
      </w:r>
      <w:r w:rsidRPr="00B07AB8">
        <w:rPr>
          <w:rFonts w:ascii="Arial Narrow" w:hAnsi="Arial Narrow"/>
          <w:b/>
          <w:bCs/>
        </w:rPr>
        <w:t xml:space="preserve"> – Удовлетворенность потребителей товаров, работ, услуг качеством услуг газоснабжения, в % от числа опрошенных по территориям</w:t>
      </w:r>
    </w:p>
    <w:p w:rsidR="00B07AB8" w:rsidRPr="00B07AB8" w:rsidRDefault="00B07AB8" w:rsidP="00C929E4">
      <w:pPr>
        <w:pStyle w:val="2"/>
        <w:jc w:val="both"/>
        <w:rPr>
          <w:rFonts w:ascii="Arial Narrow" w:hAnsi="Arial Narrow"/>
        </w:rPr>
      </w:pPr>
      <w:bookmarkStart w:id="68" w:name="_Toc470587937"/>
      <w:bookmarkStart w:id="69" w:name="_Toc475464692"/>
      <w:bookmarkStart w:id="70" w:name="_Toc475532277"/>
      <w:r w:rsidRPr="00B07AB8">
        <w:rPr>
          <w:rFonts w:ascii="Arial Narrow" w:hAnsi="Arial Narrow"/>
        </w:rPr>
        <w:lastRenderedPageBreak/>
        <w:t>5.6. Оценка эффективности реализации инвестиционных программ и отдельных инвестиционных проектов субъектов естественных монополий со стороны потребителей товаров, работ и услуг, задействованных в механизмах общественного контроля за деятельностью субъектов естественных монополий</w:t>
      </w:r>
      <w:bookmarkEnd w:id="68"/>
      <w:bookmarkEnd w:id="69"/>
      <w:bookmarkEnd w:id="70"/>
    </w:p>
    <w:p w:rsidR="00B07AB8" w:rsidRPr="00B07AB8" w:rsidRDefault="00B07AB8" w:rsidP="00B07AB8">
      <w:pPr>
        <w:pStyle w:val="a5"/>
        <w:ind w:firstLine="567"/>
        <w:jc w:val="both"/>
        <w:rPr>
          <w:rFonts w:ascii="Arial Narrow" w:hAnsi="Arial Narrow"/>
          <w:b/>
          <w:sz w:val="22"/>
          <w:szCs w:val="22"/>
        </w:rPr>
      </w:pPr>
    </w:p>
    <w:p w:rsidR="00B07AB8" w:rsidRPr="00B07AB8" w:rsidRDefault="00B07AB8" w:rsidP="004865F9">
      <w:pPr>
        <w:spacing w:after="0" w:line="360" w:lineRule="auto"/>
        <w:ind w:firstLine="284"/>
        <w:jc w:val="both"/>
        <w:rPr>
          <w:rFonts w:ascii="Arial Narrow" w:hAnsi="Arial Narrow"/>
          <w:sz w:val="24"/>
          <w:szCs w:val="24"/>
        </w:rPr>
      </w:pPr>
      <w:r w:rsidRPr="00B07AB8">
        <w:rPr>
          <w:rFonts w:ascii="Arial Narrow" w:hAnsi="Arial Narrow"/>
          <w:sz w:val="24"/>
          <w:szCs w:val="24"/>
        </w:rPr>
        <w:t xml:space="preserve">В целях осуществления общественного контроля за деятельностью естественных монополий создан Общественный совет при департаменте по тарифам Новосибирской области. Состав Общественного совета и положение о его деятельности утверждены приказом Департамента по тарифам Новосибирской области от 30.04.2014 № 67. Согласно п. 8 Положения об </w:t>
      </w:r>
      <w:r w:rsidRPr="00B07AB8">
        <w:rPr>
          <w:rFonts w:ascii="Arial Narrow" w:hAnsi="Arial Narrow"/>
          <w:bCs/>
          <w:sz w:val="24"/>
          <w:szCs w:val="24"/>
        </w:rPr>
        <w:t xml:space="preserve">Общественном совете при Департаменте по тарифам Новосибирской области, Общественный Совет проводит </w:t>
      </w:r>
      <w:r w:rsidRPr="00B07AB8">
        <w:rPr>
          <w:rFonts w:ascii="Arial Narrow" w:hAnsi="Arial Narrow"/>
          <w:sz w:val="24"/>
          <w:szCs w:val="24"/>
        </w:rPr>
        <w:t xml:space="preserve">общественный контроль за исполнением утвержденных инвестиционных программ субъектов естественных монополий. </w:t>
      </w:r>
    </w:p>
    <w:p w:rsidR="00B07AB8" w:rsidRPr="00B07AB8" w:rsidRDefault="00B07AB8" w:rsidP="004865F9">
      <w:pPr>
        <w:spacing w:after="0" w:line="360" w:lineRule="auto"/>
        <w:ind w:firstLine="284"/>
        <w:jc w:val="both"/>
        <w:rPr>
          <w:rFonts w:ascii="Arial Narrow" w:hAnsi="Arial Narrow"/>
        </w:rPr>
      </w:pPr>
      <w:r w:rsidRPr="00B07AB8">
        <w:rPr>
          <w:rFonts w:ascii="Arial Narrow" w:hAnsi="Arial Narrow"/>
          <w:sz w:val="24"/>
          <w:szCs w:val="24"/>
        </w:rPr>
        <w:t>В 2016 г. и ранее общественный контроль не проводился. Оценку эффективности реализации инвестиционных программ и отдельных инвестиционных проектов субъектов естественных монополий со стороны потребителей товаров, работ и услуг, задействованных в механизмах общественного контроля за деятельностью субъектов естественных монополий, в том числе информации о мероприятиях и деятельности, осуществляемой в рамках проводимой оценки, о количестве инвестиционных программ и проектов, прошедших такую оценку в отчетном периоде (году), об их доле в общем числе инвестиционных программ и проектов, реализуемых в Новосибирской области, возможно осуществить по факту проведения процедур общественного контроля в последующие отчетные периоды.</w:t>
      </w:r>
      <w:r w:rsidRPr="00B07AB8">
        <w:rPr>
          <w:rFonts w:ascii="Arial Narrow" w:hAnsi="Arial Narrow"/>
        </w:rPr>
        <w:br w:type="page"/>
      </w:r>
    </w:p>
    <w:p w:rsidR="00B07AB8" w:rsidRPr="00B07AB8" w:rsidRDefault="00B07AB8" w:rsidP="00B07AB8">
      <w:pPr>
        <w:pStyle w:val="2"/>
        <w:jc w:val="both"/>
        <w:rPr>
          <w:rFonts w:ascii="Arial Narrow" w:hAnsi="Arial Narrow"/>
        </w:rPr>
      </w:pPr>
      <w:bookmarkStart w:id="71" w:name="_Toc475464693"/>
      <w:bookmarkStart w:id="72" w:name="_Toc475532278"/>
      <w:r w:rsidRPr="00B07AB8">
        <w:rPr>
          <w:rFonts w:ascii="Arial Narrow" w:hAnsi="Arial Narrow"/>
        </w:rPr>
        <w:lastRenderedPageBreak/>
        <w:t>5.7. Выводы и предложения</w:t>
      </w:r>
      <w:bookmarkEnd w:id="71"/>
      <w:bookmarkEnd w:id="72"/>
    </w:p>
    <w:p w:rsidR="00B07AB8" w:rsidRPr="00B07AB8" w:rsidRDefault="00B07AB8" w:rsidP="00B07AB8">
      <w:pPr>
        <w:outlineLvl w:val="0"/>
        <w:rPr>
          <w:rFonts w:ascii="Arial Narrow" w:hAnsi="Arial Narrow"/>
        </w:rPr>
      </w:pPr>
    </w:p>
    <w:p w:rsidR="00B07AB8" w:rsidRPr="00103148" w:rsidRDefault="00B07AB8" w:rsidP="00103148">
      <w:pPr>
        <w:spacing w:after="0" w:line="312" w:lineRule="auto"/>
        <w:ind w:firstLine="284"/>
        <w:jc w:val="both"/>
        <w:rPr>
          <w:rFonts w:ascii="Arial Narrow" w:hAnsi="Arial Narrow"/>
          <w:b/>
        </w:rPr>
      </w:pPr>
      <w:r w:rsidRPr="00103148">
        <w:rPr>
          <w:rFonts w:ascii="Arial Narrow" w:hAnsi="Arial Narrow"/>
          <w:b/>
        </w:rPr>
        <w:t>Выводы по результатам Мониторинга деятельности субъектов естественных монополий на территории Новосибирской области сделаны по показателям, согласно документу Показатели и инструментарий научно-исследовательской работы по теме: «Мониторинг состояния и развития конкурентной среды на рынках товаров, работ и услуг Новосибирской области за 2016 год» (также представлен в Приложении 1 к настоящему отчету).</w:t>
      </w:r>
    </w:p>
    <w:p w:rsidR="00B07AB8" w:rsidRPr="00103148" w:rsidRDefault="00B07AB8" w:rsidP="00103148">
      <w:pPr>
        <w:spacing w:after="0" w:line="312" w:lineRule="auto"/>
        <w:ind w:firstLine="284"/>
        <w:jc w:val="both"/>
        <w:rPr>
          <w:rFonts w:ascii="Arial Narrow" w:hAnsi="Arial Narrow"/>
        </w:rPr>
      </w:pPr>
    </w:p>
    <w:p w:rsidR="00B07AB8" w:rsidRPr="00103148" w:rsidRDefault="00B07AB8" w:rsidP="00103148">
      <w:pPr>
        <w:spacing w:after="0" w:line="312" w:lineRule="auto"/>
        <w:ind w:firstLine="284"/>
        <w:jc w:val="both"/>
        <w:rPr>
          <w:rFonts w:ascii="Arial Narrow" w:hAnsi="Arial Narrow"/>
          <w:b/>
        </w:rPr>
      </w:pPr>
      <w:r w:rsidRPr="00103148">
        <w:rPr>
          <w:rFonts w:ascii="Arial Narrow" w:hAnsi="Arial Narrow"/>
          <w:b/>
        </w:rPr>
        <w:t>Значения показателя 4.1</w:t>
      </w:r>
      <w:r w:rsidRPr="00103148">
        <w:rPr>
          <w:rFonts w:ascii="Arial Narrow" w:hAnsi="Arial Narrow"/>
          <w:b/>
          <w:vertAlign w:val="superscript"/>
        </w:rPr>
        <w:footnoteReference w:id="1"/>
      </w:r>
      <w:r w:rsidRPr="00103148">
        <w:rPr>
          <w:rFonts w:ascii="Arial Narrow" w:hAnsi="Arial Narrow"/>
          <w:b/>
        </w:rPr>
        <w:t>. Перечень субъектов естественных монополий, наименования.</w:t>
      </w:r>
    </w:p>
    <w:p w:rsidR="00B07AB8" w:rsidRPr="00103148" w:rsidRDefault="00B07AB8" w:rsidP="00103148">
      <w:pPr>
        <w:spacing w:after="0" w:line="312" w:lineRule="auto"/>
        <w:ind w:firstLine="284"/>
        <w:jc w:val="both"/>
        <w:rPr>
          <w:rFonts w:ascii="Arial Narrow" w:hAnsi="Arial Narrow"/>
        </w:rPr>
      </w:pPr>
      <w:r w:rsidRPr="00103148">
        <w:rPr>
          <w:rFonts w:ascii="Arial Narrow" w:hAnsi="Arial Narrow"/>
        </w:rPr>
        <w:t>Перечень рынков, на которых присутствуют субъекты естественных монополий в Новосибирской области, составлен на основе Реестра субъектов естественных монополий, в отношении которых осуществляется государственное регулирование и контроль, размещенного на официальном интернет-сайте Федеральной антимонопольной службы (</w:t>
      </w:r>
      <w:hyperlink r:id="rId96" w:history="1">
        <w:r w:rsidRPr="00103148">
          <w:rPr>
            <w:rStyle w:val="ac"/>
            <w:rFonts w:ascii="Arial Narrow" w:hAnsi="Arial Narrow"/>
          </w:rPr>
          <w:t>http://fas.gov.ru/activity/tariffregulation/reestr-subektov-estestvennyix-monopolij.html</w:t>
        </w:r>
      </w:hyperlink>
      <w:hyperlink r:id="rId97" w:history="1"/>
      <w:r w:rsidRPr="00103148">
        <w:rPr>
          <w:rFonts w:ascii="Arial Narrow" w:hAnsi="Arial Narrow"/>
        </w:rPr>
        <w:t>). В его составе – 125 организаций и 6 рынков.</w:t>
      </w:r>
    </w:p>
    <w:p w:rsidR="00B07AB8" w:rsidRPr="00103148" w:rsidRDefault="00B07AB8" w:rsidP="00103148">
      <w:pPr>
        <w:spacing w:after="0" w:line="312" w:lineRule="auto"/>
        <w:rPr>
          <w:rFonts w:ascii="Arial Narrow" w:hAnsi="Arial Narrow"/>
          <w:b/>
        </w:rPr>
      </w:pPr>
    </w:p>
    <w:p w:rsidR="00B07AB8" w:rsidRPr="00103148" w:rsidRDefault="00B07AB8" w:rsidP="00103148">
      <w:pPr>
        <w:spacing w:after="0" w:line="312" w:lineRule="auto"/>
        <w:rPr>
          <w:rFonts w:ascii="Arial Narrow" w:hAnsi="Arial Narrow"/>
          <w:b/>
        </w:rPr>
      </w:pPr>
      <w:r w:rsidRPr="00103148">
        <w:rPr>
          <w:rFonts w:ascii="Arial Narrow" w:hAnsi="Arial Narrow"/>
        </w:rPr>
        <w:t xml:space="preserve">Таблица </w:t>
      </w:r>
      <w:r w:rsidR="00614BC7" w:rsidRPr="00103148">
        <w:rPr>
          <w:rFonts w:ascii="Arial Narrow" w:hAnsi="Arial Narrow"/>
        </w:rPr>
        <w:t>5</w:t>
      </w:r>
      <w:r w:rsidR="00A43AC6" w:rsidRPr="00103148">
        <w:rPr>
          <w:rFonts w:ascii="Arial Narrow" w:hAnsi="Arial Narrow"/>
        </w:rPr>
        <w:t>.</w:t>
      </w:r>
      <w:r w:rsidRPr="00103148">
        <w:rPr>
          <w:rFonts w:ascii="Arial Narrow" w:hAnsi="Arial Narrow"/>
        </w:rPr>
        <w:t>9</w:t>
      </w:r>
      <w:r w:rsidR="00A43AC6" w:rsidRPr="00103148">
        <w:rPr>
          <w:rFonts w:ascii="Arial Narrow" w:hAnsi="Arial Narrow"/>
        </w:rPr>
        <w:t>.</w:t>
      </w:r>
      <w:r w:rsidRPr="00103148">
        <w:rPr>
          <w:rFonts w:ascii="Arial Narrow" w:hAnsi="Arial Narrow"/>
        </w:rPr>
        <w:t xml:space="preserve"> </w:t>
      </w:r>
      <w:r w:rsidRPr="00103148">
        <w:rPr>
          <w:rFonts w:ascii="Arial Narrow" w:hAnsi="Arial Narrow"/>
          <w:b/>
        </w:rPr>
        <w:t>– Значения показателя 4.1</w:t>
      </w:r>
      <w:r w:rsidRPr="00103148">
        <w:rPr>
          <w:rFonts w:ascii="Arial Narrow" w:hAnsi="Arial Narrow"/>
          <w:b/>
          <w:vertAlign w:val="superscript"/>
        </w:rPr>
        <w:footnoteReference w:id="2"/>
      </w:r>
      <w:r w:rsidRPr="00103148">
        <w:rPr>
          <w:rFonts w:ascii="Arial Narrow" w:hAnsi="Arial Narrow"/>
          <w:b/>
        </w:rPr>
        <w:t>. Перечень субъектов естественных монополий, наименования</w:t>
      </w:r>
    </w:p>
    <w:tbl>
      <w:tblPr>
        <w:tblW w:w="9923" w:type="dxa"/>
        <w:tblInd w:w="108" w:type="dxa"/>
        <w:tblLook w:val="04A0"/>
      </w:tblPr>
      <w:tblGrid>
        <w:gridCol w:w="620"/>
        <w:gridCol w:w="1785"/>
        <w:gridCol w:w="7518"/>
      </w:tblGrid>
      <w:tr w:rsidR="00B07AB8" w:rsidRPr="00B07AB8" w:rsidTr="004865F9">
        <w:trPr>
          <w:trHeight w:val="612"/>
        </w:trPr>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07AB8" w:rsidRPr="00B07AB8" w:rsidRDefault="00B07AB8" w:rsidP="00103148">
            <w:pPr>
              <w:spacing w:after="0" w:line="240" w:lineRule="auto"/>
              <w:jc w:val="both"/>
              <w:rPr>
                <w:rFonts w:ascii="Arial Narrow" w:hAnsi="Arial Narrow"/>
                <w:sz w:val="20"/>
                <w:szCs w:val="20"/>
              </w:rPr>
            </w:pPr>
            <w:r w:rsidRPr="00B07AB8">
              <w:rPr>
                <w:rFonts w:ascii="Arial Narrow" w:hAnsi="Arial Narrow"/>
                <w:sz w:val="20"/>
                <w:szCs w:val="20"/>
              </w:rPr>
              <w:t>№</w:t>
            </w:r>
          </w:p>
        </w:tc>
        <w:tc>
          <w:tcPr>
            <w:tcW w:w="1785" w:type="dxa"/>
            <w:tcBorders>
              <w:top w:val="single" w:sz="4" w:space="0" w:color="auto"/>
              <w:left w:val="nil"/>
              <w:bottom w:val="single" w:sz="4" w:space="0" w:color="auto"/>
              <w:right w:val="single" w:sz="4" w:space="0" w:color="auto"/>
            </w:tcBorders>
            <w:shd w:val="clear" w:color="auto" w:fill="auto"/>
            <w:vAlign w:val="center"/>
            <w:hideMark/>
          </w:tcPr>
          <w:p w:rsidR="00B07AB8" w:rsidRPr="00B07AB8" w:rsidRDefault="00B07AB8" w:rsidP="004865F9">
            <w:pPr>
              <w:spacing w:after="0" w:line="240" w:lineRule="auto"/>
              <w:jc w:val="center"/>
              <w:rPr>
                <w:rFonts w:ascii="Arial Narrow" w:hAnsi="Arial Narrow"/>
                <w:sz w:val="20"/>
                <w:szCs w:val="20"/>
              </w:rPr>
            </w:pPr>
            <w:r w:rsidRPr="00B07AB8">
              <w:rPr>
                <w:rFonts w:ascii="Arial Narrow" w:hAnsi="Arial Narrow"/>
                <w:sz w:val="20"/>
                <w:szCs w:val="20"/>
              </w:rPr>
              <w:t>Наименование показателя, единица измерения</w:t>
            </w:r>
          </w:p>
        </w:tc>
        <w:tc>
          <w:tcPr>
            <w:tcW w:w="7518" w:type="dxa"/>
            <w:tcBorders>
              <w:top w:val="single" w:sz="4" w:space="0" w:color="auto"/>
              <w:left w:val="nil"/>
              <w:bottom w:val="single" w:sz="4" w:space="0" w:color="auto"/>
              <w:right w:val="single" w:sz="4" w:space="0" w:color="auto"/>
            </w:tcBorders>
            <w:vAlign w:val="center"/>
          </w:tcPr>
          <w:p w:rsidR="00B07AB8" w:rsidRPr="00B07AB8" w:rsidRDefault="00B07AB8" w:rsidP="004865F9">
            <w:pPr>
              <w:spacing w:after="0" w:line="240" w:lineRule="auto"/>
              <w:jc w:val="center"/>
              <w:rPr>
                <w:rFonts w:ascii="Arial Narrow" w:hAnsi="Arial Narrow"/>
                <w:sz w:val="20"/>
                <w:szCs w:val="20"/>
              </w:rPr>
            </w:pPr>
            <w:r w:rsidRPr="00B07AB8">
              <w:rPr>
                <w:rFonts w:ascii="Arial Narrow" w:hAnsi="Arial Narrow"/>
                <w:sz w:val="20"/>
                <w:szCs w:val="20"/>
              </w:rPr>
              <w:t>Значение показателя</w:t>
            </w:r>
          </w:p>
        </w:tc>
      </w:tr>
      <w:tr w:rsidR="00B07AB8" w:rsidRPr="00B07AB8" w:rsidTr="00103148">
        <w:trPr>
          <w:trHeight w:val="612"/>
        </w:trPr>
        <w:tc>
          <w:tcPr>
            <w:tcW w:w="620" w:type="dxa"/>
            <w:tcBorders>
              <w:top w:val="single" w:sz="4" w:space="0" w:color="auto"/>
              <w:left w:val="single" w:sz="4" w:space="0" w:color="auto"/>
              <w:bottom w:val="single" w:sz="4" w:space="0" w:color="auto"/>
              <w:right w:val="single" w:sz="4" w:space="0" w:color="auto"/>
            </w:tcBorders>
            <w:shd w:val="clear" w:color="auto" w:fill="auto"/>
            <w:vAlign w:val="center"/>
          </w:tcPr>
          <w:p w:rsidR="00B07AB8" w:rsidRPr="00B07AB8" w:rsidRDefault="00B07AB8" w:rsidP="00103148">
            <w:pPr>
              <w:spacing w:after="0" w:line="240" w:lineRule="auto"/>
              <w:jc w:val="both"/>
              <w:rPr>
                <w:rFonts w:ascii="Arial Narrow" w:hAnsi="Arial Narrow"/>
                <w:sz w:val="20"/>
                <w:szCs w:val="20"/>
              </w:rPr>
            </w:pPr>
            <w:r w:rsidRPr="00B07AB8">
              <w:rPr>
                <w:rFonts w:ascii="Arial Narrow" w:hAnsi="Arial Narrow"/>
                <w:sz w:val="20"/>
                <w:szCs w:val="20"/>
              </w:rPr>
              <w:t>4.1.</w:t>
            </w:r>
          </w:p>
        </w:tc>
        <w:tc>
          <w:tcPr>
            <w:tcW w:w="1785" w:type="dxa"/>
            <w:tcBorders>
              <w:top w:val="single" w:sz="4" w:space="0" w:color="auto"/>
              <w:left w:val="nil"/>
              <w:bottom w:val="single" w:sz="4" w:space="0" w:color="auto"/>
              <w:right w:val="single" w:sz="4" w:space="0" w:color="auto"/>
            </w:tcBorders>
            <w:shd w:val="clear" w:color="auto" w:fill="auto"/>
            <w:vAlign w:val="center"/>
          </w:tcPr>
          <w:p w:rsidR="00B07AB8" w:rsidRPr="00B07AB8" w:rsidRDefault="00B07AB8" w:rsidP="00103148">
            <w:pPr>
              <w:spacing w:after="0" w:line="240" w:lineRule="auto"/>
              <w:jc w:val="both"/>
              <w:rPr>
                <w:rFonts w:ascii="Arial Narrow" w:hAnsi="Arial Narrow"/>
                <w:sz w:val="20"/>
                <w:szCs w:val="20"/>
              </w:rPr>
            </w:pPr>
            <w:r w:rsidRPr="00B07AB8">
              <w:rPr>
                <w:rFonts w:ascii="Arial Narrow" w:hAnsi="Arial Narrow"/>
                <w:b/>
                <w:bCs/>
                <w:sz w:val="20"/>
                <w:szCs w:val="20"/>
              </w:rPr>
              <w:t>Перечень субъектов естественных монополий, наименования</w:t>
            </w:r>
          </w:p>
        </w:tc>
        <w:tc>
          <w:tcPr>
            <w:tcW w:w="7518" w:type="dxa"/>
            <w:tcBorders>
              <w:top w:val="single" w:sz="4" w:space="0" w:color="auto"/>
              <w:left w:val="nil"/>
              <w:bottom w:val="single" w:sz="4" w:space="0" w:color="auto"/>
              <w:right w:val="single" w:sz="4" w:space="0" w:color="auto"/>
            </w:tcBorders>
          </w:tcPr>
          <w:p w:rsidR="00B07AB8" w:rsidRPr="00B07AB8" w:rsidRDefault="00B07AB8" w:rsidP="00103148">
            <w:pPr>
              <w:spacing w:after="0" w:line="240" w:lineRule="auto"/>
              <w:jc w:val="both"/>
              <w:rPr>
                <w:rFonts w:ascii="Arial Narrow" w:hAnsi="Arial Narrow"/>
                <w:sz w:val="20"/>
                <w:szCs w:val="20"/>
              </w:rPr>
            </w:pPr>
            <w:r w:rsidRPr="00B07AB8">
              <w:rPr>
                <w:rFonts w:ascii="Arial Narrow" w:hAnsi="Arial Narrow"/>
                <w:sz w:val="20"/>
                <w:szCs w:val="20"/>
              </w:rPr>
              <w:t xml:space="preserve">1. Услуги по передаче электрической и (или) тепловой энергии. </w:t>
            </w:r>
          </w:p>
          <w:p w:rsidR="00B07AB8" w:rsidRPr="00B07AB8" w:rsidRDefault="00B07AB8" w:rsidP="00103148">
            <w:pPr>
              <w:spacing w:after="0" w:line="240" w:lineRule="auto"/>
              <w:jc w:val="both"/>
              <w:rPr>
                <w:rFonts w:ascii="Arial Narrow" w:hAnsi="Arial Narrow"/>
                <w:sz w:val="20"/>
                <w:szCs w:val="20"/>
              </w:rPr>
            </w:pPr>
            <w:r w:rsidRPr="00B07AB8">
              <w:rPr>
                <w:rFonts w:ascii="Arial Narrow" w:hAnsi="Arial Narrow"/>
                <w:sz w:val="20"/>
                <w:szCs w:val="20"/>
              </w:rPr>
              <w:t>2. Водоснабжение и водоотведение с использованием централизованных систем, систем коммунальной инфраструктуры.</w:t>
            </w:r>
          </w:p>
          <w:p w:rsidR="00B07AB8" w:rsidRPr="00B07AB8" w:rsidRDefault="00B07AB8" w:rsidP="00103148">
            <w:pPr>
              <w:spacing w:after="0" w:line="240" w:lineRule="auto"/>
              <w:jc w:val="both"/>
              <w:rPr>
                <w:rFonts w:ascii="Arial Narrow" w:hAnsi="Arial Narrow"/>
                <w:sz w:val="20"/>
                <w:szCs w:val="20"/>
              </w:rPr>
            </w:pPr>
            <w:r w:rsidRPr="00B07AB8">
              <w:rPr>
                <w:rFonts w:ascii="Arial Narrow" w:hAnsi="Arial Narrow"/>
                <w:sz w:val="20"/>
                <w:szCs w:val="20"/>
              </w:rPr>
              <w:t>3. Транспортировка газа по трубопроводам.</w:t>
            </w:r>
          </w:p>
          <w:p w:rsidR="00B07AB8" w:rsidRPr="00B07AB8" w:rsidRDefault="00B07AB8" w:rsidP="00103148">
            <w:pPr>
              <w:spacing w:after="0" w:line="240" w:lineRule="auto"/>
              <w:jc w:val="both"/>
              <w:rPr>
                <w:rFonts w:ascii="Arial Narrow" w:hAnsi="Arial Narrow"/>
                <w:sz w:val="20"/>
                <w:szCs w:val="20"/>
              </w:rPr>
            </w:pPr>
            <w:r w:rsidRPr="00B07AB8">
              <w:rPr>
                <w:rFonts w:ascii="Arial Narrow" w:hAnsi="Arial Narrow"/>
                <w:sz w:val="20"/>
                <w:szCs w:val="20"/>
              </w:rPr>
              <w:t>4. Железнодорожные перевозки.</w:t>
            </w:r>
          </w:p>
          <w:p w:rsidR="00B07AB8" w:rsidRPr="00B07AB8" w:rsidRDefault="00B07AB8" w:rsidP="00103148">
            <w:pPr>
              <w:spacing w:after="0" w:line="240" w:lineRule="auto"/>
              <w:jc w:val="both"/>
              <w:rPr>
                <w:rFonts w:ascii="Arial Narrow" w:hAnsi="Arial Narrow"/>
                <w:sz w:val="20"/>
                <w:szCs w:val="20"/>
              </w:rPr>
            </w:pPr>
            <w:r w:rsidRPr="00B07AB8">
              <w:rPr>
                <w:rFonts w:ascii="Arial Narrow" w:hAnsi="Arial Narrow"/>
                <w:sz w:val="20"/>
                <w:szCs w:val="20"/>
              </w:rPr>
              <w:t>5. Услуги аэропортов.</w:t>
            </w:r>
          </w:p>
          <w:p w:rsidR="00B07AB8" w:rsidRPr="00B07AB8" w:rsidRDefault="00B07AB8" w:rsidP="00103148">
            <w:pPr>
              <w:spacing w:after="0" w:line="240" w:lineRule="auto"/>
              <w:jc w:val="both"/>
              <w:rPr>
                <w:rFonts w:ascii="Arial Narrow" w:hAnsi="Arial Narrow"/>
                <w:sz w:val="20"/>
                <w:szCs w:val="20"/>
              </w:rPr>
            </w:pPr>
            <w:r w:rsidRPr="00B07AB8">
              <w:rPr>
                <w:rFonts w:ascii="Arial Narrow" w:hAnsi="Arial Narrow"/>
                <w:sz w:val="20"/>
                <w:szCs w:val="20"/>
              </w:rPr>
              <w:t>6. Услуги в портах и (или) транспортных терминалах, услуги по использованию инфраструктуры внутренних водных путей.</w:t>
            </w:r>
          </w:p>
        </w:tc>
      </w:tr>
    </w:tbl>
    <w:p w:rsidR="00B07AB8" w:rsidRPr="00B07AB8" w:rsidRDefault="00B07AB8" w:rsidP="00103148">
      <w:pPr>
        <w:spacing w:after="0" w:line="312" w:lineRule="auto"/>
        <w:ind w:firstLine="567"/>
        <w:jc w:val="both"/>
        <w:outlineLvl w:val="0"/>
        <w:rPr>
          <w:rFonts w:ascii="Arial Narrow" w:hAnsi="Arial Narrow"/>
          <w:b/>
          <w:sz w:val="24"/>
          <w:szCs w:val="24"/>
        </w:rPr>
      </w:pPr>
    </w:p>
    <w:p w:rsidR="00B07AB8" w:rsidRPr="00103148" w:rsidRDefault="00B07AB8" w:rsidP="00103148">
      <w:pPr>
        <w:spacing w:after="0" w:line="312" w:lineRule="auto"/>
        <w:ind w:firstLine="284"/>
        <w:jc w:val="both"/>
        <w:rPr>
          <w:rFonts w:ascii="Arial Narrow" w:hAnsi="Arial Narrow"/>
          <w:b/>
        </w:rPr>
      </w:pPr>
      <w:r w:rsidRPr="00103148">
        <w:rPr>
          <w:rFonts w:ascii="Arial Narrow" w:hAnsi="Arial Narrow"/>
          <w:b/>
        </w:rPr>
        <w:t>Значения показателя 4.2. Динамика тарифов (цен) за отчетный (2016 г.) и предшествующий отчетному (2015 г.) периоды, установленных региональным органом по регулированию тарифов на рынках присутствия субъектов естественных монополий на территории Новосибирской области, % к отчетному периоду</w:t>
      </w:r>
    </w:p>
    <w:p w:rsidR="00B07AB8" w:rsidRPr="00103148" w:rsidRDefault="00B07AB8" w:rsidP="00103148">
      <w:pPr>
        <w:spacing w:after="0" w:line="312" w:lineRule="auto"/>
        <w:ind w:firstLine="284"/>
        <w:jc w:val="both"/>
        <w:rPr>
          <w:rFonts w:ascii="Arial Narrow" w:hAnsi="Arial Narrow"/>
        </w:rPr>
      </w:pPr>
      <w:r w:rsidRPr="00103148">
        <w:rPr>
          <w:rFonts w:ascii="Arial Narrow" w:hAnsi="Arial Narrow"/>
        </w:rPr>
        <w:t xml:space="preserve">Установление тарифов (цен) на коммунальные ресурсы (услуги) в Новосибирской области осуществляется в соответствии с федеральным законодательством, регламентирующим вопросы ценового регулирования в соответствующих сферах деятельности, и параметрами согласованных Правительством Российской Федерации прогнозов социально-экономического развития страны на очередной и плановый период, определяющих ежегодные сроки и темпы роста (индексации) тарифов (цен) на продукцию (услуги) в инфраструктурных отраслях, а также повышения платы населения за коммунальные услуги, которая составляет для Новосибирской области 3,5 % </w:t>
      </w:r>
      <w:r w:rsidRPr="00103148">
        <w:rPr>
          <w:rFonts w:ascii="Arial Narrow" w:hAnsi="Arial Narrow"/>
        </w:rPr>
        <w:lastRenderedPageBreak/>
        <w:t>(Распоряжение Правительства Российской Федерации от 28.10.2015 № 2182-р). Тарифы на железнодорожные перевозки пассажиров в пригородном сообщении не претерпели изменений за 2016 г.</w:t>
      </w:r>
    </w:p>
    <w:p w:rsidR="00B07AB8" w:rsidRPr="00103148" w:rsidRDefault="00B07AB8" w:rsidP="00103148">
      <w:pPr>
        <w:spacing w:after="0" w:line="312" w:lineRule="auto"/>
        <w:jc w:val="both"/>
        <w:rPr>
          <w:rFonts w:ascii="Arial Narrow" w:hAnsi="Arial Narrow"/>
          <w:b/>
        </w:rPr>
      </w:pPr>
    </w:p>
    <w:p w:rsidR="00B07AB8" w:rsidRPr="004865F9" w:rsidRDefault="00B07AB8" w:rsidP="004865F9">
      <w:pPr>
        <w:spacing w:after="0" w:line="240" w:lineRule="auto"/>
        <w:rPr>
          <w:rFonts w:ascii="Arial Narrow" w:hAnsi="Arial Narrow"/>
          <w:b/>
          <w:sz w:val="24"/>
          <w:szCs w:val="24"/>
        </w:rPr>
      </w:pPr>
      <w:r w:rsidRPr="004865F9">
        <w:rPr>
          <w:rFonts w:ascii="Arial Narrow" w:hAnsi="Arial Narrow"/>
          <w:sz w:val="24"/>
          <w:szCs w:val="24"/>
        </w:rPr>
        <w:t xml:space="preserve">Таблица </w:t>
      </w:r>
      <w:r w:rsidR="00614BC7" w:rsidRPr="004865F9">
        <w:rPr>
          <w:rFonts w:ascii="Arial Narrow" w:hAnsi="Arial Narrow"/>
          <w:sz w:val="24"/>
          <w:szCs w:val="24"/>
        </w:rPr>
        <w:t>5</w:t>
      </w:r>
      <w:r w:rsidR="00A43AC6" w:rsidRPr="004865F9">
        <w:rPr>
          <w:rFonts w:ascii="Arial Narrow" w:hAnsi="Arial Narrow"/>
          <w:sz w:val="24"/>
          <w:szCs w:val="24"/>
        </w:rPr>
        <w:t>.</w:t>
      </w:r>
      <w:r w:rsidRPr="004865F9">
        <w:rPr>
          <w:rFonts w:ascii="Arial Narrow" w:hAnsi="Arial Narrow"/>
          <w:sz w:val="24"/>
          <w:szCs w:val="24"/>
        </w:rPr>
        <w:t>10</w:t>
      </w:r>
      <w:r w:rsidR="00A43AC6" w:rsidRPr="004865F9">
        <w:rPr>
          <w:rFonts w:ascii="Arial Narrow" w:hAnsi="Arial Narrow"/>
          <w:sz w:val="24"/>
          <w:szCs w:val="24"/>
        </w:rPr>
        <w:t>.</w:t>
      </w:r>
      <w:r w:rsidRPr="004865F9">
        <w:rPr>
          <w:rFonts w:ascii="Arial Narrow" w:hAnsi="Arial Narrow"/>
          <w:b/>
          <w:sz w:val="24"/>
          <w:szCs w:val="24"/>
        </w:rPr>
        <w:t xml:space="preserve"> – Значения показателя 4.2. Динамика тарифов (цен) за отчетный (2016 г.) и предшествующий отчетному (2015 г.) периоды, установленных региональным органом по регулированию тарифов на рынках присутствия субъектов естественных монополий на территории Новосибирской области, % к отчетному периоду</w:t>
      </w:r>
    </w:p>
    <w:tbl>
      <w:tblPr>
        <w:tblW w:w="9892" w:type="dxa"/>
        <w:tblInd w:w="-5" w:type="dxa"/>
        <w:tblLook w:val="04A0"/>
      </w:tblPr>
      <w:tblGrid>
        <w:gridCol w:w="764"/>
        <w:gridCol w:w="7146"/>
        <w:gridCol w:w="1982"/>
      </w:tblGrid>
      <w:tr w:rsidR="00B07AB8" w:rsidRPr="00B07AB8" w:rsidTr="00103148">
        <w:tc>
          <w:tcPr>
            <w:tcW w:w="764" w:type="dxa"/>
            <w:tcBorders>
              <w:top w:val="single" w:sz="4" w:space="0" w:color="auto"/>
              <w:left w:val="single" w:sz="4" w:space="0" w:color="auto"/>
              <w:bottom w:val="single" w:sz="4" w:space="0" w:color="auto"/>
              <w:right w:val="single" w:sz="4" w:space="0" w:color="auto"/>
            </w:tcBorders>
            <w:shd w:val="clear" w:color="000000" w:fill="FFFFFF"/>
            <w:vAlign w:val="center"/>
          </w:tcPr>
          <w:p w:rsidR="00B07AB8" w:rsidRPr="00B07AB8" w:rsidRDefault="00B07AB8" w:rsidP="00103148">
            <w:pPr>
              <w:spacing w:after="0" w:line="312" w:lineRule="auto"/>
              <w:jc w:val="center"/>
              <w:rPr>
                <w:rFonts w:ascii="Arial Narrow" w:hAnsi="Arial Narrow"/>
                <w:sz w:val="20"/>
                <w:szCs w:val="20"/>
              </w:rPr>
            </w:pPr>
            <w:r w:rsidRPr="00B07AB8">
              <w:rPr>
                <w:rFonts w:ascii="Arial Narrow" w:hAnsi="Arial Narrow"/>
                <w:sz w:val="20"/>
                <w:szCs w:val="20"/>
              </w:rPr>
              <w:t>№</w:t>
            </w:r>
          </w:p>
        </w:tc>
        <w:tc>
          <w:tcPr>
            <w:tcW w:w="7146" w:type="dxa"/>
            <w:tcBorders>
              <w:top w:val="single" w:sz="4" w:space="0" w:color="auto"/>
              <w:left w:val="nil"/>
              <w:bottom w:val="single" w:sz="4" w:space="0" w:color="auto"/>
              <w:right w:val="single" w:sz="4" w:space="0" w:color="auto"/>
            </w:tcBorders>
            <w:shd w:val="clear" w:color="000000" w:fill="FFFFFF"/>
            <w:vAlign w:val="center"/>
          </w:tcPr>
          <w:p w:rsidR="00B07AB8" w:rsidRPr="00B07AB8" w:rsidRDefault="00B07AB8" w:rsidP="00103148">
            <w:pPr>
              <w:spacing w:after="0" w:line="312" w:lineRule="auto"/>
              <w:jc w:val="center"/>
              <w:rPr>
                <w:rFonts w:ascii="Arial Narrow" w:hAnsi="Arial Narrow"/>
                <w:sz w:val="20"/>
                <w:szCs w:val="20"/>
              </w:rPr>
            </w:pPr>
            <w:r w:rsidRPr="00B07AB8">
              <w:rPr>
                <w:rFonts w:ascii="Arial Narrow" w:hAnsi="Arial Narrow"/>
                <w:sz w:val="20"/>
                <w:szCs w:val="20"/>
              </w:rPr>
              <w:t>Наименование показателя</w:t>
            </w:r>
          </w:p>
        </w:tc>
        <w:tc>
          <w:tcPr>
            <w:tcW w:w="1982" w:type="dxa"/>
            <w:tcBorders>
              <w:top w:val="single" w:sz="4" w:space="0" w:color="auto"/>
              <w:left w:val="nil"/>
              <w:bottom w:val="single" w:sz="4" w:space="0" w:color="auto"/>
              <w:right w:val="single" w:sz="4" w:space="0" w:color="auto"/>
            </w:tcBorders>
            <w:shd w:val="clear" w:color="000000" w:fill="FFFFFF"/>
            <w:vAlign w:val="center"/>
          </w:tcPr>
          <w:p w:rsidR="00B07AB8" w:rsidRPr="00B07AB8" w:rsidRDefault="00B07AB8" w:rsidP="00103148">
            <w:pPr>
              <w:spacing w:after="0" w:line="312" w:lineRule="auto"/>
              <w:jc w:val="center"/>
              <w:rPr>
                <w:rFonts w:ascii="Arial Narrow" w:hAnsi="Arial Narrow"/>
                <w:sz w:val="20"/>
                <w:szCs w:val="20"/>
              </w:rPr>
            </w:pPr>
            <w:r w:rsidRPr="00B07AB8">
              <w:rPr>
                <w:rFonts w:ascii="Arial Narrow" w:hAnsi="Arial Narrow"/>
                <w:sz w:val="20"/>
                <w:szCs w:val="20"/>
              </w:rPr>
              <w:t>Значение показателя</w:t>
            </w:r>
          </w:p>
        </w:tc>
      </w:tr>
      <w:tr w:rsidR="00B07AB8" w:rsidRPr="00B07AB8" w:rsidTr="00103148">
        <w:tc>
          <w:tcPr>
            <w:tcW w:w="76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07AB8" w:rsidRPr="00B07AB8" w:rsidRDefault="00B07AB8" w:rsidP="00103148">
            <w:pPr>
              <w:spacing w:after="0" w:line="312" w:lineRule="auto"/>
              <w:jc w:val="both"/>
              <w:rPr>
                <w:rFonts w:ascii="Arial Narrow" w:hAnsi="Arial Narrow"/>
                <w:b/>
                <w:sz w:val="20"/>
                <w:szCs w:val="20"/>
              </w:rPr>
            </w:pPr>
            <w:r w:rsidRPr="00B07AB8">
              <w:rPr>
                <w:rFonts w:ascii="Arial Narrow" w:hAnsi="Arial Narrow"/>
                <w:b/>
                <w:sz w:val="20"/>
                <w:szCs w:val="20"/>
              </w:rPr>
              <w:t>4.2.</w:t>
            </w:r>
          </w:p>
        </w:tc>
        <w:tc>
          <w:tcPr>
            <w:tcW w:w="9128" w:type="dxa"/>
            <w:gridSpan w:val="2"/>
            <w:tcBorders>
              <w:top w:val="single" w:sz="4" w:space="0" w:color="auto"/>
              <w:left w:val="nil"/>
              <w:bottom w:val="single" w:sz="4" w:space="0" w:color="auto"/>
              <w:right w:val="single" w:sz="4" w:space="0" w:color="auto"/>
            </w:tcBorders>
            <w:shd w:val="clear" w:color="000000" w:fill="FFFFFF"/>
            <w:vAlign w:val="center"/>
            <w:hideMark/>
          </w:tcPr>
          <w:p w:rsidR="00B07AB8" w:rsidRPr="00B07AB8" w:rsidRDefault="00B07AB8" w:rsidP="00103148">
            <w:pPr>
              <w:spacing w:after="0" w:line="312" w:lineRule="auto"/>
              <w:rPr>
                <w:rFonts w:ascii="Arial Narrow" w:hAnsi="Arial Narrow"/>
                <w:b/>
                <w:sz w:val="20"/>
                <w:szCs w:val="20"/>
              </w:rPr>
            </w:pPr>
            <w:r w:rsidRPr="00B07AB8">
              <w:rPr>
                <w:rFonts w:ascii="Arial Narrow" w:hAnsi="Arial Narrow"/>
                <w:b/>
                <w:sz w:val="20"/>
                <w:szCs w:val="20"/>
              </w:rPr>
              <w:t>Динамика тарифов (цен) за отчетный (2016 г.) и предшествующий отчетному (2015 г.) периоды, установленных региональным органом по регулированию тарифов на рынках присутствия субъектов естественных монополий на территории Новосибирской области, % к отчетному периоду</w:t>
            </w:r>
          </w:p>
        </w:tc>
      </w:tr>
      <w:tr w:rsidR="00B07AB8" w:rsidRPr="00B07AB8" w:rsidTr="00103148">
        <w:tc>
          <w:tcPr>
            <w:tcW w:w="764" w:type="dxa"/>
            <w:tcBorders>
              <w:top w:val="nil"/>
              <w:left w:val="single" w:sz="4" w:space="0" w:color="auto"/>
              <w:bottom w:val="single" w:sz="4" w:space="0" w:color="auto"/>
              <w:right w:val="single" w:sz="4" w:space="0" w:color="auto"/>
            </w:tcBorders>
            <w:shd w:val="clear" w:color="000000" w:fill="FFFFFF"/>
            <w:vAlign w:val="center"/>
            <w:hideMark/>
          </w:tcPr>
          <w:p w:rsidR="00B07AB8" w:rsidRPr="00B07AB8" w:rsidRDefault="00B07AB8" w:rsidP="00103148">
            <w:pPr>
              <w:spacing w:after="0" w:line="312" w:lineRule="auto"/>
              <w:jc w:val="both"/>
              <w:rPr>
                <w:rFonts w:ascii="Arial Narrow" w:hAnsi="Arial Narrow"/>
                <w:sz w:val="20"/>
                <w:szCs w:val="20"/>
              </w:rPr>
            </w:pPr>
            <w:r w:rsidRPr="00B07AB8">
              <w:rPr>
                <w:rFonts w:ascii="Arial Narrow" w:hAnsi="Arial Narrow"/>
                <w:sz w:val="20"/>
                <w:szCs w:val="20"/>
              </w:rPr>
              <w:t> </w:t>
            </w:r>
          </w:p>
        </w:tc>
        <w:tc>
          <w:tcPr>
            <w:tcW w:w="7146" w:type="dxa"/>
            <w:tcBorders>
              <w:top w:val="nil"/>
              <w:left w:val="nil"/>
              <w:bottom w:val="single" w:sz="4" w:space="0" w:color="auto"/>
              <w:right w:val="single" w:sz="4" w:space="0" w:color="auto"/>
            </w:tcBorders>
            <w:shd w:val="clear" w:color="000000" w:fill="FFFFFF"/>
            <w:vAlign w:val="center"/>
            <w:hideMark/>
          </w:tcPr>
          <w:p w:rsidR="00B07AB8" w:rsidRPr="00B07AB8" w:rsidRDefault="00B07AB8" w:rsidP="00103148">
            <w:pPr>
              <w:spacing w:after="0" w:line="312" w:lineRule="auto"/>
              <w:jc w:val="both"/>
              <w:rPr>
                <w:rFonts w:ascii="Arial Narrow" w:hAnsi="Arial Narrow"/>
                <w:sz w:val="20"/>
                <w:szCs w:val="20"/>
              </w:rPr>
            </w:pPr>
            <w:r w:rsidRPr="00B07AB8">
              <w:rPr>
                <w:rFonts w:ascii="Arial Narrow" w:hAnsi="Arial Narrow"/>
                <w:sz w:val="20"/>
                <w:szCs w:val="20"/>
              </w:rPr>
              <w:t>Наименование рынка</w:t>
            </w:r>
          </w:p>
        </w:tc>
        <w:tc>
          <w:tcPr>
            <w:tcW w:w="1982" w:type="dxa"/>
            <w:tcBorders>
              <w:top w:val="nil"/>
              <w:left w:val="nil"/>
              <w:bottom w:val="single" w:sz="4" w:space="0" w:color="auto"/>
              <w:right w:val="single" w:sz="4" w:space="0" w:color="auto"/>
            </w:tcBorders>
            <w:shd w:val="clear" w:color="000000" w:fill="FFFFFF"/>
            <w:vAlign w:val="center"/>
            <w:hideMark/>
          </w:tcPr>
          <w:p w:rsidR="00B07AB8" w:rsidRPr="00B07AB8" w:rsidRDefault="00B07AB8" w:rsidP="00103148">
            <w:pPr>
              <w:spacing w:after="0" w:line="312" w:lineRule="auto"/>
              <w:jc w:val="center"/>
              <w:rPr>
                <w:rFonts w:ascii="Arial Narrow" w:hAnsi="Arial Narrow"/>
                <w:sz w:val="20"/>
                <w:szCs w:val="20"/>
              </w:rPr>
            </w:pPr>
            <w:r w:rsidRPr="00B07AB8">
              <w:rPr>
                <w:rFonts w:ascii="Arial Narrow" w:hAnsi="Arial Narrow"/>
                <w:sz w:val="20"/>
                <w:szCs w:val="20"/>
              </w:rPr>
              <w:t>Динамика тарифов</w:t>
            </w:r>
          </w:p>
        </w:tc>
      </w:tr>
      <w:tr w:rsidR="00B07AB8" w:rsidRPr="00B07AB8" w:rsidTr="00103148">
        <w:tc>
          <w:tcPr>
            <w:tcW w:w="764" w:type="dxa"/>
            <w:tcBorders>
              <w:top w:val="nil"/>
              <w:left w:val="single" w:sz="4" w:space="0" w:color="auto"/>
              <w:bottom w:val="single" w:sz="4" w:space="0" w:color="auto"/>
              <w:right w:val="single" w:sz="4" w:space="0" w:color="auto"/>
            </w:tcBorders>
            <w:shd w:val="clear" w:color="000000" w:fill="FFFFFF"/>
            <w:vAlign w:val="center"/>
            <w:hideMark/>
          </w:tcPr>
          <w:p w:rsidR="00B07AB8" w:rsidRPr="00B07AB8" w:rsidRDefault="00B07AB8" w:rsidP="00103148">
            <w:pPr>
              <w:spacing w:after="0" w:line="312" w:lineRule="auto"/>
              <w:jc w:val="both"/>
              <w:rPr>
                <w:rFonts w:ascii="Arial Narrow" w:hAnsi="Arial Narrow"/>
                <w:sz w:val="20"/>
                <w:szCs w:val="20"/>
              </w:rPr>
            </w:pPr>
            <w:r w:rsidRPr="00B07AB8">
              <w:rPr>
                <w:rFonts w:ascii="Arial Narrow" w:hAnsi="Arial Narrow"/>
                <w:sz w:val="20"/>
                <w:szCs w:val="20"/>
              </w:rPr>
              <w:t> 4.2.1.</w:t>
            </w:r>
          </w:p>
        </w:tc>
        <w:tc>
          <w:tcPr>
            <w:tcW w:w="7146" w:type="dxa"/>
            <w:tcBorders>
              <w:top w:val="nil"/>
              <w:left w:val="nil"/>
              <w:bottom w:val="single" w:sz="4" w:space="0" w:color="auto"/>
              <w:right w:val="single" w:sz="4" w:space="0" w:color="auto"/>
            </w:tcBorders>
            <w:shd w:val="clear" w:color="000000" w:fill="FFFFFF"/>
            <w:vAlign w:val="center"/>
            <w:hideMark/>
          </w:tcPr>
          <w:p w:rsidR="00B07AB8" w:rsidRPr="00B07AB8" w:rsidRDefault="00B07AB8" w:rsidP="00103148">
            <w:pPr>
              <w:spacing w:after="0" w:line="312" w:lineRule="auto"/>
              <w:jc w:val="both"/>
              <w:rPr>
                <w:rFonts w:ascii="Arial Narrow" w:hAnsi="Arial Narrow"/>
                <w:sz w:val="20"/>
                <w:szCs w:val="20"/>
              </w:rPr>
            </w:pPr>
            <w:r w:rsidRPr="00B07AB8">
              <w:rPr>
                <w:rFonts w:ascii="Arial Narrow" w:hAnsi="Arial Narrow"/>
                <w:sz w:val="20"/>
                <w:szCs w:val="20"/>
              </w:rPr>
              <w:t>Услуги по передаче электрической и тепловой энергии</w:t>
            </w:r>
          </w:p>
        </w:tc>
        <w:tc>
          <w:tcPr>
            <w:tcW w:w="1982" w:type="dxa"/>
            <w:tcBorders>
              <w:top w:val="nil"/>
              <w:left w:val="nil"/>
              <w:bottom w:val="single" w:sz="4" w:space="0" w:color="auto"/>
              <w:right w:val="single" w:sz="4" w:space="0" w:color="auto"/>
            </w:tcBorders>
            <w:shd w:val="clear" w:color="000000" w:fill="FFFFFF"/>
            <w:vAlign w:val="center"/>
            <w:hideMark/>
          </w:tcPr>
          <w:p w:rsidR="00B07AB8" w:rsidRPr="00B07AB8" w:rsidRDefault="00B07AB8" w:rsidP="00103148">
            <w:pPr>
              <w:spacing w:after="0" w:line="312" w:lineRule="auto"/>
              <w:jc w:val="center"/>
              <w:rPr>
                <w:rFonts w:ascii="Arial Narrow" w:hAnsi="Arial Narrow"/>
                <w:sz w:val="20"/>
                <w:szCs w:val="20"/>
              </w:rPr>
            </w:pPr>
            <w:r w:rsidRPr="00B07AB8">
              <w:rPr>
                <w:rFonts w:ascii="Arial Narrow" w:hAnsi="Arial Narrow"/>
                <w:sz w:val="20"/>
                <w:szCs w:val="20"/>
              </w:rPr>
              <w:t> </w:t>
            </w:r>
          </w:p>
        </w:tc>
      </w:tr>
      <w:tr w:rsidR="00B07AB8" w:rsidRPr="00B07AB8" w:rsidTr="00103148">
        <w:tc>
          <w:tcPr>
            <w:tcW w:w="764" w:type="dxa"/>
            <w:vMerge w:val="restart"/>
            <w:tcBorders>
              <w:top w:val="nil"/>
              <w:left w:val="single" w:sz="4" w:space="0" w:color="auto"/>
              <w:bottom w:val="single" w:sz="4" w:space="0" w:color="auto"/>
              <w:right w:val="single" w:sz="4" w:space="0" w:color="auto"/>
            </w:tcBorders>
            <w:shd w:val="clear" w:color="000000" w:fill="FFFFFF"/>
            <w:vAlign w:val="center"/>
            <w:hideMark/>
          </w:tcPr>
          <w:p w:rsidR="00B07AB8" w:rsidRPr="00B07AB8" w:rsidRDefault="00B07AB8" w:rsidP="00103148">
            <w:pPr>
              <w:spacing w:after="0" w:line="312" w:lineRule="auto"/>
              <w:jc w:val="center"/>
              <w:rPr>
                <w:rFonts w:ascii="Arial Narrow" w:hAnsi="Arial Narrow"/>
                <w:sz w:val="20"/>
                <w:szCs w:val="20"/>
              </w:rPr>
            </w:pPr>
            <w:r w:rsidRPr="00B07AB8">
              <w:rPr>
                <w:rFonts w:ascii="Arial Narrow" w:hAnsi="Arial Narrow"/>
                <w:sz w:val="20"/>
                <w:szCs w:val="20"/>
              </w:rPr>
              <w:t>4.2.1.1.</w:t>
            </w:r>
          </w:p>
        </w:tc>
        <w:tc>
          <w:tcPr>
            <w:tcW w:w="7146" w:type="dxa"/>
            <w:tcBorders>
              <w:top w:val="nil"/>
              <w:left w:val="nil"/>
              <w:bottom w:val="single" w:sz="4" w:space="0" w:color="auto"/>
              <w:right w:val="single" w:sz="4" w:space="0" w:color="auto"/>
            </w:tcBorders>
            <w:shd w:val="clear" w:color="000000" w:fill="FFFFFF"/>
            <w:vAlign w:val="center"/>
            <w:hideMark/>
          </w:tcPr>
          <w:p w:rsidR="00B07AB8" w:rsidRPr="00B07AB8" w:rsidRDefault="00B07AB8" w:rsidP="00103148">
            <w:pPr>
              <w:spacing w:after="0" w:line="312" w:lineRule="auto"/>
              <w:rPr>
                <w:rFonts w:ascii="Arial Narrow" w:hAnsi="Arial Narrow"/>
                <w:sz w:val="20"/>
                <w:szCs w:val="20"/>
              </w:rPr>
            </w:pPr>
            <w:r w:rsidRPr="00B07AB8">
              <w:rPr>
                <w:rFonts w:ascii="Arial Narrow" w:hAnsi="Arial Narrow"/>
                <w:sz w:val="20"/>
                <w:szCs w:val="20"/>
              </w:rPr>
              <w:t>Услуги по передаче электрической энергии</w:t>
            </w:r>
          </w:p>
        </w:tc>
        <w:tc>
          <w:tcPr>
            <w:tcW w:w="1982" w:type="dxa"/>
            <w:tcBorders>
              <w:top w:val="nil"/>
              <w:left w:val="nil"/>
              <w:bottom w:val="single" w:sz="4" w:space="0" w:color="auto"/>
              <w:right w:val="single" w:sz="4" w:space="0" w:color="auto"/>
            </w:tcBorders>
            <w:shd w:val="clear" w:color="000000" w:fill="FFFFFF"/>
            <w:vAlign w:val="center"/>
            <w:hideMark/>
          </w:tcPr>
          <w:p w:rsidR="00B07AB8" w:rsidRPr="00B07AB8" w:rsidRDefault="00B07AB8" w:rsidP="00103148">
            <w:pPr>
              <w:spacing w:after="0" w:line="312" w:lineRule="auto"/>
              <w:jc w:val="center"/>
              <w:rPr>
                <w:rFonts w:ascii="Arial Narrow" w:hAnsi="Arial Narrow"/>
                <w:sz w:val="20"/>
                <w:szCs w:val="20"/>
              </w:rPr>
            </w:pPr>
            <w:r w:rsidRPr="00B07AB8">
              <w:rPr>
                <w:rFonts w:ascii="Arial Narrow" w:hAnsi="Arial Narrow"/>
                <w:sz w:val="20"/>
                <w:szCs w:val="20"/>
              </w:rPr>
              <w:t> </w:t>
            </w:r>
          </w:p>
        </w:tc>
      </w:tr>
      <w:tr w:rsidR="00B07AB8" w:rsidRPr="00B07AB8" w:rsidTr="00103148">
        <w:tc>
          <w:tcPr>
            <w:tcW w:w="764" w:type="dxa"/>
            <w:vMerge/>
            <w:tcBorders>
              <w:top w:val="nil"/>
              <w:left w:val="single" w:sz="4" w:space="0" w:color="auto"/>
              <w:bottom w:val="single" w:sz="4" w:space="0" w:color="auto"/>
              <w:right w:val="single" w:sz="4" w:space="0" w:color="auto"/>
            </w:tcBorders>
            <w:vAlign w:val="center"/>
            <w:hideMark/>
          </w:tcPr>
          <w:p w:rsidR="00B07AB8" w:rsidRPr="00B07AB8" w:rsidRDefault="00B07AB8" w:rsidP="00103148">
            <w:pPr>
              <w:spacing w:after="0" w:line="312" w:lineRule="auto"/>
              <w:rPr>
                <w:rFonts w:ascii="Arial Narrow" w:hAnsi="Arial Narrow"/>
                <w:sz w:val="20"/>
                <w:szCs w:val="20"/>
              </w:rPr>
            </w:pPr>
          </w:p>
        </w:tc>
        <w:tc>
          <w:tcPr>
            <w:tcW w:w="7146" w:type="dxa"/>
            <w:tcBorders>
              <w:top w:val="nil"/>
              <w:left w:val="nil"/>
              <w:bottom w:val="single" w:sz="4" w:space="0" w:color="auto"/>
              <w:right w:val="single" w:sz="4" w:space="0" w:color="auto"/>
            </w:tcBorders>
            <w:shd w:val="clear" w:color="000000" w:fill="FFFFFF"/>
            <w:vAlign w:val="center"/>
            <w:hideMark/>
          </w:tcPr>
          <w:p w:rsidR="00B07AB8" w:rsidRPr="00B07AB8" w:rsidRDefault="00B07AB8" w:rsidP="00103148">
            <w:pPr>
              <w:spacing w:after="0" w:line="312" w:lineRule="auto"/>
              <w:rPr>
                <w:rFonts w:ascii="Arial Narrow" w:hAnsi="Arial Narrow"/>
                <w:sz w:val="20"/>
                <w:szCs w:val="20"/>
              </w:rPr>
            </w:pPr>
            <w:r w:rsidRPr="00B07AB8">
              <w:rPr>
                <w:rFonts w:ascii="Arial Narrow" w:hAnsi="Arial Narrow"/>
                <w:bCs/>
                <w:sz w:val="20"/>
                <w:szCs w:val="20"/>
              </w:rPr>
              <w:t>Электроснабжение для населения (руб. за кВт*ч.)</w:t>
            </w:r>
          </w:p>
        </w:tc>
        <w:tc>
          <w:tcPr>
            <w:tcW w:w="1982" w:type="dxa"/>
            <w:tcBorders>
              <w:top w:val="nil"/>
              <w:left w:val="nil"/>
              <w:bottom w:val="single" w:sz="4" w:space="0" w:color="auto"/>
              <w:right w:val="single" w:sz="4" w:space="0" w:color="auto"/>
            </w:tcBorders>
            <w:shd w:val="clear" w:color="000000" w:fill="FFFFFF"/>
            <w:vAlign w:val="center"/>
            <w:hideMark/>
          </w:tcPr>
          <w:p w:rsidR="00B07AB8" w:rsidRPr="00B07AB8" w:rsidRDefault="00B07AB8" w:rsidP="00103148">
            <w:pPr>
              <w:spacing w:after="0" w:line="312" w:lineRule="auto"/>
              <w:jc w:val="center"/>
              <w:rPr>
                <w:rFonts w:ascii="Arial Narrow" w:hAnsi="Arial Narrow"/>
                <w:sz w:val="20"/>
                <w:szCs w:val="20"/>
              </w:rPr>
            </w:pPr>
            <w:r w:rsidRPr="00B07AB8">
              <w:rPr>
                <w:rFonts w:ascii="Arial Narrow" w:hAnsi="Arial Narrow"/>
                <w:sz w:val="20"/>
                <w:szCs w:val="20"/>
              </w:rPr>
              <w:t> </w:t>
            </w:r>
          </w:p>
        </w:tc>
      </w:tr>
      <w:tr w:rsidR="00B07AB8" w:rsidRPr="00B07AB8" w:rsidTr="00103148">
        <w:tc>
          <w:tcPr>
            <w:tcW w:w="764" w:type="dxa"/>
            <w:vMerge/>
            <w:tcBorders>
              <w:top w:val="nil"/>
              <w:left w:val="single" w:sz="4" w:space="0" w:color="auto"/>
              <w:bottom w:val="single" w:sz="4" w:space="0" w:color="auto"/>
              <w:right w:val="single" w:sz="4" w:space="0" w:color="auto"/>
            </w:tcBorders>
            <w:vAlign w:val="center"/>
            <w:hideMark/>
          </w:tcPr>
          <w:p w:rsidR="00B07AB8" w:rsidRPr="00B07AB8" w:rsidRDefault="00B07AB8" w:rsidP="00103148">
            <w:pPr>
              <w:spacing w:after="0" w:line="312" w:lineRule="auto"/>
              <w:rPr>
                <w:rFonts w:ascii="Arial Narrow" w:hAnsi="Arial Narrow"/>
                <w:sz w:val="20"/>
                <w:szCs w:val="20"/>
              </w:rPr>
            </w:pPr>
          </w:p>
        </w:tc>
        <w:tc>
          <w:tcPr>
            <w:tcW w:w="7146" w:type="dxa"/>
            <w:tcBorders>
              <w:top w:val="nil"/>
              <w:left w:val="nil"/>
              <w:bottom w:val="single" w:sz="4" w:space="0" w:color="auto"/>
              <w:right w:val="single" w:sz="4" w:space="0" w:color="auto"/>
            </w:tcBorders>
            <w:shd w:val="clear" w:color="000000" w:fill="FFFFFF"/>
            <w:vAlign w:val="center"/>
            <w:hideMark/>
          </w:tcPr>
          <w:p w:rsidR="00B07AB8" w:rsidRPr="00B07AB8" w:rsidRDefault="00B07AB8" w:rsidP="00103148">
            <w:pPr>
              <w:spacing w:after="0" w:line="312" w:lineRule="auto"/>
              <w:jc w:val="right"/>
              <w:rPr>
                <w:rFonts w:ascii="Arial Narrow" w:hAnsi="Arial Narrow"/>
                <w:sz w:val="20"/>
                <w:szCs w:val="20"/>
              </w:rPr>
            </w:pPr>
            <w:r w:rsidRPr="00B07AB8">
              <w:rPr>
                <w:rFonts w:ascii="Arial Narrow" w:hAnsi="Arial Narrow"/>
                <w:sz w:val="20"/>
                <w:szCs w:val="20"/>
              </w:rPr>
              <w:t xml:space="preserve">проживающего в городской местности  </w:t>
            </w:r>
          </w:p>
        </w:tc>
        <w:tc>
          <w:tcPr>
            <w:tcW w:w="1982" w:type="dxa"/>
            <w:tcBorders>
              <w:top w:val="nil"/>
              <w:left w:val="nil"/>
              <w:bottom w:val="single" w:sz="4" w:space="0" w:color="auto"/>
              <w:right w:val="single" w:sz="4" w:space="0" w:color="auto"/>
            </w:tcBorders>
            <w:shd w:val="clear" w:color="000000" w:fill="FFFFFF"/>
            <w:noWrap/>
            <w:vAlign w:val="center"/>
            <w:hideMark/>
          </w:tcPr>
          <w:p w:rsidR="00B07AB8" w:rsidRPr="00B07AB8" w:rsidRDefault="00B07AB8" w:rsidP="00103148">
            <w:pPr>
              <w:spacing w:after="0" w:line="312" w:lineRule="auto"/>
              <w:jc w:val="center"/>
              <w:rPr>
                <w:rFonts w:ascii="Arial Narrow" w:hAnsi="Arial Narrow"/>
                <w:sz w:val="20"/>
                <w:szCs w:val="20"/>
              </w:rPr>
            </w:pPr>
            <w:r w:rsidRPr="00B07AB8">
              <w:rPr>
                <w:rFonts w:ascii="Arial Narrow" w:hAnsi="Arial Narrow"/>
                <w:sz w:val="20"/>
                <w:szCs w:val="20"/>
              </w:rPr>
              <w:t>103,42%</w:t>
            </w:r>
          </w:p>
        </w:tc>
      </w:tr>
      <w:tr w:rsidR="00B07AB8" w:rsidRPr="00B07AB8" w:rsidTr="00103148">
        <w:tc>
          <w:tcPr>
            <w:tcW w:w="764" w:type="dxa"/>
            <w:vMerge/>
            <w:tcBorders>
              <w:top w:val="nil"/>
              <w:left w:val="single" w:sz="4" w:space="0" w:color="auto"/>
              <w:bottom w:val="single" w:sz="4" w:space="0" w:color="auto"/>
              <w:right w:val="single" w:sz="4" w:space="0" w:color="auto"/>
            </w:tcBorders>
            <w:vAlign w:val="center"/>
            <w:hideMark/>
          </w:tcPr>
          <w:p w:rsidR="00B07AB8" w:rsidRPr="00B07AB8" w:rsidRDefault="00B07AB8" w:rsidP="00103148">
            <w:pPr>
              <w:spacing w:after="0" w:line="312" w:lineRule="auto"/>
              <w:rPr>
                <w:rFonts w:ascii="Arial Narrow" w:hAnsi="Arial Narrow"/>
                <w:sz w:val="20"/>
                <w:szCs w:val="20"/>
              </w:rPr>
            </w:pPr>
          </w:p>
        </w:tc>
        <w:tc>
          <w:tcPr>
            <w:tcW w:w="7146" w:type="dxa"/>
            <w:tcBorders>
              <w:top w:val="nil"/>
              <w:left w:val="nil"/>
              <w:bottom w:val="single" w:sz="4" w:space="0" w:color="auto"/>
              <w:right w:val="single" w:sz="4" w:space="0" w:color="auto"/>
            </w:tcBorders>
            <w:shd w:val="clear" w:color="000000" w:fill="FFFFFF"/>
            <w:vAlign w:val="center"/>
            <w:hideMark/>
          </w:tcPr>
          <w:p w:rsidR="00B07AB8" w:rsidRPr="00B07AB8" w:rsidRDefault="00B07AB8" w:rsidP="00103148">
            <w:pPr>
              <w:spacing w:after="0" w:line="312" w:lineRule="auto"/>
              <w:jc w:val="right"/>
              <w:rPr>
                <w:rFonts w:ascii="Arial Narrow" w:hAnsi="Arial Narrow"/>
                <w:sz w:val="20"/>
                <w:szCs w:val="20"/>
              </w:rPr>
            </w:pPr>
            <w:r w:rsidRPr="00B07AB8">
              <w:rPr>
                <w:rFonts w:ascii="Arial Narrow" w:hAnsi="Arial Narrow"/>
                <w:sz w:val="20"/>
                <w:szCs w:val="20"/>
              </w:rPr>
              <w:t xml:space="preserve"> проживающего в сельской местности </w:t>
            </w:r>
          </w:p>
        </w:tc>
        <w:tc>
          <w:tcPr>
            <w:tcW w:w="1982" w:type="dxa"/>
            <w:tcBorders>
              <w:top w:val="nil"/>
              <w:left w:val="nil"/>
              <w:bottom w:val="single" w:sz="4" w:space="0" w:color="auto"/>
              <w:right w:val="single" w:sz="4" w:space="0" w:color="auto"/>
            </w:tcBorders>
            <w:shd w:val="clear" w:color="000000" w:fill="FFFFFF"/>
            <w:noWrap/>
            <w:vAlign w:val="center"/>
            <w:hideMark/>
          </w:tcPr>
          <w:p w:rsidR="00B07AB8" w:rsidRPr="00B07AB8" w:rsidRDefault="00B07AB8" w:rsidP="00103148">
            <w:pPr>
              <w:spacing w:after="0" w:line="312" w:lineRule="auto"/>
              <w:jc w:val="center"/>
              <w:rPr>
                <w:rFonts w:ascii="Arial Narrow" w:hAnsi="Arial Narrow"/>
                <w:sz w:val="20"/>
                <w:szCs w:val="20"/>
              </w:rPr>
            </w:pPr>
            <w:r w:rsidRPr="00B07AB8">
              <w:rPr>
                <w:rFonts w:ascii="Arial Narrow" w:hAnsi="Arial Narrow"/>
                <w:sz w:val="20"/>
                <w:szCs w:val="20"/>
              </w:rPr>
              <w:t>103,74%</w:t>
            </w:r>
          </w:p>
        </w:tc>
      </w:tr>
      <w:tr w:rsidR="00B07AB8" w:rsidRPr="00B07AB8" w:rsidTr="00103148">
        <w:tc>
          <w:tcPr>
            <w:tcW w:w="764" w:type="dxa"/>
            <w:vMerge w:val="restart"/>
            <w:tcBorders>
              <w:top w:val="nil"/>
              <w:left w:val="single" w:sz="4" w:space="0" w:color="auto"/>
              <w:bottom w:val="single" w:sz="4" w:space="0" w:color="auto"/>
              <w:right w:val="single" w:sz="4" w:space="0" w:color="auto"/>
            </w:tcBorders>
            <w:shd w:val="clear" w:color="000000" w:fill="FFFFFF"/>
            <w:vAlign w:val="center"/>
            <w:hideMark/>
          </w:tcPr>
          <w:p w:rsidR="00B07AB8" w:rsidRPr="00B07AB8" w:rsidRDefault="00B07AB8" w:rsidP="00103148">
            <w:pPr>
              <w:spacing w:after="0" w:line="312" w:lineRule="auto"/>
              <w:jc w:val="center"/>
              <w:rPr>
                <w:rFonts w:ascii="Arial Narrow" w:hAnsi="Arial Narrow"/>
                <w:sz w:val="20"/>
                <w:szCs w:val="20"/>
              </w:rPr>
            </w:pPr>
            <w:r w:rsidRPr="00B07AB8">
              <w:rPr>
                <w:rFonts w:ascii="Arial Narrow" w:hAnsi="Arial Narrow"/>
                <w:sz w:val="20"/>
                <w:szCs w:val="20"/>
              </w:rPr>
              <w:t>4.2.1.2.</w:t>
            </w:r>
          </w:p>
        </w:tc>
        <w:tc>
          <w:tcPr>
            <w:tcW w:w="7146" w:type="dxa"/>
            <w:tcBorders>
              <w:top w:val="nil"/>
              <w:left w:val="nil"/>
              <w:bottom w:val="single" w:sz="4" w:space="0" w:color="auto"/>
              <w:right w:val="single" w:sz="4" w:space="0" w:color="auto"/>
            </w:tcBorders>
            <w:shd w:val="clear" w:color="000000" w:fill="FFFFFF"/>
            <w:vAlign w:val="center"/>
            <w:hideMark/>
          </w:tcPr>
          <w:p w:rsidR="00B07AB8" w:rsidRPr="00B07AB8" w:rsidRDefault="00B07AB8" w:rsidP="00103148">
            <w:pPr>
              <w:spacing w:after="0" w:line="312" w:lineRule="auto"/>
              <w:rPr>
                <w:rFonts w:ascii="Arial Narrow" w:hAnsi="Arial Narrow"/>
                <w:sz w:val="20"/>
                <w:szCs w:val="20"/>
              </w:rPr>
            </w:pPr>
            <w:r w:rsidRPr="00B07AB8">
              <w:rPr>
                <w:rFonts w:ascii="Arial Narrow" w:hAnsi="Arial Narrow"/>
                <w:sz w:val="20"/>
                <w:szCs w:val="20"/>
              </w:rPr>
              <w:t>Услуги по передаче тепловой энергии</w:t>
            </w:r>
          </w:p>
        </w:tc>
        <w:tc>
          <w:tcPr>
            <w:tcW w:w="1982" w:type="dxa"/>
            <w:tcBorders>
              <w:top w:val="nil"/>
              <w:left w:val="nil"/>
              <w:bottom w:val="single" w:sz="4" w:space="0" w:color="auto"/>
              <w:right w:val="single" w:sz="4" w:space="0" w:color="auto"/>
            </w:tcBorders>
            <w:shd w:val="clear" w:color="000000" w:fill="FFFFFF"/>
            <w:noWrap/>
            <w:vAlign w:val="center"/>
            <w:hideMark/>
          </w:tcPr>
          <w:p w:rsidR="00B07AB8" w:rsidRPr="00B07AB8" w:rsidRDefault="00B07AB8" w:rsidP="00103148">
            <w:pPr>
              <w:spacing w:after="0" w:line="312" w:lineRule="auto"/>
              <w:jc w:val="center"/>
              <w:rPr>
                <w:rFonts w:ascii="Arial Narrow" w:hAnsi="Arial Narrow"/>
                <w:sz w:val="20"/>
                <w:szCs w:val="20"/>
              </w:rPr>
            </w:pPr>
            <w:r w:rsidRPr="00B07AB8">
              <w:rPr>
                <w:rFonts w:ascii="Arial Narrow" w:hAnsi="Arial Narrow"/>
                <w:sz w:val="20"/>
                <w:szCs w:val="20"/>
              </w:rPr>
              <w:t> </w:t>
            </w:r>
          </w:p>
        </w:tc>
      </w:tr>
      <w:tr w:rsidR="00B07AB8" w:rsidRPr="00B07AB8" w:rsidTr="00103148">
        <w:tc>
          <w:tcPr>
            <w:tcW w:w="764" w:type="dxa"/>
            <w:vMerge/>
            <w:tcBorders>
              <w:top w:val="nil"/>
              <w:left w:val="single" w:sz="4" w:space="0" w:color="auto"/>
              <w:bottom w:val="single" w:sz="4" w:space="0" w:color="auto"/>
              <w:right w:val="single" w:sz="4" w:space="0" w:color="auto"/>
            </w:tcBorders>
            <w:vAlign w:val="center"/>
            <w:hideMark/>
          </w:tcPr>
          <w:p w:rsidR="00B07AB8" w:rsidRPr="00B07AB8" w:rsidRDefault="00B07AB8" w:rsidP="00103148">
            <w:pPr>
              <w:spacing w:after="0" w:line="312" w:lineRule="auto"/>
              <w:rPr>
                <w:rFonts w:ascii="Arial Narrow" w:hAnsi="Arial Narrow"/>
                <w:sz w:val="20"/>
                <w:szCs w:val="20"/>
              </w:rPr>
            </w:pPr>
          </w:p>
        </w:tc>
        <w:tc>
          <w:tcPr>
            <w:tcW w:w="7146" w:type="dxa"/>
            <w:tcBorders>
              <w:top w:val="nil"/>
              <w:left w:val="nil"/>
              <w:bottom w:val="single" w:sz="4" w:space="0" w:color="auto"/>
              <w:right w:val="single" w:sz="4" w:space="0" w:color="auto"/>
            </w:tcBorders>
            <w:shd w:val="clear" w:color="000000" w:fill="FFFFFF"/>
            <w:vAlign w:val="center"/>
            <w:hideMark/>
          </w:tcPr>
          <w:p w:rsidR="00B07AB8" w:rsidRPr="00B07AB8" w:rsidRDefault="00B07AB8" w:rsidP="00103148">
            <w:pPr>
              <w:spacing w:after="0" w:line="312" w:lineRule="auto"/>
              <w:rPr>
                <w:rFonts w:ascii="Arial Narrow" w:hAnsi="Arial Narrow"/>
                <w:sz w:val="20"/>
                <w:szCs w:val="20"/>
              </w:rPr>
            </w:pPr>
            <w:r w:rsidRPr="00B07AB8">
              <w:rPr>
                <w:rFonts w:ascii="Arial Narrow" w:hAnsi="Arial Narrow"/>
                <w:sz w:val="20"/>
                <w:szCs w:val="20"/>
              </w:rPr>
              <w:t>Тепловая энергия (руб. за 1 Гкал)</w:t>
            </w:r>
          </w:p>
        </w:tc>
        <w:tc>
          <w:tcPr>
            <w:tcW w:w="1982" w:type="dxa"/>
            <w:tcBorders>
              <w:top w:val="nil"/>
              <w:left w:val="nil"/>
              <w:bottom w:val="single" w:sz="4" w:space="0" w:color="auto"/>
              <w:right w:val="single" w:sz="4" w:space="0" w:color="auto"/>
            </w:tcBorders>
            <w:shd w:val="clear" w:color="000000" w:fill="FFFFFF"/>
            <w:noWrap/>
            <w:vAlign w:val="center"/>
            <w:hideMark/>
          </w:tcPr>
          <w:p w:rsidR="00B07AB8" w:rsidRPr="00B07AB8" w:rsidRDefault="00B07AB8" w:rsidP="00103148">
            <w:pPr>
              <w:spacing w:after="0" w:line="312" w:lineRule="auto"/>
              <w:jc w:val="center"/>
              <w:rPr>
                <w:rFonts w:ascii="Arial Narrow" w:hAnsi="Arial Narrow"/>
                <w:sz w:val="20"/>
                <w:szCs w:val="20"/>
              </w:rPr>
            </w:pPr>
            <w:r w:rsidRPr="00B07AB8">
              <w:rPr>
                <w:rFonts w:ascii="Arial Narrow" w:hAnsi="Arial Narrow"/>
                <w:sz w:val="20"/>
                <w:szCs w:val="20"/>
              </w:rPr>
              <w:t> </w:t>
            </w:r>
          </w:p>
        </w:tc>
      </w:tr>
      <w:tr w:rsidR="00B07AB8" w:rsidRPr="00B07AB8" w:rsidTr="00103148">
        <w:tc>
          <w:tcPr>
            <w:tcW w:w="764" w:type="dxa"/>
            <w:vMerge/>
            <w:tcBorders>
              <w:top w:val="nil"/>
              <w:left w:val="single" w:sz="4" w:space="0" w:color="auto"/>
              <w:bottom w:val="single" w:sz="4" w:space="0" w:color="auto"/>
              <w:right w:val="single" w:sz="4" w:space="0" w:color="auto"/>
            </w:tcBorders>
            <w:vAlign w:val="center"/>
            <w:hideMark/>
          </w:tcPr>
          <w:p w:rsidR="00B07AB8" w:rsidRPr="00B07AB8" w:rsidRDefault="00B07AB8" w:rsidP="00103148">
            <w:pPr>
              <w:spacing w:after="0" w:line="312" w:lineRule="auto"/>
              <w:rPr>
                <w:rFonts w:ascii="Arial Narrow" w:hAnsi="Arial Narrow"/>
                <w:sz w:val="20"/>
                <w:szCs w:val="20"/>
              </w:rPr>
            </w:pPr>
          </w:p>
        </w:tc>
        <w:tc>
          <w:tcPr>
            <w:tcW w:w="7146" w:type="dxa"/>
            <w:tcBorders>
              <w:top w:val="nil"/>
              <w:left w:val="nil"/>
              <w:bottom w:val="single" w:sz="4" w:space="0" w:color="auto"/>
              <w:right w:val="single" w:sz="4" w:space="0" w:color="auto"/>
            </w:tcBorders>
            <w:shd w:val="clear" w:color="000000" w:fill="FFFFFF"/>
            <w:vAlign w:val="center"/>
            <w:hideMark/>
          </w:tcPr>
          <w:p w:rsidR="00B07AB8" w:rsidRPr="00B07AB8" w:rsidRDefault="00B07AB8" w:rsidP="00103148">
            <w:pPr>
              <w:spacing w:after="0" w:line="312" w:lineRule="auto"/>
              <w:jc w:val="right"/>
              <w:rPr>
                <w:rFonts w:ascii="Arial Narrow" w:hAnsi="Arial Narrow"/>
                <w:sz w:val="20"/>
                <w:szCs w:val="20"/>
              </w:rPr>
            </w:pPr>
            <w:r w:rsidRPr="00B07AB8">
              <w:rPr>
                <w:rFonts w:ascii="Arial Narrow" w:hAnsi="Arial Narrow"/>
                <w:sz w:val="20"/>
                <w:szCs w:val="20"/>
              </w:rPr>
              <w:t>средневзвешенный тариф по Новосибирской области</w:t>
            </w:r>
          </w:p>
        </w:tc>
        <w:tc>
          <w:tcPr>
            <w:tcW w:w="1982" w:type="dxa"/>
            <w:tcBorders>
              <w:top w:val="nil"/>
              <w:left w:val="nil"/>
              <w:bottom w:val="single" w:sz="4" w:space="0" w:color="auto"/>
              <w:right w:val="single" w:sz="4" w:space="0" w:color="auto"/>
            </w:tcBorders>
            <w:shd w:val="clear" w:color="000000" w:fill="FFFFFF"/>
            <w:noWrap/>
            <w:vAlign w:val="center"/>
            <w:hideMark/>
          </w:tcPr>
          <w:p w:rsidR="00B07AB8" w:rsidRPr="00B07AB8" w:rsidRDefault="00B07AB8" w:rsidP="00103148">
            <w:pPr>
              <w:spacing w:after="0" w:line="312" w:lineRule="auto"/>
              <w:jc w:val="center"/>
              <w:rPr>
                <w:rFonts w:ascii="Arial Narrow" w:hAnsi="Arial Narrow"/>
                <w:sz w:val="20"/>
                <w:szCs w:val="20"/>
              </w:rPr>
            </w:pPr>
            <w:r w:rsidRPr="00B07AB8">
              <w:rPr>
                <w:rFonts w:ascii="Arial Narrow" w:hAnsi="Arial Narrow"/>
                <w:sz w:val="20"/>
                <w:szCs w:val="20"/>
              </w:rPr>
              <w:t>103,50%</w:t>
            </w:r>
          </w:p>
        </w:tc>
      </w:tr>
      <w:tr w:rsidR="00B07AB8" w:rsidRPr="00B07AB8" w:rsidTr="00103148">
        <w:tc>
          <w:tcPr>
            <w:tcW w:w="764" w:type="dxa"/>
            <w:vMerge/>
            <w:tcBorders>
              <w:top w:val="nil"/>
              <w:left w:val="single" w:sz="4" w:space="0" w:color="auto"/>
              <w:bottom w:val="single" w:sz="4" w:space="0" w:color="auto"/>
              <w:right w:val="single" w:sz="4" w:space="0" w:color="auto"/>
            </w:tcBorders>
            <w:vAlign w:val="center"/>
            <w:hideMark/>
          </w:tcPr>
          <w:p w:rsidR="00B07AB8" w:rsidRPr="00B07AB8" w:rsidRDefault="00B07AB8" w:rsidP="00103148">
            <w:pPr>
              <w:spacing w:after="0" w:line="312" w:lineRule="auto"/>
              <w:rPr>
                <w:rFonts w:ascii="Arial Narrow" w:hAnsi="Arial Narrow"/>
                <w:sz w:val="20"/>
                <w:szCs w:val="20"/>
              </w:rPr>
            </w:pPr>
          </w:p>
        </w:tc>
        <w:tc>
          <w:tcPr>
            <w:tcW w:w="7146" w:type="dxa"/>
            <w:tcBorders>
              <w:top w:val="nil"/>
              <w:left w:val="nil"/>
              <w:bottom w:val="single" w:sz="4" w:space="0" w:color="auto"/>
              <w:right w:val="single" w:sz="4" w:space="0" w:color="auto"/>
            </w:tcBorders>
            <w:shd w:val="clear" w:color="000000" w:fill="FFFFFF"/>
            <w:noWrap/>
            <w:vAlign w:val="center"/>
            <w:hideMark/>
          </w:tcPr>
          <w:p w:rsidR="00B07AB8" w:rsidRPr="00B07AB8" w:rsidRDefault="00B07AB8" w:rsidP="00103148">
            <w:pPr>
              <w:spacing w:after="0" w:line="312" w:lineRule="auto"/>
              <w:jc w:val="right"/>
              <w:rPr>
                <w:rFonts w:ascii="Arial Narrow" w:hAnsi="Arial Narrow"/>
                <w:sz w:val="20"/>
                <w:szCs w:val="20"/>
              </w:rPr>
            </w:pPr>
            <w:r w:rsidRPr="00B07AB8">
              <w:rPr>
                <w:rFonts w:ascii="Arial Narrow" w:hAnsi="Arial Narrow"/>
                <w:sz w:val="20"/>
                <w:szCs w:val="20"/>
              </w:rPr>
              <w:t>в т. ч. для АО «СИБЭКО»</w:t>
            </w:r>
          </w:p>
        </w:tc>
        <w:tc>
          <w:tcPr>
            <w:tcW w:w="1982" w:type="dxa"/>
            <w:tcBorders>
              <w:top w:val="nil"/>
              <w:left w:val="nil"/>
              <w:bottom w:val="single" w:sz="4" w:space="0" w:color="auto"/>
              <w:right w:val="single" w:sz="4" w:space="0" w:color="auto"/>
            </w:tcBorders>
            <w:shd w:val="clear" w:color="000000" w:fill="FFFFFF"/>
            <w:noWrap/>
            <w:vAlign w:val="center"/>
            <w:hideMark/>
          </w:tcPr>
          <w:p w:rsidR="00B07AB8" w:rsidRPr="00B07AB8" w:rsidRDefault="00B07AB8" w:rsidP="00103148">
            <w:pPr>
              <w:spacing w:after="0" w:line="312" w:lineRule="auto"/>
              <w:jc w:val="center"/>
              <w:rPr>
                <w:rFonts w:ascii="Arial Narrow" w:hAnsi="Arial Narrow"/>
                <w:sz w:val="20"/>
                <w:szCs w:val="20"/>
              </w:rPr>
            </w:pPr>
            <w:r w:rsidRPr="00B07AB8">
              <w:rPr>
                <w:rFonts w:ascii="Arial Narrow" w:hAnsi="Arial Narrow"/>
                <w:sz w:val="20"/>
                <w:szCs w:val="20"/>
              </w:rPr>
              <w:t>103,50%</w:t>
            </w:r>
          </w:p>
        </w:tc>
      </w:tr>
      <w:tr w:rsidR="00B07AB8" w:rsidRPr="00B07AB8" w:rsidTr="00103148">
        <w:tc>
          <w:tcPr>
            <w:tcW w:w="764" w:type="dxa"/>
            <w:vMerge w:val="restart"/>
            <w:tcBorders>
              <w:top w:val="nil"/>
              <w:left w:val="single" w:sz="4" w:space="0" w:color="auto"/>
              <w:right w:val="single" w:sz="4" w:space="0" w:color="auto"/>
            </w:tcBorders>
            <w:shd w:val="clear" w:color="000000" w:fill="FFFFFF"/>
            <w:vAlign w:val="center"/>
            <w:hideMark/>
          </w:tcPr>
          <w:p w:rsidR="00B07AB8" w:rsidRPr="00B07AB8" w:rsidRDefault="00B07AB8" w:rsidP="00103148">
            <w:pPr>
              <w:spacing w:after="0" w:line="312" w:lineRule="auto"/>
              <w:jc w:val="center"/>
              <w:rPr>
                <w:rFonts w:ascii="Arial Narrow" w:hAnsi="Arial Narrow"/>
                <w:sz w:val="20"/>
                <w:szCs w:val="20"/>
              </w:rPr>
            </w:pPr>
            <w:r w:rsidRPr="00B07AB8">
              <w:rPr>
                <w:rFonts w:ascii="Arial Narrow" w:hAnsi="Arial Narrow"/>
                <w:sz w:val="20"/>
                <w:szCs w:val="20"/>
              </w:rPr>
              <w:t>4.2.2.</w:t>
            </w:r>
          </w:p>
        </w:tc>
        <w:tc>
          <w:tcPr>
            <w:tcW w:w="7146" w:type="dxa"/>
            <w:tcBorders>
              <w:top w:val="nil"/>
              <w:left w:val="nil"/>
              <w:bottom w:val="single" w:sz="4" w:space="0" w:color="auto"/>
              <w:right w:val="single" w:sz="4" w:space="0" w:color="auto"/>
            </w:tcBorders>
            <w:shd w:val="clear" w:color="000000" w:fill="FFFFFF"/>
            <w:vAlign w:val="center"/>
            <w:hideMark/>
          </w:tcPr>
          <w:p w:rsidR="00B07AB8" w:rsidRPr="00B07AB8" w:rsidRDefault="00B07AB8" w:rsidP="00103148">
            <w:pPr>
              <w:spacing w:after="0" w:line="312" w:lineRule="auto"/>
              <w:rPr>
                <w:rFonts w:ascii="Arial Narrow" w:hAnsi="Arial Narrow"/>
                <w:sz w:val="20"/>
                <w:szCs w:val="20"/>
              </w:rPr>
            </w:pPr>
            <w:r w:rsidRPr="00B07AB8">
              <w:rPr>
                <w:rFonts w:ascii="Arial Narrow" w:hAnsi="Arial Narrow"/>
                <w:sz w:val="20"/>
                <w:szCs w:val="20"/>
              </w:rPr>
              <w:t>Водоснабжение и водоотведение с использованием централизованных систем, систем коммунальной инфраструктуры</w:t>
            </w:r>
          </w:p>
        </w:tc>
        <w:tc>
          <w:tcPr>
            <w:tcW w:w="1982" w:type="dxa"/>
            <w:tcBorders>
              <w:top w:val="nil"/>
              <w:left w:val="nil"/>
              <w:bottom w:val="single" w:sz="4" w:space="0" w:color="auto"/>
              <w:right w:val="single" w:sz="4" w:space="0" w:color="auto"/>
            </w:tcBorders>
            <w:shd w:val="clear" w:color="000000" w:fill="FFFFFF"/>
            <w:vAlign w:val="center"/>
            <w:hideMark/>
          </w:tcPr>
          <w:p w:rsidR="00B07AB8" w:rsidRPr="00B07AB8" w:rsidRDefault="00B07AB8" w:rsidP="00103148">
            <w:pPr>
              <w:spacing w:after="0" w:line="312" w:lineRule="auto"/>
              <w:jc w:val="center"/>
              <w:rPr>
                <w:rFonts w:ascii="Arial Narrow" w:hAnsi="Arial Narrow"/>
                <w:sz w:val="20"/>
                <w:szCs w:val="20"/>
              </w:rPr>
            </w:pPr>
            <w:r w:rsidRPr="00B07AB8">
              <w:rPr>
                <w:rFonts w:ascii="Arial Narrow" w:hAnsi="Arial Narrow"/>
                <w:sz w:val="20"/>
                <w:szCs w:val="20"/>
              </w:rPr>
              <w:t> </w:t>
            </w:r>
          </w:p>
        </w:tc>
      </w:tr>
      <w:tr w:rsidR="00B07AB8" w:rsidRPr="00B07AB8" w:rsidTr="00103148">
        <w:tc>
          <w:tcPr>
            <w:tcW w:w="764" w:type="dxa"/>
            <w:vMerge/>
            <w:tcBorders>
              <w:left w:val="single" w:sz="4" w:space="0" w:color="auto"/>
              <w:right w:val="single" w:sz="4" w:space="0" w:color="auto"/>
            </w:tcBorders>
            <w:vAlign w:val="center"/>
            <w:hideMark/>
          </w:tcPr>
          <w:p w:rsidR="00B07AB8" w:rsidRPr="00B07AB8" w:rsidRDefault="00B07AB8" w:rsidP="00103148">
            <w:pPr>
              <w:spacing w:after="0" w:line="312" w:lineRule="auto"/>
              <w:rPr>
                <w:rFonts w:ascii="Arial Narrow" w:hAnsi="Arial Narrow"/>
                <w:sz w:val="20"/>
                <w:szCs w:val="20"/>
              </w:rPr>
            </w:pPr>
          </w:p>
        </w:tc>
        <w:tc>
          <w:tcPr>
            <w:tcW w:w="7146" w:type="dxa"/>
            <w:tcBorders>
              <w:top w:val="nil"/>
              <w:left w:val="nil"/>
              <w:bottom w:val="single" w:sz="4" w:space="0" w:color="auto"/>
              <w:right w:val="single" w:sz="4" w:space="0" w:color="auto"/>
            </w:tcBorders>
            <w:shd w:val="clear" w:color="000000" w:fill="FFFFFF"/>
            <w:noWrap/>
            <w:vAlign w:val="center"/>
            <w:hideMark/>
          </w:tcPr>
          <w:p w:rsidR="00B07AB8" w:rsidRPr="00B07AB8" w:rsidRDefault="00B07AB8" w:rsidP="00103148">
            <w:pPr>
              <w:spacing w:after="0" w:line="312" w:lineRule="auto"/>
              <w:rPr>
                <w:rFonts w:ascii="Arial Narrow" w:hAnsi="Arial Narrow"/>
                <w:sz w:val="20"/>
                <w:szCs w:val="20"/>
              </w:rPr>
            </w:pPr>
            <w:r w:rsidRPr="00B07AB8">
              <w:rPr>
                <w:rFonts w:ascii="Arial Narrow" w:hAnsi="Arial Narrow"/>
                <w:bCs/>
                <w:sz w:val="20"/>
                <w:szCs w:val="20"/>
              </w:rPr>
              <w:t>Холодное водоснабжение (руб. /м</w:t>
            </w:r>
            <w:r w:rsidRPr="00B07AB8">
              <w:rPr>
                <w:rFonts w:ascii="Arial Narrow" w:hAnsi="Arial Narrow"/>
                <w:bCs/>
                <w:sz w:val="20"/>
                <w:szCs w:val="20"/>
                <w:vertAlign w:val="superscript"/>
              </w:rPr>
              <w:t>3</w:t>
            </w:r>
            <w:r w:rsidRPr="00B07AB8">
              <w:rPr>
                <w:rFonts w:ascii="Arial Narrow" w:hAnsi="Arial Narrow"/>
                <w:bCs/>
                <w:sz w:val="20"/>
                <w:szCs w:val="20"/>
              </w:rPr>
              <w:t>)</w:t>
            </w:r>
          </w:p>
        </w:tc>
        <w:tc>
          <w:tcPr>
            <w:tcW w:w="1982" w:type="dxa"/>
            <w:tcBorders>
              <w:top w:val="nil"/>
              <w:left w:val="nil"/>
              <w:bottom w:val="single" w:sz="4" w:space="0" w:color="auto"/>
              <w:right w:val="single" w:sz="4" w:space="0" w:color="auto"/>
            </w:tcBorders>
            <w:shd w:val="clear" w:color="000000" w:fill="FFFFFF"/>
            <w:vAlign w:val="center"/>
            <w:hideMark/>
          </w:tcPr>
          <w:p w:rsidR="00B07AB8" w:rsidRPr="00B07AB8" w:rsidRDefault="00B07AB8" w:rsidP="00103148">
            <w:pPr>
              <w:spacing w:after="0" w:line="312" w:lineRule="auto"/>
              <w:jc w:val="center"/>
              <w:rPr>
                <w:rFonts w:ascii="Arial Narrow" w:hAnsi="Arial Narrow"/>
                <w:sz w:val="20"/>
                <w:szCs w:val="20"/>
              </w:rPr>
            </w:pPr>
            <w:r w:rsidRPr="00B07AB8">
              <w:rPr>
                <w:rFonts w:ascii="Arial Narrow" w:hAnsi="Arial Narrow"/>
                <w:sz w:val="20"/>
                <w:szCs w:val="20"/>
              </w:rPr>
              <w:t> </w:t>
            </w:r>
          </w:p>
        </w:tc>
      </w:tr>
      <w:tr w:rsidR="00B07AB8" w:rsidRPr="00B07AB8" w:rsidTr="00103148">
        <w:tc>
          <w:tcPr>
            <w:tcW w:w="764" w:type="dxa"/>
            <w:vMerge/>
            <w:tcBorders>
              <w:left w:val="single" w:sz="4" w:space="0" w:color="auto"/>
              <w:right w:val="single" w:sz="4" w:space="0" w:color="auto"/>
            </w:tcBorders>
            <w:vAlign w:val="center"/>
            <w:hideMark/>
          </w:tcPr>
          <w:p w:rsidR="00B07AB8" w:rsidRPr="00B07AB8" w:rsidRDefault="00B07AB8" w:rsidP="00103148">
            <w:pPr>
              <w:spacing w:after="0" w:line="312" w:lineRule="auto"/>
              <w:rPr>
                <w:rFonts w:ascii="Arial Narrow" w:hAnsi="Arial Narrow"/>
                <w:sz w:val="20"/>
                <w:szCs w:val="20"/>
              </w:rPr>
            </w:pPr>
          </w:p>
        </w:tc>
        <w:tc>
          <w:tcPr>
            <w:tcW w:w="7146" w:type="dxa"/>
            <w:tcBorders>
              <w:top w:val="nil"/>
              <w:left w:val="nil"/>
              <w:bottom w:val="single" w:sz="4" w:space="0" w:color="auto"/>
              <w:right w:val="single" w:sz="4" w:space="0" w:color="auto"/>
            </w:tcBorders>
            <w:shd w:val="clear" w:color="000000" w:fill="FFFFFF"/>
            <w:vAlign w:val="center"/>
            <w:hideMark/>
          </w:tcPr>
          <w:p w:rsidR="00B07AB8" w:rsidRPr="00B07AB8" w:rsidRDefault="00B07AB8" w:rsidP="00103148">
            <w:pPr>
              <w:spacing w:after="0" w:line="312" w:lineRule="auto"/>
              <w:jc w:val="right"/>
              <w:rPr>
                <w:rFonts w:ascii="Arial Narrow" w:hAnsi="Arial Narrow"/>
                <w:sz w:val="20"/>
                <w:szCs w:val="20"/>
              </w:rPr>
            </w:pPr>
            <w:r w:rsidRPr="00B07AB8">
              <w:rPr>
                <w:rFonts w:ascii="Arial Narrow" w:hAnsi="Arial Narrow"/>
                <w:sz w:val="20"/>
                <w:szCs w:val="20"/>
              </w:rPr>
              <w:t>средневзвешенный тариф по Новосибирской области</w:t>
            </w:r>
          </w:p>
        </w:tc>
        <w:tc>
          <w:tcPr>
            <w:tcW w:w="1982" w:type="dxa"/>
            <w:tcBorders>
              <w:top w:val="nil"/>
              <w:left w:val="nil"/>
              <w:bottom w:val="single" w:sz="4" w:space="0" w:color="auto"/>
              <w:right w:val="single" w:sz="4" w:space="0" w:color="auto"/>
            </w:tcBorders>
            <w:shd w:val="clear" w:color="000000" w:fill="FFFFFF"/>
            <w:noWrap/>
            <w:vAlign w:val="center"/>
            <w:hideMark/>
          </w:tcPr>
          <w:p w:rsidR="00B07AB8" w:rsidRPr="00B07AB8" w:rsidRDefault="00B07AB8" w:rsidP="00103148">
            <w:pPr>
              <w:spacing w:after="0" w:line="312" w:lineRule="auto"/>
              <w:jc w:val="center"/>
              <w:rPr>
                <w:rFonts w:ascii="Arial Narrow" w:hAnsi="Arial Narrow"/>
                <w:sz w:val="20"/>
                <w:szCs w:val="20"/>
              </w:rPr>
            </w:pPr>
            <w:r w:rsidRPr="00B07AB8">
              <w:rPr>
                <w:rFonts w:ascii="Arial Narrow" w:hAnsi="Arial Narrow"/>
                <w:sz w:val="20"/>
                <w:szCs w:val="20"/>
              </w:rPr>
              <w:t>103,21%</w:t>
            </w:r>
          </w:p>
        </w:tc>
      </w:tr>
      <w:tr w:rsidR="00B07AB8" w:rsidRPr="00B07AB8" w:rsidTr="00103148">
        <w:tc>
          <w:tcPr>
            <w:tcW w:w="764" w:type="dxa"/>
            <w:vMerge/>
            <w:tcBorders>
              <w:left w:val="single" w:sz="4" w:space="0" w:color="auto"/>
              <w:right w:val="single" w:sz="4" w:space="0" w:color="auto"/>
            </w:tcBorders>
            <w:vAlign w:val="center"/>
            <w:hideMark/>
          </w:tcPr>
          <w:p w:rsidR="00B07AB8" w:rsidRPr="00B07AB8" w:rsidRDefault="00B07AB8" w:rsidP="00103148">
            <w:pPr>
              <w:spacing w:after="0" w:line="312" w:lineRule="auto"/>
              <w:rPr>
                <w:rFonts w:ascii="Arial Narrow" w:hAnsi="Arial Narrow"/>
                <w:sz w:val="20"/>
                <w:szCs w:val="20"/>
              </w:rPr>
            </w:pPr>
          </w:p>
        </w:tc>
        <w:tc>
          <w:tcPr>
            <w:tcW w:w="7146" w:type="dxa"/>
            <w:tcBorders>
              <w:top w:val="nil"/>
              <w:left w:val="nil"/>
              <w:bottom w:val="single" w:sz="4" w:space="0" w:color="auto"/>
              <w:right w:val="single" w:sz="4" w:space="0" w:color="auto"/>
            </w:tcBorders>
            <w:shd w:val="clear" w:color="000000" w:fill="FFFFFF"/>
            <w:vAlign w:val="center"/>
            <w:hideMark/>
          </w:tcPr>
          <w:p w:rsidR="00B07AB8" w:rsidRPr="00B07AB8" w:rsidRDefault="00B07AB8" w:rsidP="00103148">
            <w:pPr>
              <w:spacing w:after="0" w:line="312" w:lineRule="auto"/>
              <w:jc w:val="right"/>
              <w:rPr>
                <w:rFonts w:ascii="Arial Narrow" w:hAnsi="Arial Narrow"/>
                <w:sz w:val="20"/>
                <w:szCs w:val="20"/>
              </w:rPr>
            </w:pPr>
            <w:r w:rsidRPr="00B07AB8">
              <w:rPr>
                <w:rFonts w:ascii="Arial Narrow" w:hAnsi="Arial Narrow"/>
                <w:sz w:val="20"/>
                <w:szCs w:val="20"/>
              </w:rPr>
              <w:t>в т. ч. в г. Новосибирске (МУП «Горводоканал»)</w:t>
            </w:r>
          </w:p>
        </w:tc>
        <w:tc>
          <w:tcPr>
            <w:tcW w:w="1982" w:type="dxa"/>
            <w:tcBorders>
              <w:top w:val="nil"/>
              <w:left w:val="nil"/>
              <w:bottom w:val="single" w:sz="4" w:space="0" w:color="auto"/>
              <w:right w:val="single" w:sz="4" w:space="0" w:color="auto"/>
            </w:tcBorders>
            <w:shd w:val="clear" w:color="000000" w:fill="FFFFFF"/>
            <w:noWrap/>
            <w:vAlign w:val="center"/>
            <w:hideMark/>
          </w:tcPr>
          <w:p w:rsidR="00B07AB8" w:rsidRPr="00B07AB8" w:rsidRDefault="00B07AB8" w:rsidP="00103148">
            <w:pPr>
              <w:spacing w:after="0" w:line="312" w:lineRule="auto"/>
              <w:jc w:val="center"/>
              <w:rPr>
                <w:rFonts w:ascii="Arial Narrow" w:hAnsi="Arial Narrow"/>
                <w:sz w:val="20"/>
                <w:szCs w:val="20"/>
              </w:rPr>
            </w:pPr>
            <w:r w:rsidRPr="00B07AB8">
              <w:rPr>
                <w:rFonts w:ascii="Arial Narrow" w:hAnsi="Arial Narrow"/>
                <w:sz w:val="20"/>
                <w:szCs w:val="20"/>
              </w:rPr>
              <w:t>103,51%</w:t>
            </w:r>
          </w:p>
        </w:tc>
      </w:tr>
      <w:tr w:rsidR="00B07AB8" w:rsidRPr="00B07AB8" w:rsidTr="00103148">
        <w:tc>
          <w:tcPr>
            <w:tcW w:w="764" w:type="dxa"/>
            <w:vMerge/>
            <w:tcBorders>
              <w:left w:val="single" w:sz="4" w:space="0" w:color="auto"/>
              <w:right w:val="single" w:sz="4" w:space="0" w:color="auto"/>
            </w:tcBorders>
            <w:vAlign w:val="center"/>
            <w:hideMark/>
          </w:tcPr>
          <w:p w:rsidR="00B07AB8" w:rsidRPr="00B07AB8" w:rsidRDefault="00B07AB8" w:rsidP="00103148">
            <w:pPr>
              <w:spacing w:after="0" w:line="312" w:lineRule="auto"/>
              <w:rPr>
                <w:rFonts w:ascii="Arial Narrow" w:hAnsi="Arial Narrow"/>
                <w:sz w:val="20"/>
                <w:szCs w:val="20"/>
              </w:rPr>
            </w:pPr>
          </w:p>
        </w:tc>
        <w:tc>
          <w:tcPr>
            <w:tcW w:w="7146" w:type="dxa"/>
            <w:tcBorders>
              <w:top w:val="nil"/>
              <w:left w:val="nil"/>
              <w:bottom w:val="single" w:sz="4" w:space="0" w:color="auto"/>
              <w:right w:val="single" w:sz="4" w:space="0" w:color="auto"/>
            </w:tcBorders>
            <w:shd w:val="clear" w:color="000000" w:fill="FFFFFF"/>
            <w:noWrap/>
            <w:vAlign w:val="center"/>
            <w:hideMark/>
          </w:tcPr>
          <w:p w:rsidR="00B07AB8" w:rsidRPr="00B07AB8" w:rsidRDefault="00B07AB8" w:rsidP="00103148">
            <w:pPr>
              <w:spacing w:after="0" w:line="312" w:lineRule="auto"/>
              <w:rPr>
                <w:rFonts w:ascii="Arial Narrow" w:hAnsi="Arial Narrow"/>
                <w:sz w:val="20"/>
                <w:szCs w:val="20"/>
              </w:rPr>
            </w:pPr>
            <w:r w:rsidRPr="00B07AB8">
              <w:rPr>
                <w:rFonts w:ascii="Arial Narrow" w:hAnsi="Arial Narrow"/>
                <w:bCs/>
                <w:sz w:val="20"/>
                <w:szCs w:val="20"/>
              </w:rPr>
              <w:t>Водоотведение (руб./м3)</w:t>
            </w:r>
          </w:p>
        </w:tc>
        <w:tc>
          <w:tcPr>
            <w:tcW w:w="1982" w:type="dxa"/>
            <w:tcBorders>
              <w:top w:val="nil"/>
              <w:left w:val="nil"/>
              <w:bottom w:val="single" w:sz="4" w:space="0" w:color="auto"/>
              <w:right w:val="single" w:sz="4" w:space="0" w:color="auto"/>
            </w:tcBorders>
            <w:shd w:val="clear" w:color="000000" w:fill="FFFFFF"/>
            <w:noWrap/>
            <w:vAlign w:val="center"/>
            <w:hideMark/>
          </w:tcPr>
          <w:p w:rsidR="00B07AB8" w:rsidRPr="00B07AB8" w:rsidRDefault="00B07AB8" w:rsidP="00103148">
            <w:pPr>
              <w:spacing w:after="0" w:line="312" w:lineRule="auto"/>
              <w:jc w:val="center"/>
              <w:rPr>
                <w:rFonts w:ascii="Arial Narrow" w:hAnsi="Arial Narrow"/>
                <w:sz w:val="20"/>
                <w:szCs w:val="20"/>
              </w:rPr>
            </w:pPr>
            <w:r w:rsidRPr="00B07AB8">
              <w:rPr>
                <w:rFonts w:ascii="Arial Narrow" w:hAnsi="Arial Narrow"/>
                <w:sz w:val="20"/>
                <w:szCs w:val="20"/>
              </w:rPr>
              <w:t> </w:t>
            </w:r>
          </w:p>
        </w:tc>
      </w:tr>
      <w:tr w:rsidR="00B07AB8" w:rsidRPr="00B07AB8" w:rsidTr="00103148">
        <w:tc>
          <w:tcPr>
            <w:tcW w:w="764" w:type="dxa"/>
            <w:vMerge/>
            <w:tcBorders>
              <w:left w:val="single" w:sz="4" w:space="0" w:color="auto"/>
              <w:right w:val="single" w:sz="4" w:space="0" w:color="auto"/>
            </w:tcBorders>
            <w:vAlign w:val="center"/>
            <w:hideMark/>
          </w:tcPr>
          <w:p w:rsidR="00B07AB8" w:rsidRPr="00B07AB8" w:rsidRDefault="00B07AB8" w:rsidP="00103148">
            <w:pPr>
              <w:spacing w:after="0" w:line="312" w:lineRule="auto"/>
              <w:rPr>
                <w:rFonts w:ascii="Arial Narrow" w:hAnsi="Arial Narrow"/>
                <w:sz w:val="20"/>
                <w:szCs w:val="20"/>
              </w:rPr>
            </w:pPr>
          </w:p>
        </w:tc>
        <w:tc>
          <w:tcPr>
            <w:tcW w:w="7146" w:type="dxa"/>
            <w:tcBorders>
              <w:top w:val="nil"/>
              <w:left w:val="nil"/>
              <w:bottom w:val="single" w:sz="4" w:space="0" w:color="auto"/>
              <w:right w:val="single" w:sz="4" w:space="0" w:color="auto"/>
            </w:tcBorders>
            <w:shd w:val="clear" w:color="000000" w:fill="FFFFFF"/>
            <w:vAlign w:val="center"/>
            <w:hideMark/>
          </w:tcPr>
          <w:p w:rsidR="00B07AB8" w:rsidRPr="00B07AB8" w:rsidRDefault="00B07AB8" w:rsidP="00103148">
            <w:pPr>
              <w:spacing w:after="0" w:line="312" w:lineRule="auto"/>
              <w:jc w:val="right"/>
              <w:rPr>
                <w:rFonts w:ascii="Arial Narrow" w:hAnsi="Arial Narrow"/>
                <w:sz w:val="20"/>
                <w:szCs w:val="20"/>
              </w:rPr>
            </w:pPr>
            <w:r w:rsidRPr="00B07AB8">
              <w:rPr>
                <w:rFonts w:ascii="Arial Narrow" w:hAnsi="Arial Narrow"/>
                <w:sz w:val="20"/>
                <w:szCs w:val="20"/>
              </w:rPr>
              <w:t xml:space="preserve"> средневзвешенный тариф по Новосибирской области</w:t>
            </w:r>
          </w:p>
        </w:tc>
        <w:tc>
          <w:tcPr>
            <w:tcW w:w="1982" w:type="dxa"/>
            <w:tcBorders>
              <w:top w:val="nil"/>
              <w:left w:val="nil"/>
              <w:bottom w:val="single" w:sz="4" w:space="0" w:color="auto"/>
              <w:right w:val="single" w:sz="4" w:space="0" w:color="auto"/>
            </w:tcBorders>
            <w:shd w:val="clear" w:color="000000" w:fill="FFFFFF"/>
            <w:noWrap/>
            <w:vAlign w:val="center"/>
            <w:hideMark/>
          </w:tcPr>
          <w:p w:rsidR="00B07AB8" w:rsidRPr="00B07AB8" w:rsidRDefault="00B07AB8" w:rsidP="00103148">
            <w:pPr>
              <w:spacing w:after="0" w:line="312" w:lineRule="auto"/>
              <w:jc w:val="center"/>
              <w:rPr>
                <w:rFonts w:ascii="Arial Narrow" w:hAnsi="Arial Narrow"/>
                <w:sz w:val="20"/>
                <w:szCs w:val="20"/>
              </w:rPr>
            </w:pPr>
            <w:r w:rsidRPr="00B07AB8">
              <w:rPr>
                <w:rFonts w:ascii="Arial Narrow" w:hAnsi="Arial Narrow"/>
                <w:sz w:val="20"/>
                <w:szCs w:val="20"/>
              </w:rPr>
              <w:t>103,62%</w:t>
            </w:r>
          </w:p>
        </w:tc>
      </w:tr>
      <w:tr w:rsidR="00B07AB8" w:rsidRPr="00B07AB8" w:rsidTr="00103148">
        <w:tc>
          <w:tcPr>
            <w:tcW w:w="764" w:type="dxa"/>
            <w:vMerge/>
            <w:tcBorders>
              <w:left w:val="single" w:sz="4" w:space="0" w:color="auto"/>
              <w:right w:val="single" w:sz="4" w:space="0" w:color="auto"/>
            </w:tcBorders>
            <w:vAlign w:val="center"/>
            <w:hideMark/>
          </w:tcPr>
          <w:p w:rsidR="00B07AB8" w:rsidRPr="00B07AB8" w:rsidRDefault="00B07AB8" w:rsidP="00103148">
            <w:pPr>
              <w:spacing w:after="0" w:line="312" w:lineRule="auto"/>
              <w:rPr>
                <w:rFonts w:ascii="Arial Narrow" w:hAnsi="Arial Narrow"/>
                <w:sz w:val="20"/>
                <w:szCs w:val="20"/>
              </w:rPr>
            </w:pPr>
          </w:p>
        </w:tc>
        <w:tc>
          <w:tcPr>
            <w:tcW w:w="7146" w:type="dxa"/>
            <w:tcBorders>
              <w:top w:val="nil"/>
              <w:left w:val="nil"/>
              <w:bottom w:val="single" w:sz="4" w:space="0" w:color="auto"/>
              <w:right w:val="single" w:sz="4" w:space="0" w:color="auto"/>
            </w:tcBorders>
            <w:shd w:val="clear" w:color="000000" w:fill="FFFFFF"/>
            <w:vAlign w:val="center"/>
            <w:hideMark/>
          </w:tcPr>
          <w:p w:rsidR="00B07AB8" w:rsidRPr="00B07AB8" w:rsidRDefault="00B07AB8" w:rsidP="00103148">
            <w:pPr>
              <w:spacing w:after="0" w:line="312" w:lineRule="auto"/>
              <w:jc w:val="right"/>
              <w:rPr>
                <w:rFonts w:ascii="Arial Narrow" w:hAnsi="Arial Narrow"/>
                <w:sz w:val="20"/>
                <w:szCs w:val="20"/>
              </w:rPr>
            </w:pPr>
            <w:r w:rsidRPr="00B07AB8">
              <w:rPr>
                <w:rFonts w:ascii="Arial Narrow" w:hAnsi="Arial Narrow"/>
                <w:sz w:val="20"/>
                <w:szCs w:val="20"/>
              </w:rPr>
              <w:t>в т. ч. в г. Новосибирске (МУП «Горводоканал»)</w:t>
            </w:r>
          </w:p>
        </w:tc>
        <w:tc>
          <w:tcPr>
            <w:tcW w:w="1982" w:type="dxa"/>
            <w:tcBorders>
              <w:top w:val="nil"/>
              <w:left w:val="nil"/>
              <w:bottom w:val="single" w:sz="4" w:space="0" w:color="auto"/>
              <w:right w:val="single" w:sz="4" w:space="0" w:color="auto"/>
            </w:tcBorders>
            <w:shd w:val="clear" w:color="000000" w:fill="FFFFFF"/>
            <w:noWrap/>
            <w:vAlign w:val="center"/>
            <w:hideMark/>
          </w:tcPr>
          <w:p w:rsidR="00B07AB8" w:rsidRPr="00B07AB8" w:rsidRDefault="00B07AB8" w:rsidP="00103148">
            <w:pPr>
              <w:spacing w:after="0" w:line="312" w:lineRule="auto"/>
              <w:jc w:val="center"/>
              <w:rPr>
                <w:rFonts w:ascii="Arial Narrow" w:hAnsi="Arial Narrow"/>
                <w:sz w:val="20"/>
                <w:szCs w:val="20"/>
              </w:rPr>
            </w:pPr>
            <w:r w:rsidRPr="00B07AB8">
              <w:rPr>
                <w:rFonts w:ascii="Arial Narrow" w:hAnsi="Arial Narrow"/>
                <w:sz w:val="20"/>
                <w:szCs w:val="20"/>
              </w:rPr>
              <w:t>103,60%</w:t>
            </w:r>
          </w:p>
        </w:tc>
      </w:tr>
      <w:tr w:rsidR="00B07AB8" w:rsidRPr="00B07AB8" w:rsidTr="00103148">
        <w:tc>
          <w:tcPr>
            <w:tcW w:w="764" w:type="dxa"/>
            <w:vMerge/>
            <w:tcBorders>
              <w:left w:val="single" w:sz="4" w:space="0" w:color="auto"/>
              <w:bottom w:val="single" w:sz="4" w:space="0" w:color="000000"/>
              <w:right w:val="single" w:sz="4" w:space="0" w:color="auto"/>
            </w:tcBorders>
            <w:shd w:val="clear" w:color="000000" w:fill="FFFFFF"/>
            <w:vAlign w:val="center"/>
          </w:tcPr>
          <w:p w:rsidR="00B07AB8" w:rsidRPr="00B07AB8" w:rsidRDefault="00B07AB8" w:rsidP="00103148">
            <w:pPr>
              <w:spacing w:after="0" w:line="312" w:lineRule="auto"/>
              <w:jc w:val="center"/>
              <w:rPr>
                <w:rFonts w:ascii="Arial Narrow" w:hAnsi="Arial Narrow"/>
                <w:sz w:val="20"/>
                <w:szCs w:val="20"/>
              </w:rPr>
            </w:pPr>
          </w:p>
        </w:tc>
        <w:tc>
          <w:tcPr>
            <w:tcW w:w="7146" w:type="dxa"/>
            <w:tcBorders>
              <w:top w:val="nil"/>
              <w:left w:val="nil"/>
              <w:bottom w:val="single" w:sz="4" w:space="0" w:color="auto"/>
              <w:right w:val="single" w:sz="4" w:space="0" w:color="auto"/>
            </w:tcBorders>
            <w:shd w:val="clear" w:color="000000" w:fill="FFFFFF"/>
            <w:vAlign w:val="center"/>
          </w:tcPr>
          <w:p w:rsidR="00B07AB8" w:rsidRPr="00B07AB8" w:rsidRDefault="00B07AB8" w:rsidP="00103148">
            <w:pPr>
              <w:spacing w:after="0" w:line="312" w:lineRule="auto"/>
              <w:rPr>
                <w:rFonts w:ascii="Arial Narrow" w:hAnsi="Arial Narrow"/>
                <w:sz w:val="20"/>
                <w:szCs w:val="20"/>
              </w:rPr>
            </w:pPr>
            <w:r w:rsidRPr="00B07AB8">
              <w:rPr>
                <w:rFonts w:ascii="Arial Narrow" w:hAnsi="Arial Narrow"/>
                <w:sz w:val="20"/>
                <w:szCs w:val="20"/>
              </w:rPr>
              <w:t>Водоснабжение и водоотведение</w:t>
            </w:r>
          </w:p>
        </w:tc>
        <w:tc>
          <w:tcPr>
            <w:tcW w:w="1982" w:type="dxa"/>
            <w:tcBorders>
              <w:top w:val="nil"/>
              <w:left w:val="nil"/>
              <w:bottom w:val="single" w:sz="4" w:space="0" w:color="auto"/>
              <w:right w:val="single" w:sz="4" w:space="0" w:color="auto"/>
            </w:tcBorders>
            <w:shd w:val="clear" w:color="000000" w:fill="FFFFFF"/>
            <w:vAlign w:val="center"/>
          </w:tcPr>
          <w:p w:rsidR="00B07AB8" w:rsidRPr="00B07AB8" w:rsidRDefault="00B07AB8" w:rsidP="00103148">
            <w:pPr>
              <w:spacing w:after="0" w:line="312" w:lineRule="auto"/>
              <w:jc w:val="center"/>
              <w:rPr>
                <w:rFonts w:ascii="Arial Narrow" w:hAnsi="Arial Narrow"/>
                <w:sz w:val="20"/>
                <w:szCs w:val="20"/>
              </w:rPr>
            </w:pPr>
            <w:r w:rsidRPr="00B07AB8">
              <w:rPr>
                <w:rFonts w:ascii="Arial Narrow" w:hAnsi="Arial Narrow"/>
                <w:sz w:val="20"/>
                <w:szCs w:val="20"/>
              </w:rPr>
              <w:t>103,41%</w:t>
            </w:r>
          </w:p>
        </w:tc>
      </w:tr>
      <w:tr w:rsidR="00B07AB8" w:rsidRPr="00B07AB8" w:rsidTr="00103148">
        <w:tc>
          <w:tcPr>
            <w:tcW w:w="764" w:type="dxa"/>
            <w:vMerge w:val="restart"/>
            <w:tcBorders>
              <w:top w:val="nil"/>
              <w:left w:val="single" w:sz="4" w:space="0" w:color="auto"/>
              <w:bottom w:val="single" w:sz="4" w:space="0" w:color="000000"/>
              <w:right w:val="single" w:sz="4" w:space="0" w:color="auto"/>
            </w:tcBorders>
            <w:shd w:val="clear" w:color="000000" w:fill="FFFFFF"/>
            <w:vAlign w:val="center"/>
            <w:hideMark/>
          </w:tcPr>
          <w:p w:rsidR="00B07AB8" w:rsidRPr="00B07AB8" w:rsidRDefault="00B07AB8" w:rsidP="00103148">
            <w:pPr>
              <w:spacing w:after="0" w:line="312" w:lineRule="auto"/>
              <w:jc w:val="center"/>
              <w:rPr>
                <w:rFonts w:ascii="Arial Narrow" w:hAnsi="Arial Narrow"/>
                <w:sz w:val="20"/>
                <w:szCs w:val="20"/>
              </w:rPr>
            </w:pPr>
            <w:r w:rsidRPr="00B07AB8">
              <w:rPr>
                <w:rFonts w:ascii="Arial Narrow" w:hAnsi="Arial Narrow"/>
                <w:sz w:val="20"/>
                <w:szCs w:val="20"/>
              </w:rPr>
              <w:t>4.2.3.</w:t>
            </w:r>
          </w:p>
        </w:tc>
        <w:tc>
          <w:tcPr>
            <w:tcW w:w="7146" w:type="dxa"/>
            <w:tcBorders>
              <w:top w:val="nil"/>
              <w:left w:val="nil"/>
              <w:bottom w:val="single" w:sz="4" w:space="0" w:color="auto"/>
              <w:right w:val="single" w:sz="4" w:space="0" w:color="auto"/>
            </w:tcBorders>
            <w:shd w:val="clear" w:color="000000" w:fill="FFFFFF"/>
            <w:vAlign w:val="center"/>
            <w:hideMark/>
          </w:tcPr>
          <w:p w:rsidR="00B07AB8" w:rsidRPr="00B07AB8" w:rsidRDefault="00B07AB8" w:rsidP="00103148">
            <w:pPr>
              <w:spacing w:after="0" w:line="312" w:lineRule="auto"/>
              <w:rPr>
                <w:rFonts w:ascii="Arial Narrow" w:hAnsi="Arial Narrow"/>
                <w:sz w:val="20"/>
                <w:szCs w:val="20"/>
              </w:rPr>
            </w:pPr>
            <w:r w:rsidRPr="00B07AB8">
              <w:rPr>
                <w:rFonts w:ascii="Arial Narrow" w:hAnsi="Arial Narrow"/>
                <w:sz w:val="20"/>
                <w:szCs w:val="20"/>
              </w:rPr>
              <w:t>Транспортировка газа по трубопроводам</w:t>
            </w:r>
          </w:p>
        </w:tc>
        <w:tc>
          <w:tcPr>
            <w:tcW w:w="1982" w:type="dxa"/>
            <w:tcBorders>
              <w:top w:val="nil"/>
              <w:left w:val="nil"/>
              <w:bottom w:val="single" w:sz="4" w:space="0" w:color="auto"/>
              <w:right w:val="single" w:sz="4" w:space="0" w:color="auto"/>
            </w:tcBorders>
            <w:shd w:val="clear" w:color="000000" w:fill="FFFFFF"/>
            <w:vAlign w:val="center"/>
            <w:hideMark/>
          </w:tcPr>
          <w:p w:rsidR="00B07AB8" w:rsidRPr="00B07AB8" w:rsidRDefault="00B07AB8" w:rsidP="00103148">
            <w:pPr>
              <w:spacing w:after="0" w:line="312" w:lineRule="auto"/>
              <w:jc w:val="center"/>
              <w:rPr>
                <w:rFonts w:ascii="Arial Narrow" w:hAnsi="Arial Narrow"/>
                <w:sz w:val="20"/>
                <w:szCs w:val="20"/>
              </w:rPr>
            </w:pPr>
            <w:r w:rsidRPr="00B07AB8">
              <w:rPr>
                <w:rFonts w:ascii="Arial Narrow" w:hAnsi="Arial Narrow"/>
                <w:sz w:val="20"/>
                <w:szCs w:val="20"/>
              </w:rPr>
              <w:t> </w:t>
            </w:r>
          </w:p>
        </w:tc>
      </w:tr>
      <w:tr w:rsidR="00B07AB8" w:rsidRPr="00B07AB8" w:rsidTr="00103148">
        <w:tc>
          <w:tcPr>
            <w:tcW w:w="764" w:type="dxa"/>
            <w:vMerge/>
            <w:tcBorders>
              <w:top w:val="nil"/>
              <w:left w:val="single" w:sz="4" w:space="0" w:color="auto"/>
              <w:bottom w:val="single" w:sz="4" w:space="0" w:color="000000"/>
              <w:right w:val="single" w:sz="4" w:space="0" w:color="auto"/>
            </w:tcBorders>
            <w:vAlign w:val="center"/>
            <w:hideMark/>
          </w:tcPr>
          <w:p w:rsidR="00B07AB8" w:rsidRPr="00B07AB8" w:rsidRDefault="00B07AB8" w:rsidP="00103148">
            <w:pPr>
              <w:spacing w:after="0" w:line="312" w:lineRule="auto"/>
              <w:rPr>
                <w:rFonts w:ascii="Arial Narrow" w:hAnsi="Arial Narrow"/>
                <w:sz w:val="20"/>
                <w:szCs w:val="20"/>
              </w:rPr>
            </w:pPr>
          </w:p>
        </w:tc>
        <w:tc>
          <w:tcPr>
            <w:tcW w:w="7146" w:type="dxa"/>
            <w:tcBorders>
              <w:top w:val="nil"/>
              <w:left w:val="nil"/>
              <w:bottom w:val="single" w:sz="4" w:space="0" w:color="auto"/>
              <w:right w:val="single" w:sz="4" w:space="0" w:color="auto"/>
            </w:tcBorders>
            <w:shd w:val="clear" w:color="000000" w:fill="FFFFFF"/>
            <w:noWrap/>
            <w:vAlign w:val="bottom"/>
            <w:hideMark/>
          </w:tcPr>
          <w:p w:rsidR="00B07AB8" w:rsidRPr="00B07AB8" w:rsidRDefault="00B07AB8" w:rsidP="00103148">
            <w:pPr>
              <w:spacing w:after="0" w:line="312" w:lineRule="auto"/>
              <w:jc w:val="right"/>
              <w:rPr>
                <w:rFonts w:ascii="Arial Narrow" w:hAnsi="Arial Narrow"/>
                <w:sz w:val="20"/>
                <w:szCs w:val="20"/>
              </w:rPr>
            </w:pPr>
            <w:r w:rsidRPr="00B07AB8">
              <w:rPr>
                <w:rFonts w:ascii="Arial Narrow" w:hAnsi="Arial Narrow"/>
                <w:sz w:val="20"/>
                <w:szCs w:val="20"/>
              </w:rPr>
              <w:t xml:space="preserve">на приготовление пищи и нагрев воды с использованием газовой плиты </w:t>
            </w:r>
          </w:p>
        </w:tc>
        <w:tc>
          <w:tcPr>
            <w:tcW w:w="1982" w:type="dxa"/>
            <w:tcBorders>
              <w:top w:val="nil"/>
              <w:left w:val="nil"/>
              <w:bottom w:val="single" w:sz="4" w:space="0" w:color="auto"/>
              <w:right w:val="single" w:sz="4" w:space="0" w:color="auto"/>
            </w:tcBorders>
            <w:shd w:val="clear" w:color="000000" w:fill="FFFFFF"/>
            <w:noWrap/>
            <w:vAlign w:val="bottom"/>
            <w:hideMark/>
          </w:tcPr>
          <w:p w:rsidR="00B07AB8" w:rsidRPr="00B07AB8" w:rsidRDefault="00B07AB8" w:rsidP="00103148">
            <w:pPr>
              <w:spacing w:after="0" w:line="312" w:lineRule="auto"/>
              <w:jc w:val="center"/>
              <w:rPr>
                <w:rFonts w:ascii="Arial Narrow" w:hAnsi="Arial Narrow"/>
                <w:sz w:val="20"/>
                <w:szCs w:val="20"/>
              </w:rPr>
            </w:pPr>
            <w:r w:rsidRPr="00B07AB8">
              <w:rPr>
                <w:rFonts w:ascii="Arial Narrow" w:hAnsi="Arial Narrow"/>
                <w:sz w:val="20"/>
                <w:szCs w:val="20"/>
              </w:rPr>
              <w:t>103,00%</w:t>
            </w:r>
          </w:p>
        </w:tc>
      </w:tr>
      <w:tr w:rsidR="00B07AB8" w:rsidRPr="00B07AB8" w:rsidTr="00103148">
        <w:tc>
          <w:tcPr>
            <w:tcW w:w="764" w:type="dxa"/>
            <w:vMerge/>
            <w:tcBorders>
              <w:top w:val="nil"/>
              <w:left w:val="single" w:sz="4" w:space="0" w:color="auto"/>
              <w:bottom w:val="single" w:sz="4" w:space="0" w:color="000000"/>
              <w:right w:val="single" w:sz="4" w:space="0" w:color="auto"/>
            </w:tcBorders>
            <w:vAlign w:val="center"/>
            <w:hideMark/>
          </w:tcPr>
          <w:p w:rsidR="00B07AB8" w:rsidRPr="00B07AB8" w:rsidRDefault="00B07AB8" w:rsidP="00103148">
            <w:pPr>
              <w:spacing w:after="0" w:line="312" w:lineRule="auto"/>
              <w:rPr>
                <w:rFonts w:ascii="Arial Narrow" w:hAnsi="Arial Narrow"/>
                <w:sz w:val="20"/>
                <w:szCs w:val="20"/>
              </w:rPr>
            </w:pPr>
          </w:p>
        </w:tc>
        <w:tc>
          <w:tcPr>
            <w:tcW w:w="7146" w:type="dxa"/>
            <w:tcBorders>
              <w:top w:val="nil"/>
              <w:left w:val="nil"/>
              <w:bottom w:val="single" w:sz="4" w:space="0" w:color="auto"/>
              <w:right w:val="single" w:sz="4" w:space="0" w:color="auto"/>
            </w:tcBorders>
            <w:shd w:val="clear" w:color="000000" w:fill="FFFFFF"/>
            <w:vAlign w:val="center"/>
            <w:hideMark/>
          </w:tcPr>
          <w:p w:rsidR="00B07AB8" w:rsidRPr="00B07AB8" w:rsidRDefault="00B07AB8" w:rsidP="00103148">
            <w:pPr>
              <w:spacing w:after="0" w:line="312" w:lineRule="auto"/>
              <w:jc w:val="right"/>
              <w:rPr>
                <w:rFonts w:ascii="Arial Narrow" w:hAnsi="Arial Narrow"/>
                <w:sz w:val="20"/>
                <w:szCs w:val="20"/>
              </w:rPr>
            </w:pPr>
            <w:r w:rsidRPr="00B07AB8">
              <w:rPr>
                <w:rFonts w:ascii="Arial Narrow" w:hAnsi="Arial Narrow"/>
                <w:sz w:val="20"/>
                <w:szCs w:val="20"/>
              </w:rPr>
              <w:t xml:space="preserve">на отопление и (или) выработку электрической энергии </w:t>
            </w:r>
          </w:p>
        </w:tc>
        <w:tc>
          <w:tcPr>
            <w:tcW w:w="1982" w:type="dxa"/>
            <w:tcBorders>
              <w:top w:val="nil"/>
              <w:left w:val="nil"/>
              <w:bottom w:val="single" w:sz="4" w:space="0" w:color="auto"/>
              <w:right w:val="single" w:sz="4" w:space="0" w:color="auto"/>
            </w:tcBorders>
            <w:shd w:val="clear" w:color="000000" w:fill="FFFFFF"/>
            <w:noWrap/>
            <w:vAlign w:val="bottom"/>
            <w:hideMark/>
          </w:tcPr>
          <w:p w:rsidR="00B07AB8" w:rsidRPr="00B07AB8" w:rsidRDefault="00B07AB8" w:rsidP="00103148">
            <w:pPr>
              <w:spacing w:after="0" w:line="312" w:lineRule="auto"/>
              <w:jc w:val="center"/>
              <w:rPr>
                <w:rFonts w:ascii="Arial Narrow" w:hAnsi="Arial Narrow"/>
                <w:sz w:val="20"/>
                <w:szCs w:val="20"/>
              </w:rPr>
            </w:pPr>
            <w:r w:rsidRPr="00B07AB8">
              <w:rPr>
                <w:rFonts w:ascii="Arial Narrow" w:hAnsi="Arial Narrow"/>
                <w:sz w:val="20"/>
                <w:szCs w:val="20"/>
              </w:rPr>
              <w:t>103,00%</w:t>
            </w:r>
          </w:p>
        </w:tc>
      </w:tr>
      <w:tr w:rsidR="00B07AB8" w:rsidRPr="00B07AB8" w:rsidTr="00103148">
        <w:tc>
          <w:tcPr>
            <w:tcW w:w="764" w:type="dxa"/>
            <w:tcBorders>
              <w:top w:val="nil"/>
              <w:left w:val="single" w:sz="4" w:space="0" w:color="auto"/>
              <w:bottom w:val="single" w:sz="4" w:space="0" w:color="auto"/>
              <w:right w:val="single" w:sz="4" w:space="0" w:color="auto"/>
            </w:tcBorders>
            <w:shd w:val="clear" w:color="000000" w:fill="FFFFFF"/>
            <w:vAlign w:val="center"/>
            <w:hideMark/>
          </w:tcPr>
          <w:p w:rsidR="00B07AB8" w:rsidRPr="00B07AB8" w:rsidRDefault="00B07AB8" w:rsidP="00103148">
            <w:pPr>
              <w:spacing w:after="0" w:line="312" w:lineRule="auto"/>
              <w:jc w:val="center"/>
              <w:rPr>
                <w:rFonts w:ascii="Arial Narrow" w:hAnsi="Arial Narrow"/>
                <w:sz w:val="20"/>
                <w:szCs w:val="20"/>
              </w:rPr>
            </w:pPr>
            <w:r w:rsidRPr="00B07AB8">
              <w:rPr>
                <w:rFonts w:ascii="Arial Narrow" w:hAnsi="Arial Narrow"/>
                <w:sz w:val="20"/>
                <w:szCs w:val="20"/>
              </w:rPr>
              <w:t>4.2.4.</w:t>
            </w:r>
          </w:p>
        </w:tc>
        <w:tc>
          <w:tcPr>
            <w:tcW w:w="7146" w:type="dxa"/>
            <w:tcBorders>
              <w:top w:val="nil"/>
              <w:left w:val="nil"/>
              <w:bottom w:val="single" w:sz="4" w:space="0" w:color="auto"/>
              <w:right w:val="single" w:sz="4" w:space="0" w:color="auto"/>
            </w:tcBorders>
            <w:shd w:val="clear" w:color="000000" w:fill="FFFFFF"/>
            <w:vAlign w:val="center"/>
            <w:hideMark/>
          </w:tcPr>
          <w:p w:rsidR="00B07AB8" w:rsidRPr="00B07AB8" w:rsidRDefault="00B07AB8" w:rsidP="00103148">
            <w:pPr>
              <w:spacing w:after="0" w:line="312" w:lineRule="auto"/>
              <w:rPr>
                <w:rFonts w:ascii="Arial Narrow" w:hAnsi="Arial Narrow"/>
                <w:sz w:val="20"/>
                <w:szCs w:val="20"/>
              </w:rPr>
            </w:pPr>
            <w:r w:rsidRPr="00B07AB8">
              <w:rPr>
                <w:rFonts w:ascii="Arial Narrow" w:hAnsi="Arial Narrow"/>
                <w:sz w:val="20"/>
                <w:szCs w:val="20"/>
              </w:rPr>
              <w:t>Железнодорожные перевозки (перевозки пассажиров в пригородном сообщении)</w:t>
            </w:r>
          </w:p>
        </w:tc>
        <w:tc>
          <w:tcPr>
            <w:tcW w:w="1982" w:type="dxa"/>
            <w:tcBorders>
              <w:top w:val="nil"/>
              <w:left w:val="nil"/>
              <w:bottom w:val="single" w:sz="4" w:space="0" w:color="auto"/>
              <w:right w:val="single" w:sz="4" w:space="0" w:color="auto"/>
            </w:tcBorders>
            <w:shd w:val="clear" w:color="000000" w:fill="FFFFFF"/>
            <w:noWrap/>
            <w:vAlign w:val="bottom"/>
            <w:hideMark/>
          </w:tcPr>
          <w:p w:rsidR="00B07AB8" w:rsidRPr="00B07AB8" w:rsidRDefault="00B07AB8" w:rsidP="00103148">
            <w:pPr>
              <w:spacing w:after="0" w:line="312" w:lineRule="auto"/>
              <w:jc w:val="center"/>
              <w:rPr>
                <w:rFonts w:ascii="Arial Narrow" w:hAnsi="Arial Narrow"/>
                <w:sz w:val="20"/>
                <w:szCs w:val="20"/>
              </w:rPr>
            </w:pPr>
            <w:r w:rsidRPr="00B07AB8">
              <w:rPr>
                <w:rFonts w:ascii="Arial Narrow" w:hAnsi="Arial Narrow"/>
                <w:sz w:val="20"/>
                <w:szCs w:val="20"/>
              </w:rPr>
              <w:t>100,00%</w:t>
            </w:r>
          </w:p>
        </w:tc>
      </w:tr>
    </w:tbl>
    <w:p w:rsidR="00103148" w:rsidRDefault="00103148" w:rsidP="00103148">
      <w:pPr>
        <w:spacing w:after="0" w:line="312" w:lineRule="auto"/>
        <w:ind w:firstLine="284"/>
        <w:jc w:val="both"/>
        <w:rPr>
          <w:rFonts w:ascii="Arial Narrow" w:hAnsi="Arial Narrow" w:cs="Arial"/>
          <w:b/>
          <w:sz w:val="24"/>
          <w:szCs w:val="24"/>
        </w:rPr>
      </w:pPr>
    </w:p>
    <w:p w:rsidR="00B07AB8" w:rsidRPr="00103148" w:rsidRDefault="00B07AB8" w:rsidP="00103148">
      <w:pPr>
        <w:spacing w:after="0" w:line="312" w:lineRule="auto"/>
        <w:ind w:firstLine="284"/>
        <w:jc w:val="both"/>
        <w:rPr>
          <w:rFonts w:ascii="Arial Narrow" w:hAnsi="Arial Narrow" w:cs="Arial"/>
          <w:b/>
        </w:rPr>
      </w:pPr>
      <w:r w:rsidRPr="00103148">
        <w:rPr>
          <w:rFonts w:ascii="Arial Narrow" w:hAnsi="Arial Narrow" w:cs="Arial"/>
          <w:b/>
        </w:rPr>
        <w:t>Значения показателя 4.3. Доля субъектов предпринимательской деятельности, взаимодействующих прямо или косвенно в экономической деятельности с субъектами естественных монополий, удовлетворенных сроками получения доступа к услугам естественных монополий, сложностью процедур подключения, стоимостью подключения, качеством предоставляемых товаров/услуг субъектами естественных монополий, стоимостью предоставляемых услуг, % от числа опрошенных</w:t>
      </w:r>
    </w:p>
    <w:p w:rsidR="00B07AB8" w:rsidRPr="00103148" w:rsidRDefault="00B07AB8" w:rsidP="00103148">
      <w:pPr>
        <w:spacing w:after="0" w:line="312" w:lineRule="auto"/>
        <w:ind w:firstLine="284"/>
        <w:jc w:val="both"/>
        <w:rPr>
          <w:rFonts w:ascii="Arial Narrow" w:hAnsi="Arial Narrow"/>
        </w:rPr>
      </w:pPr>
      <w:r w:rsidRPr="00103148">
        <w:rPr>
          <w:rFonts w:ascii="Arial Narrow" w:hAnsi="Arial Narrow"/>
          <w:b/>
        </w:rPr>
        <w:t>Удовлетворенность параметрами качества услуг водоснабжения.</w:t>
      </w:r>
      <w:r w:rsidRPr="00103148">
        <w:rPr>
          <w:rFonts w:ascii="Arial Narrow" w:hAnsi="Arial Narrow"/>
        </w:rPr>
        <w:t xml:space="preserve"> Среди всех показателей удовлетворенности услугами водоснабжения/водоотведения субъекты предпринимательства в наибольшей мере удовлетворены качеством предоставляемых услуг (62,6 %). Остальными показателями удовлетворены менее 50 % </w:t>
      </w:r>
      <w:r w:rsidRPr="00103148">
        <w:rPr>
          <w:rFonts w:ascii="Arial Narrow" w:hAnsi="Arial Narrow"/>
        </w:rPr>
        <w:lastRenderedPageBreak/>
        <w:t>опрошенных (в порядке снижения удовлетворенности): стоимостью предоставляемых услуг удовлетворены 38,7 % респондентов, сроками получения доступа к услугам – 36,9 %, сложностью (количеством) процедур подключения – 29,1 %, стоимостью подключения – 22,3 %.</w:t>
      </w:r>
    </w:p>
    <w:p w:rsidR="00B07AB8" w:rsidRPr="00103148" w:rsidRDefault="00B07AB8" w:rsidP="00103148">
      <w:pPr>
        <w:spacing w:after="0" w:line="312" w:lineRule="auto"/>
        <w:ind w:firstLine="284"/>
        <w:jc w:val="both"/>
        <w:rPr>
          <w:rFonts w:ascii="Arial Narrow" w:hAnsi="Arial Narrow"/>
        </w:rPr>
      </w:pPr>
      <w:r w:rsidRPr="00103148">
        <w:rPr>
          <w:rFonts w:ascii="Arial Narrow" w:hAnsi="Arial Narrow"/>
          <w:b/>
        </w:rPr>
        <w:t>Удовлетворенность параметрами качества услуг газоснабжения.</w:t>
      </w:r>
      <w:r w:rsidRPr="00103148">
        <w:rPr>
          <w:rFonts w:ascii="Arial Narrow" w:hAnsi="Arial Narrow"/>
        </w:rPr>
        <w:t xml:space="preserve"> Среди всех показателей удовлетворенности услугами газоснабжения субъекты предпринимательства в наибольшей мере удовлетворены качеством предоставляемых услуг (52,4 %). Остальными показателями удовлетворены менее 50 % опрошенных (в порядке снижения удовлетворенности): стоимостью предоставляемых услуг удовлетворены 29,5 % респондентов, сроками получения доступа к услугам – 29,3 %, сложностью (количеством) процедур подключения – 23,4 %, стоимостью подключения – 16,7 %.</w:t>
      </w:r>
    </w:p>
    <w:p w:rsidR="00B07AB8" w:rsidRPr="00103148" w:rsidRDefault="00B07AB8" w:rsidP="00103148">
      <w:pPr>
        <w:spacing w:after="0" w:line="312" w:lineRule="auto"/>
        <w:ind w:firstLine="284"/>
        <w:jc w:val="both"/>
        <w:rPr>
          <w:rFonts w:ascii="Arial Narrow" w:hAnsi="Arial Narrow"/>
        </w:rPr>
      </w:pPr>
      <w:r w:rsidRPr="00103148">
        <w:rPr>
          <w:rFonts w:ascii="Arial Narrow" w:hAnsi="Arial Narrow"/>
          <w:b/>
        </w:rPr>
        <w:t>Удовлетворенность параметрами качества услуг электроснабжения.</w:t>
      </w:r>
      <w:r w:rsidRPr="00103148">
        <w:rPr>
          <w:rFonts w:ascii="Arial Narrow" w:hAnsi="Arial Narrow"/>
        </w:rPr>
        <w:t xml:space="preserve"> Среди всех показателей удовлетворенности услугами электроснабжения субъекты предпринимательства в наибольшей мере удовлетворены качеством предоставляемых услуг (65,6 %). Остальными показателями удовлетворены менее 50 % опрошенных (в порядке снижения удовлетворенности): стоимостью предоставляемых услуг удовлетворены 34,5 % респондентов, сроками получения доступа к услугам – 36,8 %, сложностью (количеством) процедур подключения – 29,0 %, стоимостью подключения – 21,6 %.</w:t>
      </w:r>
    </w:p>
    <w:p w:rsidR="00B07AB8" w:rsidRPr="00103148" w:rsidRDefault="00B07AB8" w:rsidP="00103148">
      <w:pPr>
        <w:spacing w:after="0" w:line="312" w:lineRule="auto"/>
        <w:ind w:firstLine="284"/>
        <w:jc w:val="both"/>
        <w:rPr>
          <w:rFonts w:ascii="Arial Narrow" w:hAnsi="Arial Narrow"/>
        </w:rPr>
      </w:pPr>
      <w:r w:rsidRPr="00103148">
        <w:rPr>
          <w:rFonts w:ascii="Arial Narrow" w:hAnsi="Arial Narrow"/>
          <w:b/>
        </w:rPr>
        <w:t>Удовлетворенность параметрами качества услуг теплоснабжения.</w:t>
      </w:r>
      <w:r w:rsidRPr="00103148">
        <w:rPr>
          <w:rFonts w:ascii="Arial Narrow" w:hAnsi="Arial Narrow"/>
        </w:rPr>
        <w:t xml:space="preserve"> Среди всех показателей удовлетворенности услугами теплоснабжения субъекты предпринимательства в наибольшей мере удовлетворены качеством предоставляемых услуг (61,5 %). Остальными показателями удовлетворены менее 50 % опрошенных (в порядке снижения удовлетворенности): стоимостью предоставляемых услуг удовлетворены 33,4 % респондентов, сроками получения доступа к услугам – 35,3 %, сложностью (количеством) процедур подключения – 28,0 %, стоимостью подключения – 20,3 %.</w:t>
      </w:r>
    </w:p>
    <w:p w:rsidR="00B07AB8" w:rsidRPr="00103148" w:rsidRDefault="00B07AB8" w:rsidP="00103148">
      <w:pPr>
        <w:spacing w:after="0" w:line="312" w:lineRule="auto"/>
        <w:ind w:firstLine="284"/>
        <w:jc w:val="both"/>
        <w:rPr>
          <w:rFonts w:ascii="Arial Narrow" w:hAnsi="Arial Narrow"/>
        </w:rPr>
      </w:pPr>
      <w:r w:rsidRPr="00103148">
        <w:rPr>
          <w:rFonts w:ascii="Arial Narrow" w:hAnsi="Arial Narrow"/>
        </w:rPr>
        <w:t xml:space="preserve">Таким образом, субъекты предпринимательства в наименьшей мере удовлетворены параметрами услуг, связанными с их подключением, и в особенности – стоимостью подключения (от 16,7 до 22,3 % для различных естественных монополий). Наибольшая удовлетворенность высказана в отношении качества услуг (от 52,4 до 65,6 % для различных естественных монополий). Стоимостью предоставляемых услуг удовлетворены от 29,5% до 38,7% опрошенных субъектов предпринимательства. Различия в оценках основаны на отдельных параметрах качества всех услуг (стоимость, качество и т.д.), а не на отдельных услугах. Отдельные услуги, предоставляемые естественными монополиями (электроснабжение, газоснабжение и т.д.), не имеют существенных отличий в оценках от остальных услуг. </w:t>
      </w:r>
    </w:p>
    <w:p w:rsidR="000D69F3" w:rsidRPr="00103148" w:rsidRDefault="000D69F3" w:rsidP="00103148">
      <w:pPr>
        <w:spacing w:after="0" w:line="312" w:lineRule="auto"/>
        <w:ind w:firstLine="284"/>
        <w:jc w:val="both"/>
        <w:rPr>
          <w:rFonts w:ascii="Arial Narrow" w:hAnsi="Arial Narrow"/>
        </w:rPr>
      </w:pPr>
    </w:p>
    <w:p w:rsidR="00103148" w:rsidRDefault="00103148" w:rsidP="00103148">
      <w:pPr>
        <w:spacing w:after="0" w:line="312" w:lineRule="auto"/>
        <w:rPr>
          <w:rFonts w:ascii="Arial Narrow" w:hAnsi="Arial Narrow"/>
        </w:rPr>
      </w:pPr>
    </w:p>
    <w:p w:rsidR="00103148" w:rsidRDefault="00103148" w:rsidP="00103148">
      <w:pPr>
        <w:spacing w:after="0" w:line="312" w:lineRule="auto"/>
        <w:rPr>
          <w:rFonts w:ascii="Arial Narrow" w:hAnsi="Arial Narrow"/>
        </w:rPr>
      </w:pPr>
    </w:p>
    <w:p w:rsidR="00103148" w:rsidRDefault="00103148" w:rsidP="00103148">
      <w:pPr>
        <w:spacing w:after="0" w:line="312" w:lineRule="auto"/>
        <w:rPr>
          <w:rFonts w:ascii="Arial Narrow" w:hAnsi="Arial Narrow"/>
        </w:rPr>
      </w:pPr>
    </w:p>
    <w:p w:rsidR="00103148" w:rsidRDefault="00103148" w:rsidP="00103148">
      <w:pPr>
        <w:spacing w:after="0" w:line="312" w:lineRule="auto"/>
        <w:rPr>
          <w:rFonts w:ascii="Arial Narrow" w:hAnsi="Arial Narrow"/>
        </w:rPr>
      </w:pPr>
    </w:p>
    <w:p w:rsidR="00103148" w:rsidRDefault="00103148" w:rsidP="00103148">
      <w:pPr>
        <w:spacing w:after="0" w:line="312" w:lineRule="auto"/>
        <w:rPr>
          <w:rFonts w:ascii="Arial Narrow" w:hAnsi="Arial Narrow"/>
        </w:rPr>
      </w:pPr>
    </w:p>
    <w:p w:rsidR="00103148" w:rsidRDefault="00103148" w:rsidP="00103148">
      <w:pPr>
        <w:spacing w:after="0" w:line="312" w:lineRule="auto"/>
        <w:rPr>
          <w:rFonts w:ascii="Arial Narrow" w:hAnsi="Arial Narrow"/>
        </w:rPr>
      </w:pPr>
    </w:p>
    <w:p w:rsidR="00103148" w:rsidRDefault="00103148" w:rsidP="00103148">
      <w:pPr>
        <w:spacing w:after="0" w:line="312" w:lineRule="auto"/>
        <w:rPr>
          <w:rFonts w:ascii="Arial Narrow" w:hAnsi="Arial Narrow"/>
        </w:rPr>
      </w:pPr>
    </w:p>
    <w:p w:rsidR="00103148" w:rsidRDefault="00103148" w:rsidP="00103148">
      <w:pPr>
        <w:spacing w:after="0" w:line="312" w:lineRule="auto"/>
        <w:rPr>
          <w:rFonts w:ascii="Arial Narrow" w:hAnsi="Arial Narrow"/>
        </w:rPr>
      </w:pPr>
    </w:p>
    <w:p w:rsidR="00103148" w:rsidRDefault="00103148" w:rsidP="00103148">
      <w:pPr>
        <w:spacing w:after="0" w:line="312" w:lineRule="auto"/>
        <w:rPr>
          <w:rFonts w:ascii="Arial Narrow" w:hAnsi="Arial Narrow"/>
        </w:rPr>
      </w:pPr>
    </w:p>
    <w:p w:rsidR="00103148" w:rsidRDefault="00103148" w:rsidP="00103148">
      <w:pPr>
        <w:spacing w:after="0" w:line="312" w:lineRule="auto"/>
        <w:rPr>
          <w:rFonts w:ascii="Arial Narrow" w:hAnsi="Arial Narrow"/>
        </w:rPr>
      </w:pPr>
    </w:p>
    <w:p w:rsidR="00B07AB8" w:rsidRPr="00103148" w:rsidRDefault="00B07AB8" w:rsidP="00103148">
      <w:pPr>
        <w:spacing w:after="0" w:line="312" w:lineRule="auto"/>
        <w:rPr>
          <w:rFonts w:ascii="Arial Narrow" w:hAnsi="Arial Narrow"/>
        </w:rPr>
      </w:pPr>
      <w:r w:rsidRPr="00103148">
        <w:rPr>
          <w:rFonts w:ascii="Arial Narrow" w:hAnsi="Arial Narrow"/>
        </w:rPr>
        <w:lastRenderedPageBreak/>
        <w:t xml:space="preserve">Таблица </w:t>
      </w:r>
      <w:r w:rsidR="00614BC7" w:rsidRPr="00103148">
        <w:rPr>
          <w:rFonts w:ascii="Arial Narrow" w:hAnsi="Arial Narrow"/>
        </w:rPr>
        <w:t>5</w:t>
      </w:r>
      <w:r w:rsidR="00A43AC6" w:rsidRPr="00103148">
        <w:rPr>
          <w:rFonts w:ascii="Arial Narrow" w:hAnsi="Arial Narrow"/>
        </w:rPr>
        <w:t>.</w:t>
      </w:r>
      <w:r w:rsidRPr="00103148">
        <w:rPr>
          <w:rFonts w:ascii="Arial Narrow" w:hAnsi="Arial Narrow"/>
        </w:rPr>
        <w:t>11</w:t>
      </w:r>
      <w:r w:rsidR="00A43AC6" w:rsidRPr="00103148">
        <w:rPr>
          <w:rFonts w:ascii="Arial Narrow" w:hAnsi="Arial Narrow"/>
        </w:rPr>
        <w:t>.</w:t>
      </w:r>
      <w:r w:rsidRPr="00103148">
        <w:rPr>
          <w:rFonts w:ascii="Arial Narrow" w:hAnsi="Arial Narrow"/>
        </w:rPr>
        <w:t xml:space="preserve"> – </w:t>
      </w:r>
      <w:r w:rsidRPr="00103148">
        <w:rPr>
          <w:rFonts w:ascii="Arial Narrow" w:hAnsi="Arial Narrow" w:cs="Arial"/>
          <w:b/>
        </w:rPr>
        <w:t>Значения показателя 4.3. Доля субъектов предпринимательской деятельности, взаимодействующих прямо или косвенно в экономической деятельности с субъектами естественных монополий, удовлетворенных сроками получения доступа к услугам естественных монополий, сложностью процедур подключения, стоимостью подключения, качеством предоставляемых товаров/услуг субъектами естественных монополий, стоимостью предоставляемых услуг, % от числа опрошенных</w:t>
      </w:r>
    </w:p>
    <w:tbl>
      <w:tblPr>
        <w:tblW w:w="10697" w:type="dxa"/>
        <w:tblInd w:w="-562" w:type="dxa"/>
        <w:tblLayout w:type="fixed"/>
        <w:tblCellMar>
          <w:left w:w="0" w:type="dxa"/>
          <w:right w:w="0" w:type="dxa"/>
        </w:tblCellMar>
        <w:tblLook w:val="04A0"/>
      </w:tblPr>
      <w:tblGrid>
        <w:gridCol w:w="720"/>
        <w:gridCol w:w="2257"/>
        <w:gridCol w:w="640"/>
        <w:gridCol w:w="636"/>
        <w:gridCol w:w="567"/>
        <w:gridCol w:w="567"/>
        <w:gridCol w:w="431"/>
        <w:gridCol w:w="562"/>
        <w:gridCol w:w="566"/>
        <w:gridCol w:w="567"/>
        <w:gridCol w:w="491"/>
        <w:gridCol w:w="446"/>
        <w:gridCol w:w="546"/>
        <w:gridCol w:w="567"/>
        <w:gridCol w:w="567"/>
        <w:gridCol w:w="567"/>
      </w:tblGrid>
      <w:tr w:rsidR="00B07AB8" w:rsidRPr="00C54B76" w:rsidTr="006A7039">
        <w:trPr>
          <w:cantSplit/>
          <w:trHeight w:val="4242"/>
        </w:trPr>
        <w:tc>
          <w:tcPr>
            <w:tcW w:w="7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w:t>
            </w:r>
          </w:p>
        </w:tc>
        <w:tc>
          <w:tcPr>
            <w:tcW w:w="2257" w:type="dxa"/>
            <w:tcBorders>
              <w:top w:val="single" w:sz="4" w:space="0" w:color="auto"/>
              <w:left w:val="nil"/>
              <w:bottom w:val="single" w:sz="4" w:space="0" w:color="auto"/>
              <w:right w:val="single" w:sz="4" w:space="0" w:color="auto"/>
            </w:tcBorders>
            <w:shd w:val="clear" w:color="auto" w:fill="auto"/>
            <w:vAlign w:val="center"/>
            <w:hideMark/>
          </w:tcPr>
          <w:p w:rsidR="00B07AB8" w:rsidRPr="00C54B76" w:rsidRDefault="00B07AB8" w:rsidP="006A7039">
            <w:pPr>
              <w:spacing w:after="0" w:line="240" w:lineRule="auto"/>
              <w:jc w:val="center"/>
              <w:rPr>
                <w:rFonts w:ascii="Arial Narrow" w:hAnsi="Arial Narrow"/>
                <w:sz w:val="18"/>
                <w:szCs w:val="18"/>
              </w:rPr>
            </w:pPr>
            <w:r w:rsidRPr="00C54B76">
              <w:rPr>
                <w:rFonts w:ascii="Arial Narrow" w:hAnsi="Arial Narrow"/>
                <w:sz w:val="18"/>
                <w:szCs w:val="18"/>
              </w:rPr>
              <w:t>Наименование показателя, единица измерения</w:t>
            </w:r>
          </w:p>
        </w:tc>
        <w:tc>
          <w:tcPr>
            <w:tcW w:w="640" w:type="dxa"/>
            <w:tcBorders>
              <w:top w:val="single" w:sz="4" w:space="0" w:color="auto"/>
              <w:left w:val="nil"/>
              <w:bottom w:val="single" w:sz="4" w:space="0" w:color="auto"/>
              <w:right w:val="single" w:sz="4" w:space="0" w:color="auto"/>
            </w:tcBorders>
            <w:shd w:val="clear" w:color="auto" w:fill="auto"/>
            <w:textDirection w:val="btLr"/>
            <w:vAlign w:val="center"/>
            <w:hideMark/>
          </w:tcPr>
          <w:p w:rsidR="00B07AB8" w:rsidRPr="00C54B76" w:rsidRDefault="00B07AB8" w:rsidP="006A7039">
            <w:pPr>
              <w:spacing w:after="0" w:line="240" w:lineRule="auto"/>
              <w:ind w:left="113" w:right="113"/>
              <w:jc w:val="center"/>
              <w:rPr>
                <w:rFonts w:ascii="Arial Narrow" w:hAnsi="Arial Narrow"/>
                <w:sz w:val="18"/>
                <w:szCs w:val="18"/>
              </w:rPr>
            </w:pPr>
            <w:r w:rsidRPr="00C54B76">
              <w:rPr>
                <w:rFonts w:ascii="Arial Narrow" w:hAnsi="Arial Narrow"/>
                <w:sz w:val="18"/>
                <w:szCs w:val="18"/>
              </w:rPr>
              <w:t>Общий по Новосибирской области</w:t>
            </w:r>
          </w:p>
        </w:tc>
        <w:tc>
          <w:tcPr>
            <w:tcW w:w="636" w:type="dxa"/>
            <w:tcBorders>
              <w:top w:val="single" w:sz="4" w:space="0" w:color="auto"/>
              <w:left w:val="nil"/>
              <w:bottom w:val="single" w:sz="4" w:space="0" w:color="auto"/>
              <w:right w:val="single" w:sz="4" w:space="0" w:color="auto"/>
            </w:tcBorders>
            <w:shd w:val="clear" w:color="auto" w:fill="auto"/>
            <w:noWrap/>
            <w:textDirection w:val="btLr"/>
            <w:vAlign w:val="center"/>
            <w:hideMark/>
          </w:tcPr>
          <w:p w:rsidR="00B07AB8" w:rsidRPr="00C54B76" w:rsidRDefault="00B07AB8" w:rsidP="006A7039">
            <w:pPr>
              <w:spacing w:after="0" w:line="240" w:lineRule="auto"/>
              <w:ind w:left="113" w:right="113"/>
              <w:jc w:val="center"/>
              <w:rPr>
                <w:rFonts w:ascii="Arial Narrow" w:hAnsi="Arial Narrow"/>
                <w:sz w:val="18"/>
                <w:szCs w:val="18"/>
              </w:rPr>
            </w:pPr>
            <w:r w:rsidRPr="00C54B76">
              <w:rPr>
                <w:rFonts w:ascii="Arial Narrow" w:hAnsi="Arial Narrow"/>
                <w:sz w:val="18"/>
                <w:szCs w:val="18"/>
              </w:rPr>
              <w:t>Рынок услуг дошкольного образования (коммерческие детские сады и учреждения пребывания неполного дня)</w:t>
            </w:r>
          </w:p>
        </w:tc>
        <w:tc>
          <w:tcPr>
            <w:tcW w:w="567" w:type="dxa"/>
            <w:tcBorders>
              <w:top w:val="single" w:sz="4" w:space="0" w:color="auto"/>
              <w:left w:val="nil"/>
              <w:bottom w:val="single" w:sz="4" w:space="0" w:color="auto"/>
              <w:right w:val="single" w:sz="4" w:space="0" w:color="auto"/>
            </w:tcBorders>
            <w:shd w:val="clear" w:color="auto" w:fill="auto"/>
            <w:noWrap/>
            <w:textDirection w:val="btLr"/>
            <w:vAlign w:val="center"/>
            <w:hideMark/>
          </w:tcPr>
          <w:p w:rsidR="00B07AB8" w:rsidRPr="00C54B76" w:rsidRDefault="00B07AB8" w:rsidP="006A7039">
            <w:pPr>
              <w:spacing w:after="0" w:line="240" w:lineRule="auto"/>
              <w:ind w:left="113" w:right="113"/>
              <w:jc w:val="center"/>
              <w:rPr>
                <w:rFonts w:ascii="Arial Narrow" w:hAnsi="Arial Narrow"/>
                <w:sz w:val="18"/>
                <w:szCs w:val="18"/>
              </w:rPr>
            </w:pPr>
            <w:r w:rsidRPr="00C54B76">
              <w:rPr>
                <w:rFonts w:ascii="Arial Narrow" w:hAnsi="Arial Narrow"/>
                <w:sz w:val="18"/>
                <w:szCs w:val="18"/>
              </w:rPr>
              <w:t>Рынок услуг детского отдыха и оздоровления</w:t>
            </w:r>
          </w:p>
        </w:tc>
        <w:tc>
          <w:tcPr>
            <w:tcW w:w="567" w:type="dxa"/>
            <w:tcBorders>
              <w:top w:val="single" w:sz="4" w:space="0" w:color="auto"/>
              <w:left w:val="nil"/>
              <w:bottom w:val="single" w:sz="4" w:space="0" w:color="auto"/>
              <w:right w:val="single" w:sz="4" w:space="0" w:color="auto"/>
            </w:tcBorders>
            <w:shd w:val="clear" w:color="auto" w:fill="auto"/>
            <w:noWrap/>
            <w:textDirection w:val="btLr"/>
            <w:vAlign w:val="center"/>
            <w:hideMark/>
          </w:tcPr>
          <w:p w:rsidR="00B07AB8" w:rsidRPr="00C54B76" w:rsidRDefault="00B07AB8" w:rsidP="006A7039">
            <w:pPr>
              <w:spacing w:after="0" w:line="240" w:lineRule="auto"/>
              <w:ind w:left="113" w:right="113"/>
              <w:jc w:val="center"/>
              <w:rPr>
                <w:rFonts w:ascii="Arial Narrow" w:hAnsi="Arial Narrow"/>
                <w:sz w:val="18"/>
                <w:szCs w:val="18"/>
              </w:rPr>
            </w:pPr>
            <w:r w:rsidRPr="00C54B76">
              <w:rPr>
                <w:rFonts w:ascii="Arial Narrow" w:hAnsi="Arial Narrow"/>
                <w:sz w:val="18"/>
                <w:szCs w:val="18"/>
              </w:rPr>
              <w:t>Рынок услуг дополнительного образования детей</w:t>
            </w:r>
          </w:p>
        </w:tc>
        <w:tc>
          <w:tcPr>
            <w:tcW w:w="431" w:type="dxa"/>
            <w:tcBorders>
              <w:top w:val="single" w:sz="4" w:space="0" w:color="auto"/>
              <w:left w:val="nil"/>
              <w:bottom w:val="single" w:sz="4" w:space="0" w:color="auto"/>
              <w:right w:val="single" w:sz="4" w:space="0" w:color="auto"/>
            </w:tcBorders>
            <w:shd w:val="clear" w:color="auto" w:fill="auto"/>
            <w:noWrap/>
            <w:textDirection w:val="btLr"/>
            <w:vAlign w:val="center"/>
            <w:hideMark/>
          </w:tcPr>
          <w:p w:rsidR="00B07AB8" w:rsidRPr="00C54B76" w:rsidRDefault="00B07AB8" w:rsidP="006A7039">
            <w:pPr>
              <w:spacing w:after="0" w:line="240" w:lineRule="auto"/>
              <w:ind w:left="113" w:right="113"/>
              <w:jc w:val="center"/>
              <w:rPr>
                <w:rFonts w:ascii="Arial Narrow" w:hAnsi="Arial Narrow"/>
                <w:sz w:val="18"/>
                <w:szCs w:val="18"/>
              </w:rPr>
            </w:pPr>
            <w:r w:rsidRPr="00C54B76">
              <w:rPr>
                <w:rFonts w:ascii="Arial Narrow" w:hAnsi="Arial Narrow"/>
                <w:sz w:val="18"/>
                <w:szCs w:val="18"/>
              </w:rPr>
              <w:t>Рынок медицинских услуг</w:t>
            </w:r>
          </w:p>
        </w:tc>
        <w:tc>
          <w:tcPr>
            <w:tcW w:w="562" w:type="dxa"/>
            <w:tcBorders>
              <w:top w:val="single" w:sz="4" w:space="0" w:color="auto"/>
              <w:left w:val="nil"/>
              <w:bottom w:val="single" w:sz="4" w:space="0" w:color="auto"/>
              <w:right w:val="single" w:sz="4" w:space="0" w:color="auto"/>
            </w:tcBorders>
            <w:shd w:val="clear" w:color="auto" w:fill="auto"/>
            <w:noWrap/>
            <w:textDirection w:val="btLr"/>
            <w:vAlign w:val="center"/>
            <w:hideMark/>
          </w:tcPr>
          <w:p w:rsidR="00B07AB8" w:rsidRPr="00C54B76" w:rsidRDefault="00B07AB8" w:rsidP="006A7039">
            <w:pPr>
              <w:spacing w:after="0" w:line="240" w:lineRule="auto"/>
              <w:ind w:left="113" w:right="113"/>
              <w:jc w:val="center"/>
              <w:rPr>
                <w:rFonts w:ascii="Arial Narrow" w:hAnsi="Arial Narrow"/>
                <w:sz w:val="18"/>
                <w:szCs w:val="18"/>
              </w:rPr>
            </w:pPr>
            <w:r w:rsidRPr="00C54B76">
              <w:rPr>
                <w:rFonts w:ascii="Arial Narrow" w:hAnsi="Arial Narrow"/>
                <w:sz w:val="18"/>
                <w:szCs w:val="18"/>
              </w:rPr>
              <w:t>Рынок услуг психолого-педагогического сопровождения детей с ограниченными возможностями здоровья</w:t>
            </w:r>
          </w:p>
        </w:tc>
        <w:tc>
          <w:tcPr>
            <w:tcW w:w="566" w:type="dxa"/>
            <w:tcBorders>
              <w:top w:val="single" w:sz="4" w:space="0" w:color="auto"/>
              <w:left w:val="nil"/>
              <w:bottom w:val="single" w:sz="4" w:space="0" w:color="auto"/>
              <w:right w:val="single" w:sz="4" w:space="0" w:color="auto"/>
            </w:tcBorders>
            <w:shd w:val="clear" w:color="auto" w:fill="auto"/>
            <w:noWrap/>
            <w:textDirection w:val="btLr"/>
            <w:vAlign w:val="center"/>
            <w:hideMark/>
          </w:tcPr>
          <w:p w:rsidR="00B07AB8" w:rsidRPr="00C54B76" w:rsidRDefault="00B07AB8" w:rsidP="006A7039">
            <w:pPr>
              <w:spacing w:after="0" w:line="240" w:lineRule="auto"/>
              <w:ind w:left="113" w:right="113"/>
              <w:jc w:val="center"/>
              <w:rPr>
                <w:rFonts w:ascii="Arial Narrow" w:hAnsi="Arial Narrow"/>
                <w:sz w:val="18"/>
                <w:szCs w:val="18"/>
              </w:rPr>
            </w:pPr>
            <w:r w:rsidRPr="00C54B76">
              <w:rPr>
                <w:rFonts w:ascii="Arial Narrow" w:hAnsi="Arial Narrow"/>
                <w:sz w:val="18"/>
                <w:szCs w:val="18"/>
              </w:rPr>
              <w:t>Рынок услуг в сфере культуры</w:t>
            </w:r>
          </w:p>
        </w:tc>
        <w:tc>
          <w:tcPr>
            <w:tcW w:w="567" w:type="dxa"/>
            <w:tcBorders>
              <w:top w:val="single" w:sz="4" w:space="0" w:color="auto"/>
              <w:left w:val="nil"/>
              <w:bottom w:val="single" w:sz="4" w:space="0" w:color="auto"/>
              <w:right w:val="single" w:sz="4" w:space="0" w:color="auto"/>
            </w:tcBorders>
            <w:shd w:val="clear" w:color="auto" w:fill="auto"/>
            <w:noWrap/>
            <w:textDirection w:val="btLr"/>
            <w:vAlign w:val="center"/>
            <w:hideMark/>
          </w:tcPr>
          <w:p w:rsidR="00B07AB8" w:rsidRPr="00C54B76" w:rsidRDefault="00B07AB8" w:rsidP="006A7039">
            <w:pPr>
              <w:spacing w:after="0" w:line="240" w:lineRule="auto"/>
              <w:ind w:left="113" w:right="113"/>
              <w:jc w:val="center"/>
              <w:rPr>
                <w:rFonts w:ascii="Arial Narrow" w:hAnsi="Arial Narrow"/>
                <w:sz w:val="18"/>
                <w:szCs w:val="18"/>
              </w:rPr>
            </w:pPr>
            <w:r w:rsidRPr="00C54B76">
              <w:rPr>
                <w:rFonts w:ascii="Arial Narrow" w:hAnsi="Arial Narrow"/>
                <w:sz w:val="18"/>
                <w:szCs w:val="18"/>
              </w:rPr>
              <w:t>Рынок услуг ЖКХ (управляющие компании)</w:t>
            </w:r>
          </w:p>
        </w:tc>
        <w:tc>
          <w:tcPr>
            <w:tcW w:w="491" w:type="dxa"/>
            <w:tcBorders>
              <w:top w:val="single" w:sz="4" w:space="0" w:color="auto"/>
              <w:left w:val="nil"/>
              <w:bottom w:val="single" w:sz="4" w:space="0" w:color="auto"/>
              <w:right w:val="single" w:sz="4" w:space="0" w:color="auto"/>
            </w:tcBorders>
            <w:shd w:val="clear" w:color="auto" w:fill="auto"/>
            <w:noWrap/>
            <w:textDirection w:val="btLr"/>
            <w:vAlign w:val="center"/>
            <w:hideMark/>
          </w:tcPr>
          <w:p w:rsidR="00B07AB8" w:rsidRPr="00C54B76" w:rsidRDefault="00B07AB8" w:rsidP="006A7039">
            <w:pPr>
              <w:spacing w:after="0" w:line="240" w:lineRule="auto"/>
              <w:ind w:left="113" w:right="113"/>
              <w:jc w:val="center"/>
              <w:rPr>
                <w:rFonts w:ascii="Arial Narrow" w:hAnsi="Arial Narrow"/>
                <w:sz w:val="18"/>
                <w:szCs w:val="18"/>
              </w:rPr>
            </w:pPr>
            <w:r w:rsidRPr="00C54B76">
              <w:rPr>
                <w:rFonts w:ascii="Arial Narrow" w:hAnsi="Arial Narrow"/>
                <w:sz w:val="18"/>
                <w:szCs w:val="18"/>
              </w:rPr>
              <w:t>Розничная торговля (продажа продуктов питания и непродовольственных товаров)</w:t>
            </w:r>
          </w:p>
        </w:tc>
        <w:tc>
          <w:tcPr>
            <w:tcW w:w="446" w:type="dxa"/>
            <w:tcBorders>
              <w:top w:val="single" w:sz="4" w:space="0" w:color="auto"/>
              <w:left w:val="nil"/>
              <w:bottom w:val="single" w:sz="4" w:space="0" w:color="auto"/>
              <w:right w:val="single" w:sz="4" w:space="0" w:color="auto"/>
            </w:tcBorders>
            <w:shd w:val="clear" w:color="auto" w:fill="auto"/>
            <w:noWrap/>
            <w:textDirection w:val="btLr"/>
            <w:vAlign w:val="center"/>
            <w:hideMark/>
          </w:tcPr>
          <w:p w:rsidR="00B07AB8" w:rsidRPr="00C54B76" w:rsidRDefault="00B07AB8" w:rsidP="006A7039">
            <w:pPr>
              <w:spacing w:after="0" w:line="240" w:lineRule="auto"/>
              <w:ind w:left="113" w:right="113"/>
              <w:jc w:val="center"/>
              <w:rPr>
                <w:rFonts w:ascii="Arial Narrow" w:hAnsi="Arial Narrow"/>
                <w:sz w:val="18"/>
                <w:szCs w:val="18"/>
              </w:rPr>
            </w:pPr>
            <w:r w:rsidRPr="00C54B76">
              <w:rPr>
                <w:rFonts w:ascii="Arial Narrow" w:hAnsi="Arial Narrow"/>
                <w:sz w:val="18"/>
                <w:szCs w:val="18"/>
              </w:rPr>
              <w:t>Рынок услуг перевозок пассажиров наземным транспортом (автобусные перевозки и такси)</w:t>
            </w:r>
          </w:p>
        </w:tc>
        <w:tc>
          <w:tcPr>
            <w:tcW w:w="546" w:type="dxa"/>
            <w:tcBorders>
              <w:top w:val="single" w:sz="4" w:space="0" w:color="auto"/>
              <w:left w:val="nil"/>
              <w:bottom w:val="single" w:sz="4" w:space="0" w:color="auto"/>
              <w:right w:val="single" w:sz="4" w:space="0" w:color="auto"/>
            </w:tcBorders>
            <w:shd w:val="clear" w:color="auto" w:fill="auto"/>
            <w:noWrap/>
            <w:textDirection w:val="btLr"/>
            <w:vAlign w:val="center"/>
            <w:hideMark/>
          </w:tcPr>
          <w:p w:rsidR="00B07AB8" w:rsidRPr="00C54B76" w:rsidRDefault="00B07AB8" w:rsidP="006A7039">
            <w:pPr>
              <w:spacing w:after="0" w:line="240" w:lineRule="auto"/>
              <w:ind w:left="113" w:right="113"/>
              <w:jc w:val="center"/>
              <w:rPr>
                <w:rFonts w:ascii="Arial Narrow" w:hAnsi="Arial Narrow"/>
                <w:sz w:val="18"/>
                <w:szCs w:val="18"/>
              </w:rPr>
            </w:pPr>
            <w:r w:rsidRPr="00C54B76">
              <w:rPr>
                <w:rFonts w:ascii="Arial Narrow" w:hAnsi="Arial Narrow"/>
                <w:sz w:val="18"/>
                <w:szCs w:val="18"/>
              </w:rPr>
              <w:t>Рынок услуг связи</w:t>
            </w:r>
          </w:p>
        </w:tc>
        <w:tc>
          <w:tcPr>
            <w:tcW w:w="567" w:type="dxa"/>
            <w:tcBorders>
              <w:top w:val="single" w:sz="4" w:space="0" w:color="auto"/>
              <w:left w:val="nil"/>
              <w:bottom w:val="single" w:sz="4" w:space="0" w:color="auto"/>
              <w:right w:val="single" w:sz="4" w:space="0" w:color="auto"/>
            </w:tcBorders>
            <w:shd w:val="clear" w:color="auto" w:fill="auto"/>
            <w:noWrap/>
            <w:textDirection w:val="btLr"/>
            <w:vAlign w:val="center"/>
            <w:hideMark/>
          </w:tcPr>
          <w:p w:rsidR="00B07AB8" w:rsidRPr="00C54B76" w:rsidRDefault="00B07AB8" w:rsidP="006A7039">
            <w:pPr>
              <w:spacing w:after="0" w:line="240" w:lineRule="auto"/>
              <w:ind w:left="113" w:right="113"/>
              <w:jc w:val="center"/>
              <w:rPr>
                <w:rFonts w:ascii="Arial Narrow" w:hAnsi="Arial Narrow"/>
                <w:sz w:val="18"/>
                <w:szCs w:val="18"/>
              </w:rPr>
            </w:pPr>
            <w:r w:rsidRPr="00C54B76">
              <w:rPr>
                <w:rFonts w:ascii="Arial Narrow" w:hAnsi="Arial Narrow"/>
                <w:sz w:val="18"/>
                <w:szCs w:val="18"/>
              </w:rPr>
              <w:t>Рынок услуг социального обслуживания населения</w:t>
            </w:r>
          </w:p>
        </w:tc>
        <w:tc>
          <w:tcPr>
            <w:tcW w:w="567" w:type="dxa"/>
            <w:tcBorders>
              <w:top w:val="single" w:sz="4" w:space="0" w:color="auto"/>
              <w:left w:val="nil"/>
              <w:bottom w:val="single" w:sz="4" w:space="0" w:color="auto"/>
              <w:right w:val="single" w:sz="4" w:space="0" w:color="auto"/>
            </w:tcBorders>
            <w:shd w:val="clear" w:color="auto" w:fill="auto"/>
            <w:noWrap/>
            <w:textDirection w:val="btLr"/>
            <w:vAlign w:val="center"/>
            <w:hideMark/>
          </w:tcPr>
          <w:p w:rsidR="00B07AB8" w:rsidRPr="00C54B76" w:rsidRDefault="00B07AB8" w:rsidP="006A7039">
            <w:pPr>
              <w:spacing w:after="0" w:line="240" w:lineRule="auto"/>
              <w:ind w:left="113" w:right="113"/>
              <w:jc w:val="center"/>
              <w:rPr>
                <w:rFonts w:ascii="Arial Narrow" w:hAnsi="Arial Narrow"/>
                <w:sz w:val="18"/>
                <w:szCs w:val="18"/>
              </w:rPr>
            </w:pPr>
            <w:r w:rsidRPr="00C54B76">
              <w:rPr>
                <w:rFonts w:ascii="Arial Narrow" w:hAnsi="Arial Narrow"/>
                <w:sz w:val="18"/>
                <w:szCs w:val="18"/>
              </w:rPr>
              <w:t>Рынок развития, производства, переработки и хранения сельскохозяйственной продукции</w:t>
            </w:r>
          </w:p>
        </w:tc>
        <w:tc>
          <w:tcPr>
            <w:tcW w:w="567" w:type="dxa"/>
            <w:tcBorders>
              <w:top w:val="single" w:sz="4" w:space="0" w:color="auto"/>
              <w:left w:val="nil"/>
              <w:bottom w:val="single" w:sz="4" w:space="0" w:color="auto"/>
              <w:right w:val="single" w:sz="4" w:space="0" w:color="auto"/>
            </w:tcBorders>
            <w:shd w:val="clear" w:color="auto" w:fill="auto"/>
            <w:noWrap/>
            <w:textDirection w:val="btLr"/>
            <w:vAlign w:val="center"/>
            <w:hideMark/>
          </w:tcPr>
          <w:p w:rsidR="00B07AB8" w:rsidRPr="00C54B76" w:rsidRDefault="00B07AB8" w:rsidP="006A7039">
            <w:pPr>
              <w:spacing w:after="0" w:line="240" w:lineRule="auto"/>
              <w:ind w:left="113" w:right="113"/>
              <w:jc w:val="center"/>
              <w:rPr>
                <w:rFonts w:ascii="Arial Narrow" w:hAnsi="Arial Narrow"/>
                <w:sz w:val="18"/>
                <w:szCs w:val="18"/>
              </w:rPr>
            </w:pPr>
            <w:r w:rsidRPr="00C54B76">
              <w:rPr>
                <w:rFonts w:ascii="Arial Narrow" w:hAnsi="Arial Narrow"/>
                <w:sz w:val="18"/>
                <w:szCs w:val="18"/>
              </w:rPr>
              <w:t>Рынок услуг по сбору, сортировке и переработке твердых коммунальных (бытовых) отходов</w:t>
            </w:r>
          </w:p>
        </w:tc>
      </w:tr>
      <w:tr w:rsidR="00B07AB8" w:rsidRPr="00C54B76" w:rsidTr="00103148">
        <w:tc>
          <w:tcPr>
            <w:tcW w:w="720" w:type="dxa"/>
            <w:tcBorders>
              <w:top w:val="nil"/>
              <w:left w:val="single" w:sz="4" w:space="0" w:color="auto"/>
              <w:bottom w:val="single" w:sz="4" w:space="0" w:color="auto"/>
              <w:right w:val="single" w:sz="4" w:space="0" w:color="auto"/>
            </w:tcBorders>
            <w:shd w:val="clear" w:color="auto" w:fill="auto"/>
            <w:vAlign w:val="center"/>
            <w:hideMark/>
          </w:tcPr>
          <w:p w:rsidR="00B07AB8" w:rsidRPr="00C54B76" w:rsidRDefault="00B07AB8" w:rsidP="00103148">
            <w:pPr>
              <w:spacing w:after="0" w:line="312" w:lineRule="auto"/>
              <w:jc w:val="center"/>
              <w:rPr>
                <w:rFonts w:ascii="Arial Narrow" w:hAnsi="Arial Narrow"/>
                <w:b/>
                <w:sz w:val="18"/>
                <w:szCs w:val="18"/>
              </w:rPr>
            </w:pPr>
            <w:r w:rsidRPr="00C54B76">
              <w:rPr>
                <w:rFonts w:ascii="Arial Narrow" w:hAnsi="Arial Narrow"/>
                <w:b/>
                <w:sz w:val="18"/>
                <w:szCs w:val="18"/>
              </w:rPr>
              <w:t>4.3.</w:t>
            </w:r>
          </w:p>
        </w:tc>
        <w:tc>
          <w:tcPr>
            <w:tcW w:w="9977" w:type="dxa"/>
            <w:gridSpan w:val="15"/>
            <w:tcBorders>
              <w:top w:val="single" w:sz="4" w:space="0" w:color="auto"/>
              <w:left w:val="nil"/>
              <w:bottom w:val="single" w:sz="4" w:space="0" w:color="auto"/>
              <w:right w:val="single" w:sz="4" w:space="0" w:color="000000"/>
            </w:tcBorders>
            <w:shd w:val="clear" w:color="auto" w:fill="auto"/>
            <w:vAlign w:val="center"/>
            <w:hideMark/>
          </w:tcPr>
          <w:p w:rsidR="00B07AB8" w:rsidRPr="00C54B76" w:rsidRDefault="00B07AB8" w:rsidP="004865F9">
            <w:pPr>
              <w:spacing w:after="0" w:line="240" w:lineRule="auto"/>
              <w:ind w:left="153"/>
              <w:rPr>
                <w:rFonts w:ascii="Arial Narrow" w:hAnsi="Arial Narrow"/>
                <w:b/>
                <w:sz w:val="18"/>
                <w:szCs w:val="18"/>
              </w:rPr>
            </w:pPr>
            <w:r w:rsidRPr="00C54B76">
              <w:rPr>
                <w:rFonts w:ascii="Arial Narrow" w:hAnsi="Arial Narrow"/>
                <w:b/>
                <w:sz w:val="18"/>
                <w:szCs w:val="18"/>
              </w:rPr>
              <w:t>Доля субъектов предпринимательской деятельности, взаимодействующих прямо или косвенно в экономической деятельности с субъектами естественных монополий, удовлетворенных сроками получения доступа к услугам естественных монополий, сложностью процедур подключения, стоимостью подключения, качеством предоставляемых товаров/услуг субъектами естественных монополий, стоимостью предоставляемых услуг, % от числа опрошенных</w:t>
            </w:r>
          </w:p>
        </w:tc>
      </w:tr>
      <w:tr w:rsidR="00B07AB8" w:rsidRPr="00C54B76" w:rsidTr="00103148">
        <w:tc>
          <w:tcPr>
            <w:tcW w:w="720" w:type="dxa"/>
            <w:tcBorders>
              <w:top w:val="nil"/>
              <w:left w:val="single" w:sz="4" w:space="0" w:color="auto"/>
              <w:bottom w:val="single" w:sz="4" w:space="0" w:color="auto"/>
              <w:right w:val="single" w:sz="4" w:space="0" w:color="auto"/>
            </w:tcBorders>
            <w:shd w:val="clear" w:color="auto" w:fill="auto"/>
            <w:vAlign w:val="center"/>
            <w:hideMark/>
          </w:tcPr>
          <w:p w:rsidR="00B07AB8" w:rsidRPr="00C54B76" w:rsidRDefault="00B07AB8" w:rsidP="00103148">
            <w:pPr>
              <w:spacing w:after="0" w:line="312" w:lineRule="auto"/>
              <w:jc w:val="center"/>
              <w:rPr>
                <w:rFonts w:ascii="Arial Narrow" w:hAnsi="Arial Narrow"/>
                <w:b/>
                <w:bCs/>
                <w:sz w:val="18"/>
                <w:szCs w:val="18"/>
              </w:rPr>
            </w:pPr>
            <w:r w:rsidRPr="00C54B76">
              <w:rPr>
                <w:rFonts w:ascii="Arial Narrow" w:hAnsi="Arial Narrow"/>
                <w:b/>
                <w:bCs/>
                <w:sz w:val="18"/>
                <w:szCs w:val="18"/>
              </w:rPr>
              <w:t>4.3.1.</w:t>
            </w:r>
          </w:p>
        </w:tc>
        <w:tc>
          <w:tcPr>
            <w:tcW w:w="9977" w:type="dxa"/>
            <w:gridSpan w:val="15"/>
            <w:tcBorders>
              <w:top w:val="nil"/>
              <w:left w:val="nil"/>
              <w:bottom w:val="single" w:sz="4" w:space="0" w:color="auto"/>
              <w:right w:val="single" w:sz="4" w:space="0" w:color="auto"/>
            </w:tcBorders>
            <w:shd w:val="clear" w:color="auto" w:fill="auto"/>
            <w:vAlign w:val="center"/>
            <w:hideMark/>
          </w:tcPr>
          <w:p w:rsidR="00B07AB8" w:rsidRPr="00C54B76" w:rsidRDefault="00B07AB8" w:rsidP="00103148">
            <w:pPr>
              <w:spacing w:after="0" w:line="312" w:lineRule="auto"/>
              <w:ind w:left="153"/>
              <w:jc w:val="both"/>
              <w:rPr>
                <w:rFonts w:ascii="Arial Narrow" w:hAnsi="Arial Narrow"/>
                <w:b/>
                <w:bCs/>
                <w:sz w:val="18"/>
                <w:szCs w:val="18"/>
              </w:rPr>
            </w:pPr>
            <w:r w:rsidRPr="00C54B76">
              <w:rPr>
                <w:rFonts w:ascii="Arial Narrow" w:hAnsi="Arial Narrow"/>
                <w:b/>
                <w:bCs/>
                <w:sz w:val="18"/>
                <w:szCs w:val="18"/>
              </w:rPr>
              <w:t>Водоснабжение, водоотведение:</w:t>
            </w:r>
          </w:p>
        </w:tc>
      </w:tr>
      <w:tr w:rsidR="00B07AB8" w:rsidRPr="00C54B76" w:rsidTr="00103148">
        <w:tc>
          <w:tcPr>
            <w:tcW w:w="720" w:type="dxa"/>
            <w:tcBorders>
              <w:top w:val="nil"/>
              <w:left w:val="single" w:sz="4" w:space="0" w:color="auto"/>
              <w:bottom w:val="single" w:sz="4" w:space="0" w:color="auto"/>
              <w:right w:val="single" w:sz="4" w:space="0" w:color="auto"/>
            </w:tcBorders>
            <w:shd w:val="clear" w:color="auto" w:fill="auto"/>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4.3.1.1.</w:t>
            </w:r>
          </w:p>
        </w:tc>
        <w:tc>
          <w:tcPr>
            <w:tcW w:w="2257" w:type="dxa"/>
            <w:tcBorders>
              <w:top w:val="nil"/>
              <w:left w:val="nil"/>
              <w:bottom w:val="single" w:sz="4" w:space="0" w:color="auto"/>
              <w:right w:val="single" w:sz="4" w:space="0" w:color="auto"/>
            </w:tcBorders>
            <w:shd w:val="clear" w:color="auto" w:fill="auto"/>
            <w:vAlign w:val="center"/>
            <w:hideMark/>
          </w:tcPr>
          <w:p w:rsidR="00B07AB8" w:rsidRPr="00C54B76" w:rsidRDefault="00B07AB8" w:rsidP="006A7039">
            <w:pPr>
              <w:spacing w:after="0" w:line="240" w:lineRule="auto"/>
              <w:ind w:left="153" w:right="132"/>
              <w:jc w:val="both"/>
              <w:rPr>
                <w:rFonts w:ascii="Arial Narrow" w:hAnsi="Arial Narrow"/>
                <w:sz w:val="18"/>
                <w:szCs w:val="18"/>
              </w:rPr>
            </w:pPr>
            <w:r w:rsidRPr="00C54B76">
              <w:rPr>
                <w:rFonts w:ascii="Arial Narrow" w:hAnsi="Arial Narrow"/>
                <w:sz w:val="18"/>
                <w:szCs w:val="18"/>
              </w:rPr>
              <w:t>Удовлетворены сроками получения доступа к услугам, %</w:t>
            </w:r>
          </w:p>
        </w:tc>
        <w:tc>
          <w:tcPr>
            <w:tcW w:w="640"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36,9%</w:t>
            </w:r>
          </w:p>
        </w:tc>
        <w:tc>
          <w:tcPr>
            <w:tcW w:w="636"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0,0%</w:t>
            </w:r>
          </w:p>
        </w:tc>
        <w:tc>
          <w:tcPr>
            <w:tcW w:w="567"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20,0%</w:t>
            </w:r>
          </w:p>
        </w:tc>
        <w:tc>
          <w:tcPr>
            <w:tcW w:w="567"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20,0%</w:t>
            </w:r>
          </w:p>
        </w:tc>
        <w:tc>
          <w:tcPr>
            <w:tcW w:w="431"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37,1%</w:t>
            </w:r>
          </w:p>
        </w:tc>
        <w:tc>
          <w:tcPr>
            <w:tcW w:w="562"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16,0%</w:t>
            </w:r>
          </w:p>
        </w:tc>
        <w:tc>
          <w:tcPr>
            <w:tcW w:w="566"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24,0%</w:t>
            </w:r>
          </w:p>
        </w:tc>
        <w:tc>
          <w:tcPr>
            <w:tcW w:w="567"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44,3%</w:t>
            </w:r>
          </w:p>
        </w:tc>
        <w:tc>
          <w:tcPr>
            <w:tcW w:w="491"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43,3%</w:t>
            </w:r>
          </w:p>
        </w:tc>
        <w:tc>
          <w:tcPr>
            <w:tcW w:w="446"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3,3%</w:t>
            </w:r>
          </w:p>
        </w:tc>
        <w:tc>
          <w:tcPr>
            <w:tcW w:w="546"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24,0%</w:t>
            </w:r>
          </w:p>
        </w:tc>
        <w:tc>
          <w:tcPr>
            <w:tcW w:w="567" w:type="dxa"/>
            <w:tcBorders>
              <w:top w:val="nil"/>
              <w:left w:val="nil"/>
              <w:bottom w:val="single" w:sz="4" w:space="0" w:color="auto"/>
              <w:right w:val="single" w:sz="4" w:space="0" w:color="auto"/>
            </w:tcBorders>
            <w:shd w:val="clear" w:color="000000" w:fill="FFFFFF"/>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20,0%</w:t>
            </w:r>
          </w:p>
        </w:tc>
        <w:tc>
          <w:tcPr>
            <w:tcW w:w="567" w:type="dxa"/>
            <w:tcBorders>
              <w:top w:val="nil"/>
              <w:left w:val="nil"/>
              <w:bottom w:val="single" w:sz="4" w:space="0" w:color="auto"/>
              <w:right w:val="single" w:sz="4" w:space="0" w:color="auto"/>
            </w:tcBorders>
            <w:shd w:val="clear" w:color="000000" w:fill="FFFFFF"/>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47,0%</w:t>
            </w:r>
          </w:p>
        </w:tc>
        <w:tc>
          <w:tcPr>
            <w:tcW w:w="567" w:type="dxa"/>
            <w:tcBorders>
              <w:top w:val="nil"/>
              <w:left w:val="nil"/>
              <w:bottom w:val="single" w:sz="4" w:space="0" w:color="auto"/>
              <w:right w:val="single" w:sz="4" w:space="0" w:color="auto"/>
            </w:tcBorders>
            <w:shd w:val="clear" w:color="000000" w:fill="FFFFFF"/>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20,0%</w:t>
            </w:r>
          </w:p>
        </w:tc>
      </w:tr>
      <w:tr w:rsidR="00B07AB8" w:rsidRPr="00C54B76" w:rsidTr="00103148">
        <w:tc>
          <w:tcPr>
            <w:tcW w:w="720" w:type="dxa"/>
            <w:tcBorders>
              <w:top w:val="nil"/>
              <w:left w:val="single" w:sz="4" w:space="0" w:color="auto"/>
              <w:bottom w:val="single" w:sz="4" w:space="0" w:color="auto"/>
              <w:right w:val="single" w:sz="4" w:space="0" w:color="auto"/>
            </w:tcBorders>
            <w:shd w:val="clear" w:color="auto" w:fill="auto"/>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4.3.1.2.</w:t>
            </w:r>
          </w:p>
        </w:tc>
        <w:tc>
          <w:tcPr>
            <w:tcW w:w="2257" w:type="dxa"/>
            <w:tcBorders>
              <w:top w:val="nil"/>
              <w:left w:val="nil"/>
              <w:bottom w:val="single" w:sz="4" w:space="0" w:color="auto"/>
              <w:right w:val="single" w:sz="4" w:space="0" w:color="auto"/>
            </w:tcBorders>
            <w:shd w:val="clear" w:color="auto" w:fill="auto"/>
            <w:vAlign w:val="center"/>
            <w:hideMark/>
          </w:tcPr>
          <w:p w:rsidR="00B07AB8" w:rsidRPr="00C54B76" w:rsidRDefault="00B07AB8" w:rsidP="006A7039">
            <w:pPr>
              <w:spacing w:after="0" w:line="240" w:lineRule="auto"/>
              <w:ind w:left="153" w:right="132"/>
              <w:jc w:val="both"/>
              <w:rPr>
                <w:rFonts w:ascii="Arial Narrow" w:hAnsi="Arial Narrow"/>
                <w:sz w:val="18"/>
                <w:szCs w:val="18"/>
              </w:rPr>
            </w:pPr>
            <w:r w:rsidRPr="00C54B76">
              <w:rPr>
                <w:rFonts w:ascii="Arial Narrow" w:hAnsi="Arial Narrow"/>
                <w:sz w:val="18"/>
                <w:szCs w:val="18"/>
              </w:rPr>
              <w:t>Удовлетворены сложностью (количеством) процедур подключения, %</w:t>
            </w:r>
          </w:p>
        </w:tc>
        <w:tc>
          <w:tcPr>
            <w:tcW w:w="640"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29,1%</w:t>
            </w:r>
          </w:p>
        </w:tc>
        <w:tc>
          <w:tcPr>
            <w:tcW w:w="636"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0,0%</w:t>
            </w:r>
          </w:p>
        </w:tc>
        <w:tc>
          <w:tcPr>
            <w:tcW w:w="567"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0,0%</w:t>
            </w:r>
          </w:p>
        </w:tc>
        <w:tc>
          <w:tcPr>
            <w:tcW w:w="567"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24,0%</w:t>
            </w:r>
          </w:p>
        </w:tc>
        <w:tc>
          <w:tcPr>
            <w:tcW w:w="431"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25,7%</w:t>
            </w:r>
          </w:p>
        </w:tc>
        <w:tc>
          <w:tcPr>
            <w:tcW w:w="562"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16,0%</w:t>
            </w:r>
          </w:p>
        </w:tc>
        <w:tc>
          <w:tcPr>
            <w:tcW w:w="566"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12,0%</w:t>
            </w:r>
          </w:p>
        </w:tc>
        <w:tc>
          <w:tcPr>
            <w:tcW w:w="567"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35,7%</w:t>
            </w:r>
          </w:p>
        </w:tc>
        <w:tc>
          <w:tcPr>
            <w:tcW w:w="491"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31,1%</w:t>
            </w:r>
          </w:p>
        </w:tc>
        <w:tc>
          <w:tcPr>
            <w:tcW w:w="446"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3,3%</w:t>
            </w:r>
          </w:p>
        </w:tc>
        <w:tc>
          <w:tcPr>
            <w:tcW w:w="546"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8,0%</w:t>
            </w:r>
          </w:p>
        </w:tc>
        <w:tc>
          <w:tcPr>
            <w:tcW w:w="567"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12,0%</w:t>
            </w:r>
          </w:p>
        </w:tc>
        <w:tc>
          <w:tcPr>
            <w:tcW w:w="567"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44,0%</w:t>
            </w:r>
          </w:p>
        </w:tc>
        <w:tc>
          <w:tcPr>
            <w:tcW w:w="567"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20,0%</w:t>
            </w:r>
          </w:p>
        </w:tc>
      </w:tr>
      <w:tr w:rsidR="00B07AB8" w:rsidRPr="00C54B76" w:rsidTr="00103148">
        <w:tc>
          <w:tcPr>
            <w:tcW w:w="720" w:type="dxa"/>
            <w:tcBorders>
              <w:top w:val="nil"/>
              <w:left w:val="single" w:sz="4" w:space="0" w:color="auto"/>
              <w:bottom w:val="single" w:sz="4" w:space="0" w:color="auto"/>
              <w:right w:val="single" w:sz="4" w:space="0" w:color="auto"/>
            </w:tcBorders>
            <w:shd w:val="clear" w:color="auto" w:fill="auto"/>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4.3.1.3.</w:t>
            </w:r>
          </w:p>
        </w:tc>
        <w:tc>
          <w:tcPr>
            <w:tcW w:w="2257" w:type="dxa"/>
            <w:tcBorders>
              <w:top w:val="nil"/>
              <w:left w:val="nil"/>
              <w:bottom w:val="single" w:sz="4" w:space="0" w:color="auto"/>
              <w:right w:val="single" w:sz="4" w:space="0" w:color="auto"/>
            </w:tcBorders>
            <w:shd w:val="clear" w:color="auto" w:fill="auto"/>
            <w:vAlign w:val="center"/>
            <w:hideMark/>
          </w:tcPr>
          <w:p w:rsidR="00B07AB8" w:rsidRPr="00C54B76" w:rsidRDefault="00B07AB8" w:rsidP="006A7039">
            <w:pPr>
              <w:spacing w:after="0" w:line="240" w:lineRule="auto"/>
              <w:ind w:left="153" w:right="132"/>
              <w:jc w:val="both"/>
              <w:rPr>
                <w:rFonts w:ascii="Arial Narrow" w:hAnsi="Arial Narrow"/>
                <w:sz w:val="18"/>
                <w:szCs w:val="18"/>
              </w:rPr>
            </w:pPr>
            <w:r w:rsidRPr="00C54B76">
              <w:rPr>
                <w:rFonts w:ascii="Arial Narrow" w:hAnsi="Arial Narrow"/>
                <w:sz w:val="18"/>
                <w:szCs w:val="18"/>
              </w:rPr>
              <w:t>Удовлетворены стоимостью подключения, %</w:t>
            </w:r>
          </w:p>
        </w:tc>
        <w:tc>
          <w:tcPr>
            <w:tcW w:w="640"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22,3%</w:t>
            </w:r>
          </w:p>
        </w:tc>
        <w:tc>
          <w:tcPr>
            <w:tcW w:w="636"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0,0%</w:t>
            </w:r>
          </w:p>
        </w:tc>
        <w:tc>
          <w:tcPr>
            <w:tcW w:w="567"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0,0%</w:t>
            </w:r>
          </w:p>
        </w:tc>
        <w:tc>
          <w:tcPr>
            <w:tcW w:w="567"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16,0%</w:t>
            </w:r>
          </w:p>
        </w:tc>
        <w:tc>
          <w:tcPr>
            <w:tcW w:w="431"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22,9%</w:t>
            </w:r>
          </w:p>
        </w:tc>
        <w:tc>
          <w:tcPr>
            <w:tcW w:w="562"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12,0%</w:t>
            </w:r>
          </w:p>
        </w:tc>
        <w:tc>
          <w:tcPr>
            <w:tcW w:w="566"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12,0%</w:t>
            </w:r>
          </w:p>
        </w:tc>
        <w:tc>
          <w:tcPr>
            <w:tcW w:w="567"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25,7%</w:t>
            </w:r>
          </w:p>
        </w:tc>
        <w:tc>
          <w:tcPr>
            <w:tcW w:w="491"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23,3%</w:t>
            </w:r>
          </w:p>
        </w:tc>
        <w:tc>
          <w:tcPr>
            <w:tcW w:w="446"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0,0%</w:t>
            </w:r>
          </w:p>
        </w:tc>
        <w:tc>
          <w:tcPr>
            <w:tcW w:w="546"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8,0%</w:t>
            </w:r>
          </w:p>
        </w:tc>
        <w:tc>
          <w:tcPr>
            <w:tcW w:w="567"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12,0%</w:t>
            </w:r>
          </w:p>
        </w:tc>
        <w:tc>
          <w:tcPr>
            <w:tcW w:w="567"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31,0%</w:t>
            </w:r>
          </w:p>
        </w:tc>
        <w:tc>
          <w:tcPr>
            <w:tcW w:w="567"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10,0%</w:t>
            </w:r>
          </w:p>
        </w:tc>
      </w:tr>
      <w:tr w:rsidR="00B07AB8" w:rsidRPr="00C54B76" w:rsidTr="00103148">
        <w:tc>
          <w:tcPr>
            <w:tcW w:w="720" w:type="dxa"/>
            <w:tcBorders>
              <w:top w:val="nil"/>
              <w:left w:val="single" w:sz="4" w:space="0" w:color="auto"/>
              <w:bottom w:val="single" w:sz="4" w:space="0" w:color="auto"/>
              <w:right w:val="single" w:sz="4" w:space="0" w:color="auto"/>
            </w:tcBorders>
            <w:shd w:val="clear" w:color="auto" w:fill="auto"/>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4.3.1.4.</w:t>
            </w:r>
          </w:p>
        </w:tc>
        <w:tc>
          <w:tcPr>
            <w:tcW w:w="2257" w:type="dxa"/>
            <w:tcBorders>
              <w:top w:val="nil"/>
              <w:left w:val="nil"/>
              <w:bottom w:val="single" w:sz="4" w:space="0" w:color="auto"/>
              <w:right w:val="single" w:sz="4" w:space="0" w:color="auto"/>
            </w:tcBorders>
            <w:shd w:val="clear" w:color="auto" w:fill="auto"/>
            <w:vAlign w:val="center"/>
            <w:hideMark/>
          </w:tcPr>
          <w:p w:rsidR="00B07AB8" w:rsidRPr="00C54B76" w:rsidRDefault="00B07AB8" w:rsidP="006A7039">
            <w:pPr>
              <w:spacing w:after="0" w:line="240" w:lineRule="auto"/>
              <w:ind w:left="153" w:right="132"/>
              <w:jc w:val="both"/>
              <w:rPr>
                <w:rFonts w:ascii="Arial Narrow" w:hAnsi="Arial Narrow"/>
                <w:sz w:val="18"/>
                <w:szCs w:val="18"/>
              </w:rPr>
            </w:pPr>
            <w:r w:rsidRPr="00C54B76">
              <w:rPr>
                <w:rFonts w:ascii="Arial Narrow" w:hAnsi="Arial Narrow"/>
                <w:sz w:val="18"/>
                <w:szCs w:val="18"/>
              </w:rPr>
              <w:t>Удовлетворены стоимостью предоставляемых услуг, %</w:t>
            </w:r>
          </w:p>
        </w:tc>
        <w:tc>
          <w:tcPr>
            <w:tcW w:w="640"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38,7%</w:t>
            </w:r>
          </w:p>
        </w:tc>
        <w:tc>
          <w:tcPr>
            <w:tcW w:w="636"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70,0%</w:t>
            </w:r>
          </w:p>
        </w:tc>
        <w:tc>
          <w:tcPr>
            <w:tcW w:w="567"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60,0%</w:t>
            </w:r>
          </w:p>
        </w:tc>
        <w:tc>
          <w:tcPr>
            <w:tcW w:w="567"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40,0%</w:t>
            </w:r>
          </w:p>
        </w:tc>
        <w:tc>
          <w:tcPr>
            <w:tcW w:w="431"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45,7%</w:t>
            </w:r>
          </w:p>
        </w:tc>
        <w:tc>
          <w:tcPr>
            <w:tcW w:w="562"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36,0%</w:t>
            </w:r>
          </w:p>
        </w:tc>
        <w:tc>
          <w:tcPr>
            <w:tcW w:w="566"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24,0%</w:t>
            </w:r>
          </w:p>
        </w:tc>
        <w:tc>
          <w:tcPr>
            <w:tcW w:w="567"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48,6%</w:t>
            </w:r>
          </w:p>
        </w:tc>
        <w:tc>
          <w:tcPr>
            <w:tcW w:w="491"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37,8%</w:t>
            </w:r>
          </w:p>
        </w:tc>
        <w:tc>
          <w:tcPr>
            <w:tcW w:w="446"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15,0%</w:t>
            </w:r>
          </w:p>
        </w:tc>
        <w:tc>
          <w:tcPr>
            <w:tcW w:w="546"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48,0%</w:t>
            </w:r>
          </w:p>
        </w:tc>
        <w:tc>
          <w:tcPr>
            <w:tcW w:w="567"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48,0%</w:t>
            </w:r>
          </w:p>
        </w:tc>
        <w:tc>
          <w:tcPr>
            <w:tcW w:w="567"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44,0%</w:t>
            </w:r>
          </w:p>
        </w:tc>
        <w:tc>
          <w:tcPr>
            <w:tcW w:w="567"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30,0%</w:t>
            </w:r>
          </w:p>
        </w:tc>
      </w:tr>
      <w:tr w:rsidR="00B07AB8" w:rsidRPr="00C54B76" w:rsidTr="00103148">
        <w:tc>
          <w:tcPr>
            <w:tcW w:w="720" w:type="dxa"/>
            <w:tcBorders>
              <w:top w:val="nil"/>
              <w:left w:val="single" w:sz="4" w:space="0" w:color="auto"/>
              <w:bottom w:val="single" w:sz="4" w:space="0" w:color="auto"/>
              <w:right w:val="single" w:sz="4" w:space="0" w:color="auto"/>
            </w:tcBorders>
            <w:shd w:val="clear" w:color="auto" w:fill="auto"/>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4.3.1.5.</w:t>
            </w:r>
          </w:p>
        </w:tc>
        <w:tc>
          <w:tcPr>
            <w:tcW w:w="2257" w:type="dxa"/>
            <w:tcBorders>
              <w:top w:val="nil"/>
              <w:left w:val="nil"/>
              <w:bottom w:val="single" w:sz="4" w:space="0" w:color="auto"/>
              <w:right w:val="single" w:sz="4" w:space="0" w:color="auto"/>
            </w:tcBorders>
            <w:shd w:val="clear" w:color="auto" w:fill="auto"/>
            <w:vAlign w:val="center"/>
            <w:hideMark/>
          </w:tcPr>
          <w:p w:rsidR="00B07AB8" w:rsidRPr="00C54B76" w:rsidRDefault="00B07AB8" w:rsidP="006A7039">
            <w:pPr>
              <w:spacing w:after="0" w:line="240" w:lineRule="auto"/>
              <w:ind w:left="153" w:right="132"/>
              <w:jc w:val="both"/>
              <w:rPr>
                <w:rFonts w:ascii="Arial Narrow" w:hAnsi="Arial Narrow"/>
                <w:sz w:val="18"/>
                <w:szCs w:val="18"/>
              </w:rPr>
            </w:pPr>
            <w:r w:rsidRPr="00C54B76">
              <w:rPr>
                <w:rFonts w:ascii="Arial Narrow" w:hAnsi="Arial Narrow"/>
                <w:sz w:val="18"/>
                <w:szCs w:val="18"/>
              </w:rPr>
              <w:t>Удовлетворены качеством предоставляемых услуг, %</w:t>
            </w:r>
          </w:p>
        </w:tc>
        <w:tc>
          <w:tcPr>
            <w:tcW w:w="640"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62,6%</w:t>
            </w:r>
          </w:p>
        </w:tc>
        <w:tc>
          <w:tcPr>
            <w:tcW w:w="636"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70,0%</w:t>
            </w:r>
          </w:p>
        </w:tc>
        <w:tc>
          <w:tcPr>
            <w:tcW w:w="567"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60,0%</w:t>
            </w:r>
          </w:p>
        </w:tc>
        <w:tc>
          <w:tcPr>
            <w:tcW w:w="567"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76,0%</w:t>
            </w:r>
          </w:p>
        </w:tc>
        <w:tc>
          <w:tcPr>
            <w:tcW w:w="431"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80,0%</w:t>
            </w:r>
          </w:p>
        </w:tc>
        <w:tc>
          <w:tcPr>
            <w:tcW w:w="562"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76,0%</w:t>
            </w:r>
          </w:p>
        </w:tc>
        <w:tc>
          <w:tcPr>
            <w:tcW w:w="566"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64,0%</w:t>
            </w:r>
          </w:p>
        </w:tc>
        <w:tc>
          <w:tcPr>
            <w:tcW w:w="567"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64,3%</w:t>
            </w:r>
          </w:p>
        </w:tc>
        <w:tc>
          <w:tcPr>
            <w:tcW w:w="491"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57,8%</w:t>
            </w:r>
          </w:p>
        </w:tc>
        <w:tc>
          <w:tcPr>
            <w:tcW w:w="446"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33,3%</w:t>
            </w:r>
          </w:p>
        </w:tc>
        <w:tc>
          <w:tcPr>
            <w:tcW w:w="546"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72,0%</w:t>
            </w:r>
          </w:p>
        </w:tc>
        <w:tc>
          <w:tcPr>
            <w:tcW w:w="567"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76,0%</w:t>
            </w:r>
          </w:p>
        </w:tc>
        <w:tc>
          <w:tcPr>
            <w:tcW w:w="567"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61,0%</w:t>
            </w:r>
          </w:p>
        </w:tc>
        <w:tc>
          <w:tcPr>
            <w:tcW w:w="567"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40,0%</w:t>
            </w:r>
          </w:p>
        </w:tc>
      </w:tr>
      <w:tr w:rsidR="00B07AB8" w:rsidRPr="00C54B76" w:rsidTr="00103148">
        <w:tc>
          <w:tcPr>
            <w:tcW w:w="720" w:type="dxa"/>
            <w:tcBorders>
              <w:top w:val="nil"/>
              <w:left w:val="single" w:sz="4" w:space="0" w:color="auto"/>
              <w:bottom w:val="single" w:sz="4" w:space="0" w:color="auto"/>
              <w:right w:val="single" w:sz="4" w:space="0" w:color="auto"/>
            </w:tcBorders>
            <w:shd w:val="clear" w:color="auto" w:fill="auto"/>
            <w:vAlign w:val="center"/>
            <w:hideMark/>
          </w:tcPr>
          <w:p w:rsidR="00B07AB8" w:rsidRPr="00C54B76" w:rsidRDefault="00B07AB8" w:rsidP="00103148">
            <w:pPr>
              <w:spacing w:after="0" w:line="312" w:lineRule="auto"/>
              <w:jc w:val="center"/>
              <w:rPr>
                <w:rFonts w:ascii="Arial Narrow" w:hAnsi="Arial Narrow"/>
                <w:b/>
                <w:bCs/>
                <w:sz w:val="18"/>
                <w:szCs w:val="18"/>
              </w:rPr>
            </w:pPr>
            <w:r w:rsidRPr="00C54B76">
              <w:rPr>
                <w:rFonts w:ascii="Arial Narrow" w:hAnsi="Arial Narrow"/>
                <w:b/>
                <w:bCs/>
                <w:sz w:val="18"/>
                <w:szCs w:val="18"/>
              </w:rPr>
              <w:t>4.3.2.</w:t>
            </w:r>
          </w:p>
        </w:tc>
        <w:tc>
          <w:tcPr>
            <w:tcW w:w="9977" w:type="dxa"/>
            <w:gridSpan w:val="15"/>
            <w:tcBorders>
              <w:top w:val="nil"/>
              <w:left w:val="nil"/>
              <w:bottom w:val="single" w:sz="4" w:space="0" w:color="auto"/>
              <w:right w:val="single" w:sz="4" w:space="0" w:color="auto"/>
            </w:tcBorders>
            <w:shd w:val="clear" w:color="auto" w:fill="auto"/>
            <w:vAlign w:val="center"/>
            <w:hideMark/>
          </w:tcPr>
          <w:p w:rsidR="00B07AB8" w:rsidRPr="00C54B76" w:rsidRDefault="00B07AB8" w:rsidP="006A7039">
            <w:pPr>
              <w:spacing w:after="0" w:line="240" w:lineRule="auto"/>
              <w:ind w:left="153" w:right="132"/>
              <w:jc w:val="center"/>
              <w:rPr>
                <w:rFonts w:ascii="Arial Narrow" w:hAnsi="Arial Narrow"/>
                <w:b/>
                <w:bCs/>
                <w:sz w:val="18"/>
                <w:szCs w:val="18"/>
              </w:rPr>
            </w:pPr>
            <w:r w:rsidRPr="00C54B76">
              <w:rPr>
                <w:rFonts w:ascii="Arial Narrow" w:hAnsi="Arial Narrow"/>
                <w:b/>
                <w:bCs/>
                <w:sz w:val="18"/>
                <w:szCs w:val="18"/>
              </w:rPr>
              <w:t>Газоснабжение:</w:t>
            </w:r>
          </w:p>
        </w:tc>
      </w:tr>
      <w:tr w:rsidR="00B07AB8" w:rsidRPr="00C54B76" w:rsidTr="00103148">
        <w:tc>
          <w:tcPr>
            <w:tcW w:w="720" w:type="dxa"/>
            <w:tcBorders>
              <w:top w:val="nil"/>
              <w:left w:val="single" w:sz="4" w:space="0" w:color="auto"/>
              <w:bottom w:val="single" w:sz="4" w:space="0" w:color="auto"/>
              <w:right w:val="single" w:sz="4" w:space="0" w:color="auto"/>
            </w:tcBorders>
            <w:shd w:val="clear" w:color="auto" w:fill="auto"/>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4.3.2.1.</w:t>
            </w:r>
          </w:p>
        </w:tc>
        <w:tc>
          <w:tcPr>
            <w:tcW w:w="2257" w:type="dxa"/>
            <w:tcBorders>
              <w:top w:val="nil"/>
              <w:left w:val="nil"/>
              <w:bottom w:val="single" w:sz="4" w:space="0" w:color="auto"/>
              <w:right w:val="single" w:sz="4" w:space="0" w:color="auto"/>
            </w:tcBorders>
            <w:shd w:val="clear" w:color="auto" w:fill="auto"/>
            <w:vAlign w:val="center"/>
            <w:hideMark/>
          </w:tcPr>
          <w:p w:rsidR="00B07AB8" w:rsidRPr="00C54B76" w:rsidRDefault="00B07AB8" w:rsidP="006A7039">
            <w:pPr>
              <w:spacing w:after="0" w:line="240" w:lineRule="auto"/>
              <w:ind w:left="153" w:right="132"/>
              <w:jc w:val="both"/>
              <w:rPr>
                <w:rFonts w:ascii="Arial Narrow" w:hAnsi="Arial Narrow"/>
                <w:sz w:val="18"/>
                <w:szCs w:val="18"/>
              </w:rPr>
            </w:pPr>
            <w:r w:rsidRPr="00C54B76">
              <w:rPr>
                <w:rFonts w:ascii="Arial Narrow" w:hAnsi="Arial Narrow"/>
                <w:sz w:val="18"/>
                <w:szCs w:val="18"/>
              </w:rPr>
              <w:t>Удовлетворены сроками получения доступа к услугам, %</w:t>
            </w:r>
          </w:p>
        </w:tc>
        <w:tc>
          <w:tcPr>
            <w:tcW w:w="640"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29,3%</w:t>
            </w:r>
          </w:p>
        </w:tc>
        <w:tc>
          <w:tcPr>
            <w:tcW w:w="636"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0,0%</w:t>
            </w:r>
          </w:p>
        </w:tc>
        <w:tc>
          <w:tcPr>
            <w:tcW w:w="567"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0,0%</w:t>
            </w:r>
          </w:p>
        </w:tc>
        <w:tc>
          <w:tcPr>
            <w:tcW w:w="567"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20,0%</w:t>
            </w:r>
          </w:p>
        </w:tc>
        <w:tc>
          <w:tcPr>
            <w:tcW w:w="431"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27,1%</w:t>
            </w:r>
          </w:p>
        </w:tc>
        <w:tc>
          <w:tcPr>
            <w:tcW w:w="562"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16,0%</w:t>
            </w:r>
          </w:p>
        </w:tc>
        <w:tc>
          <w:tcPr>
            <w:tcW w:w="566"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24,0%</w:t>
            </w:r>
          </w:p>
        </w:tc>
        <w:tc>
          <w:tcPr>
            <w:tcW w:w="567"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38,6%</w:t>
            </w:r>
          </w:p>
        </w:tc>
        <w:tc>
          <w:tcPr>
            <w:tcW w:w="491"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32,8%</w:t>
            </w:r>
          </w:p>
        </w:tc>
        <w:tc>
          <w:tcPr>
            <w:tcW w:w="446"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3,3%</w:t>
            </w:r>
          </w:p>
        </w:tc>
        <w:tc>
          <w:tcPr>
            <w:tcW w:w="546"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16,0%</w:t>
            </w:r>
          </w:p>
        </w:tc>
        <w:tc>
          <w:tcPr>
            <w:tcW w:w="567" w:type="dxa"/>
            <w:tcBorders>
              <w:top w:val="nil"/>
              <w:left w:val="nil"/>
              <w:bottom w:val="single" w:sz="4" w:space="0" w:color="auto"/>
              <w:right w:val="single" w:sz="4" w:space="0" w:color="auto"/>
            </w:tcBorders>
            <w:shd w:val="clear" w:color="000000" w:fill="FFFFFF"/>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20,0%</w:t>
            </w:r>
          </w:p>
        </w:tc>
        <w:tc>
          <w:tcPr>
            <w:tcW w:w="567" w:type="dxa"/>
            <w:tcBorders>
              <w:top w:val="nil"/>
              <w:left w:val="nil"/>
              <w:bottom w:val="single" w:sz="4" w:space="0" w:color="auto"/>
              <w:right w:val="single" w:sz="4" w:space="0" w:color="auto"/>
            </w:tcBorders>
            <w:shd w:val="clear" w:color="000000" w:fill="FFFFFF"/>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30,0%</w:t>
            </w:r>
          </w:p>
        </w:tc>
        <w:tc>
          <w:tcPr>
            <w:tcW w:w="567" w:type="dxa"/>
            <w:tcBorders>
              <w:top w:val="nil"/>
              <w:left w:val="nil"/>
              <w:bottom w:val="single" w:sz="4" w:space="0" w:color="auto"/>
              <w:right w:val="single" w:sz="4" w:space="0" w:color="auto"/>
            </w:tcBorders>
            <w:shd w:val="clear" w:color="000000" w:fill="FFFFFF"/>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20,0%</w:t>
            </w:r>
          </w:p>
        </w:tc>
      </w:tr>
      <w:tr w:rsidR="00B07AB8" w:rsidRPr="00C54B76" w:rsidTr="00103148">
        <w:tc>
          <w:tcPr>
            <w:tcW w:w="720" w:type="dxa"/>
            <w:tcBorders>
              <w:top w:val="nil"/>
              <w:left w:val="single" w:sz="4" w:space="0" w:color="auto"/>
              <w:bottom w:val="single" w:sz="4" w:space="0" w:color="auto"/>
              <w:right w:val="single" w:sz="4" w:space="0" w:color="auto"/>
            </w:tcBorders>
            <w:shd w:val="clear" w:color="auto" w:fill="auto"/>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4.3.2.2.</w:t>
            </w:r>
          </w:p>
        </w:tc>
        <w:tc>
          <w:tcPr>
            <w:tcW w:w="2257" w:type="dxa"/>
            <w:tcBorders>
              <w:top w:val="nil"/>
              <w:left w:val="nil"/>
              <w:bottom w:val="single" w:sz="4" w:space="0" w:color="auto"/>
              <w:right w:val="single" w:sz="4" w:space="0" w:color="auto"/>
            </w:tcBorders>
            <w:shd w:val="clear" w:color="auto" w:fill="auto"/>
            <w:vAlign w:val="center"/>
            <w:hideMark/>
          </w:tcPr>
          <w:p w:rsidR="00B07AB8" w:rsidRPr="00C54B76" w:rsidRDefault="00B07AB8" w:rsidP="006A7039">
            <w:pPr>
              <w:spacing w:after="0" w:line="240" w:lineRule="auto"/>
              <w:ind w:left="153" w:right="132"/>
              <w:jc w:val="both"/>
              <w:rPr>
                <w:rFonts w:ascii="Arial Narrow" w:hAnsi="Arial Narrow"/>
                <w:sz w:val="18"/>
                <w:szCs w:val="18"/>
              </w:rPr>
            </w:pPr>
            <w:r w:rsidRPr="00C54B76">
              <w:rPr>
                <w:rFonts w:ascii="Arial Narrow" w:hAnsi="Arial Narrow"/>
                <w:sz w:val="18"/>
                <w:szCs w:val="18"/>
              </w:rPr>
              <w:t>Удовлетворены сложностью (количеством) процедур подключения, %</w:t>
            </w:r>
          </w:p>
        </w:tc>
        <w:tc>
          <w:tcPr>
            <w:tcW w:w="640"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23,4%</w:t>
            </w:r>
          </w:p>
        </w:tc>
        <w:tc>
          <w:tcPr>
            <w:tcW w:w="636"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0,0%</w:t>
            </w:r>
          </w:p>
        </w:tc>
        <w:tc>
          <w:tcPr>
            <w:tcW w:w="567"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0,0%</w:t>
            </w:r>
          </w:p>
        </w:tc>
        <w:tc>
          <w:tcPr>
            <w:tcW w:w="567"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24,0%</w:t>
            </w:r>
          </w:p>
        </w:tc>
        <w:tc>
          <w:tcPr>
            <w:tcW w:w="431"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22,9%</w:t>
            </w:r>
          </w:p>
        </w:tc>
        <w:tc>
          <w:tcPr>
            <w:tcW w:w="562"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16,0%</w:t>
            </w:r>
          </w:p>
        </w:tc>
        <w:tc>
          <w:tcPr>
            <w:tcW w:w="566"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12,0%</w:t>
            </w:r>
          </w:p>
        </w:tc>
        <w:tc>
          <w:tcPr>
            <w:tcW w:w="567"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27,1%</w:t>
            </w:r>
          </w:p>
        </w:tc>
        <w:tc>
          <w:tcPr>
            <w:tcW w:w="491"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22,8%</w:t>
            </w:r>
          </w:p>
        </w:tc>
        <w:tc>
          <w:tcPr>
            <w:tcW w:w="446"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6,7%</w:t>
            </w:r>
          </w:p>
        </w:tc>
        <w:tc>
          <w:tcPr>
            <w:tcW w:w="546"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8,0%</w:t>
            </w:r>
          </w:p>
        </w:tc>
        <w:tc>
          <w:tcPr>
            <w:tcW w:w="567"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8,0%</w:t>
            </w:r>
          </w:p>
        </w:tc>
        <w:tc>
          <w:tcPr>
            <w:tcW w:w="567"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29,0%</w:t>
            </w:r>
          </w:p>
        </w:tc>
        <w:tc>
          <w:tcPr>
            <w:tcW w:w="567"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20,0%</w:t>
            </w:r>
          </w:p>
        </w:tc>
      </w:tr>
      <w:tr w:rsidR="00B07AB8" w:rsidRPr="00C54B76" w:rsidTr="00103148">
        <w:tc>
          <w:tcPr>
            <w:tcW w:w="720" w:type="dxa"/>
            <w:tcBorders>
              <w:top w:val="nil"/>
              <w:left w:val="single" w:sz="4" w:space="0" w:color="auto"/>
              <w:bottom w:val="single" w:sz="4" w:space="0" w:color="auto"/>
              <w:right w:val="single" w:sz="4" w:space="0" w:color="auto"/>
            </w:tcBorders>
            <w:shd w:val="clear" w:color="auto" w:fill="auto"/>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4.3.2.3.</w:t>
            </w:r>
          </w:p>
        </w:tc>
        <w:tc>
          <w:tcPr>
            <w:tcW w:w="2257" w:type="dxa"/>
            <w:tcBorders>
              <w:top w:val="nil"/>
              <w:left w:val="nil"/>
              <w:bottom w:val="single" w:sz="4" w:space="0" w:color="auto"/>
              <w:right w:val="single" w:sz="4" w:space="0" w:color="auto"/>
            </w:tcBorders>
            <w:shd w:val="clear" w:color="auto" w:fill="auto"/>
            <w:vAlign w:val="center"/>
            <w:hideMark/>
          </w:tcPr>
          <w:p w:rsidR="00B07AB8" w:rsidRPr="00C54B76" w:rsidRDefault="00B07AB8" w:rsidP="006A7039">
            <w:pPr>
              <w:spacing w:after="0" w:line="240" w:lineRule="auto"/>
              <w:ind w:left="153" w:right="132"/>
              <w:jc w:val="both"/>
              <w:rPr>
                <w:rFonts w:ascii="Arial Narrow" w:hAnsi="Arial Narrow"/>
                <w:sz w:val="18"/>
                <w:szCs w:val="18"/>
              </w:rPr>
            </w:pPr>
            <w:r w:rsidRPr="00C54B76">
              <w:rPr>
                <w:rFonts w:ascii="Arial Narrow" w:hAnsi="Arial Narrow"/>
                <w:sz w:val="18"/>
                <w:szCs w:val="18"/>
              </w:rPr>
              <w:t>Удовлетворены стоимостью подключения, %</w:t>
            </w:r>
          </w:p>
        </w:tc>
        <w:tc>
          <w:tcPr>
            <w:tcW w:w="640"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16,7%</w:t>
            </w:r>
          </w:p>
        </w:tc>
        <w:tc>
          <w:tcPr>
            <w:tcW w:w="636"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0,0%</w:t>
            </w:r>
          </w:p>
        </w:tc>
        <w:tc>
          <w:tcPr>
            <w:tcW w:w="567"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0,0%</w:t>
            </w:r>
          </w:p>
        </w:tc>
        <w:tc>
          <w:tcPr>
            <w:tcW w:w="567"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12,0%</w:t>
            </w:r>
          </w:p>
        </w:tc>
        <w:tc>
          <w:tcPr>
            <w:tcW w:w="431"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11,4%</w:t>
            </w:r>
          </w:p>
        </w:tc>
        <w:tc>
          <w:tcPr>
            <w:tcW w:w="562"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12,0%</w:t>
            </w:r>
          </w:p>
        </w:tc>
        <w:tc>
          <w:tcPr>
            <w:tcW w:w="566"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12,0%</w:t>
            </w:r>
          </w:p>
        </w:tc>
        <w:tc>
          <w:tcPr>
            <w:tcW w:w="567"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20,0%</w:t>
            </w:r>
          </w:p>
        </w:tc>
        <w:tc>
          <w:tcPr>
            <w:tcW w:w="491"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13,9%</w:t>
            </w:r>
          </w:p>
        </w:tc>
        <w:tc>
          <w:tcPr>
            <w:tcW w:w="446"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0,0%</w:t>
            </w:r>
          </w:p>
        </w:tc>
        <w:tc>
          <w:tcPr>
            <w:tcW w:w="546"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8,0%</w:t>
            </w:r>
          </w:p>
        </w:tc>
        <w:tc>
          <w:tcPr>
            <w:tcW w:w="567"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8,0%</w:t>
            </w:r>
          </w:p>
        </w:tc>
        <w:tc>
          <w:tcPr>
            <w:tcW w:w="567"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18,0%</w:t>
            </w:r>
          </w:p>
        </w:tc>
        <w:tc>
          <w:tcPr>
            <w:tcW w:w="567"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10,0%</w:t>
            </w:r>
          </w:p>
        </w:tc>
      </w:tr>
      <w:tr w:rsidR="00B07AB8" w:rsidRPr="00C54B76" w:rsidTr="00103148">
        <w:tc>
          <w:tcPr>
            <w:tcW w:w="720" w:type="dxa"/>
            <w:tcBorders>
              <w:top w:val="nil"/>
              <w:left w:val="single" w:sz="4" w:space="0" w:color="auto"/>
              <w:bottom w:val="single" w:sz="4" w:space="0" w:color="auto"/>
              <w:right w:val="single" w:sz="4" w:space="0" w:color="auto"/>
            </w:tcBorders>
            <w:shd w:val="clear" w:color="auto" w:fill="auto"/>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4.3.2.4.</w:t>
            </w:r>
          </w:p>
        </w:tc>
        <w:tc>
          <w:tcPr>
            <w:tcW w:w="2257" w:type="dxa"/>
            <w:tcBorders>
              <w:top w:val="nil"/>
              <w:left w:val="nil"/>
              <w:bottom w:val="single" w:sz="4" w:space="0" w:color="auto"/>
              <w:right w:val="single" w:sz="4" w:space="0" w:color="auto"/>
            </w:tcBorders>
            <w:shd w:val="clear" w:color="auto" w:fill="auto"/>
            <w:vAlign w:val="center"/>
            <w:hideMark/>
          </w:tcPr>
          <w:p w:rsidR="00B07AB8" w:rsidRPr="00C54B76" w:rsidRDefault="00B07AB8" w:rsidP="006A7039">
            <w:pPr>
              <w:spacing w:after="0" w:line="240" w:lineRule="auto"/>
              <w:ind w:left="153" w:right="132"/>
              <w:jc w:val="both"/>
              <w:rPr>
                <w:rFonts w:ascii="Arial Narrow" w:hAnsi="Arial Narrow"/>
                <w:sz w:val="18"/>
                <w:szCs w:val="18"/>
              </w:rPr>
            </w:pPr>
            <w:r w:rsidRPr="00C54B76">
              <w:rPr>
                <w:rFonts w:ascii="Arial Narrow" w:hAnsi="Arial Narrow"/>
                <w:sz w:val="18"/>
                <w:szCs w:val="18"/>
              </w:rPr>
              <w:t>Удовлетворены стоимостью предоставляемых услуг, %</w:t>
            </w:r>
          </w:p>
        </w:tc>
        <w:tc>
          <w:tcPr>
            <w:tcW w:w="640"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29,5%</w:t>
            </w:r>
          </w:p>
        </w:tc>
        <w:tc>
          <w:tcPr>
            <w:tcW w:w="636"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70,0%</w:t>
            </w:r>
          </w:p>
        </w:tc>
        <w:tc>
          <w:tcPr>
            <w:tcW w:w="567"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60,0%</w:t>
            </w:r>
          </w:p>
        </w:tc>
        <w:tc>
          <w:tcPr>
            <w:tcW w:w="567"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40,0%</w:t>
            </w:r>
          </w:p>
        </w:tc>
        <w:tc>
          <w:tcPr>
            <w:tcW w:w="431"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28,6%</w:t>
            </w:r>
          </w:p>
        </w:tc>
        <w:tc>
          <w:tcPr>
            <w:tcW w:w="562"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36,0%</w:t>
            </w:r>
          </w:p>
        </w:tc>
        <w:tc>
          <w:tcPr>
            <w:tcW w:w="566"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16,0%</w:t>
            </w:r>
          </w:p>
        </w:tc>
        <w:tc>
          <w:tcPr>
            <w:tcW w:w="567"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40,0%</w:t>
            </w:r>
          </w:p>
        </w:tc>
        <w:tc>
          <w:tcPr>
            <w:tcW w:w="491"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24,4%</w:t>
            </w:r>
          </w:p>
        </w:tc>
        <w:tc>
          <w:tcPr>
            <w:tcW w:w="446"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3,3%</w:t>
            </w:r>
          </w:p>
        </w:tc>
        <w:tc>
          <w:tcPr>
            <w:tcW w:w="546"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40,0%</w:t>
            </w:r>
          </w:p>
        </w:tc>
        <w:tc>
          <w:tcPr>
            <w:tcW w:w="567"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48,0%</w:t>
            </w:r>
          </w:p>
        </w:tc>
        <w:tc>
          <w:tcPr>
            <w:tcW w:w="567"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15,0%</w:t>
            </w:r>
          </w:p>
        </w:tc>
        <w:tc>
          <w:tcPr>
            <w:tcW w:w="567" w:type="dxa"/>
            <w:tcBorders>
              <w:top w:val="nil"/>
              <w:left w:val="nil"/>
              <w:bottom w:val="single" w:sz="4" w:space="0" w:color="auto"/>
              <w:right w:val="single" w:sz="4" w:space="0" w:color="auto"/>
            </w:tcBorders>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30,0%</w:t>
            </w:r>
          </w:p>
        </w:tc>
      </w:tr>
      <w:tr w:rsidR="00B07AB8" w:rsidRPr="00C54B76" w:rsidTr="0010314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720" w:type="dxa"/>
            <w:shd w:val="clear" w:color="auto" w:fill="auto"/>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4.3.2.5.</w:t>
            </w:r>
          </w:p>
        </w:tc>
        <w:tc>
          <w:tcPr>
            <w:tcW w:w="2257" w:type="dxa"/>
            <w:shd w:val="clear" w:color="auto" w:fill="auto"/>
            <w:vAlign w:val="center"/>
            <w:hideMark/>
          </w:tcPr>
          <w:p w:rsidR="00B07AB8" w:rsidRPr="00C54B76" w:rsidRDefault="00B07AB8" w:rsidP="006A7039">
            <w:pPr>
              <w:spacing w:after="0" w:line="240" w:lineRule="auto"/>
              <w:ind w:left="153" w:right="132"/>
              <w:jc w:val="both"/>
              <w:rPr>
                <w:rFonts w:ascii="Arial Narrow" w:hAnsi="Arial Narrow"/>
                <w:sz w:val="18"/>
                <w:szCs w:val="18"/>
              </w:rPr>
            </w:pPr>
            <w:r w:rsidRPr="00C54B76">
              <w:rPr>
                <w:rFonts w:ascii="Arial Narrow" w:hAnsi="Arial Narrow"/>
                <w:sz w:val="18"/>
                <w:szCs w:val="18"/>
              </w:rPr>
              <w:t xml:space="preserve">Удовлетворены качеством предоставляемых услуг, % </w:t>
            </w:r>
          </w:p>
        </w:tc>
        <w:tc>
          <w:tcPr>
            <w:tcW w:w="640"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52,4%</w:t>
            </w:r>
          </w:p>
        </w:tc>
        <w:tc>
          <w:tcPr>
            <w:tcW w:w="636"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70,0%</w:t>
            </w:r>
          </w:p>
        </w:tc>
        <w:tc>
          <w:tcPr>
            <w:tcW w:w="567"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40,0%</w:t>
            </w:r>
          </w:p>
        </w:tc>
        <w:tc>
          <w:tcPr>
            <w:tcW w:w="567"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76,0%</w:t>
            </w:r>
          </w:p>
        </w:tc>
        <w:tc>
          <w:tcPr>
            <w:tcW w:w="431"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57,1%</w:t>
            </w:r>
          </w:p>
        </w:tc>
        <w:tc>
          <w:tcPr>
            <w:tcW w:w="562"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76,0%</w:t>
            </w:r>
          </w:p>
        </w:tc>
        <w:tc>
          <w:tcPr>
            <w:tcW w:w="566"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52,0%</w:t>
            </w:r>
          </w:p>
        </w:tc>
        <w:tc>
          <w:tcPr>
            <w:tcW w:w="567"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65,7%</w:t>
            </w:r>
          </w:p>
        </w:tc>
        <w:tc>
          <w:tcPr>
            <w:tcW w:w="491"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41,1%</w:t>
            </w:r>
          </w:p>
        </w:tc>
        <w:tc>
          <w:tcPr>
            <w:tcW w:w="446"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26,7%</w:t>
            </w:r>
          </w:p>
        </w:tc>
        <w:tc>
          <w:tcPr>
            <w:tcW w:w="546"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56,0%</w:t>
            </w:r>
          </w:p>
        </w:tc>
        <w:tc>
          <w:tcPr>
            <w:tcW w:w="567"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76,0%</w:t>
            </w:r>
          </w:p>
        </w:tc>
        <w:tc>
          <w:tcPr>
            <w:tcW w:w="567"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34,0%</w:t>
            </w:r>
          </w:p>
        </w:tc>
        <w:tc>
          <w:tcPr>
            <w:tcW w:w="567"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40,0%</w:t>
            </w:r>
          </w:p>
        </w:tc>
      </w:tr>
      <w:tr w:rsidR="00B07AB8" w:rsidRPr="00C54B76" w:rsidTr="0010314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720" w:type="dxa"/>
            <w:shd w:val="clear" w:color="auto" w:fill="auto"/>
            <w:vAlign w:val="center"/>
            <w:hideMark/>
          </w:tcPr>
          <w:p w:rsidR="00B07AB8" w:rsidRPr="00C54B76" w:rsidRDefault="00B07AB8" w:rsidP="00103148">
            <w:pPr>
              <w:spacing w:after="0" w:line="312" w:lineRule="auto"/>
              <w:jc w:val="center"/>
              <w:rPr>
                <w:rFonts w:ascii="Arial Narrow" w:hAnsi="Arial Narrow"/>
                <w:b/>
                <w:bCs/>
                <w:sz w:val="18"/>
                <w:szCs w:val="18"/>
              </w:rPr>
            </w:pPr>
            <w:r w:rsidRPr="00C54B76">
              <w:rPr>
                <w:rFonts w:ascii="Arial Narrow" w:hAnsi="Arial Narrow"/>
                <w:b/>
                <w:bCs/>
                <w:sz w:val="18"/>
                <w:szCs w:val="18"/>
              </w:rPr>
              <w:t>4.3.3.</w:t>
            </w:r>
          </w:p>
        </w:tc>
        <w:tc>
          <w:tcPr>
            <w:tcW w:w="9977" w:type="dxa"/>
            <w:gridSpan w:val="15"/>
            <w:shd w:val="clear" w:color="auto" w:fill="auto"/>
            <w:vAlign w:val="center"/>
            <w:hideMark/>
          </w:tcPr>
          <w:p w:rsidR="00B07AB8" w:rsidRPr="00C54B76" w:rsidRDefault="00B07AB8" w:rsidP="006A7039">
            <w:pPr>
              <w:spacing w:after="0" w:line="240" w:lineRule="auto"/>
              <w:ind w:left="153" w:right="132"/>
              <w:jc w:val="center"/>
              <w:rPr>
                <w:rFonts w:ascii="Arial Narrow" w:hAnsi="Arial Narrow"/>
                <w:b/>
                <w:bCs/>
                <w:sz w:val="18"/>
                <w:szCs w:val="18"/>
              </w:rPr>
            </w:pPr>
            <w:r w:rsidRPr="00C54B76">
              <w:rPr>
                <w:rFonts w:ascii="Arial Narrow" w:hAnsi="Arial Narrow"/>
                <w:b/>
                <w:bCs/>
                <w:sz w:val="18"/>
                <w:szCs w:val="18"/>
              </w:rPr>
              <w:t>Электроснабжение:</w:t>
            </w:r>
          </w:p>
        </w:tc>
      </w:tr>
      <w:tr w:rsidR="00B07AB8" w:rsidRPr="00C54B76" w:rsidTr="0010314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720" w:type="dxa"/>
            <w:shd w:val="clear" w:color="auto" w:fill="auto"/>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4.3.3.1</w:t>
            </w:r>
          </w:p>
        </w:tc>
        <w:tc>
          <w:tcPr>
            <w:tcW w:w="2257" w:type="dxa"/>
            <w:shd w:val="clear" w:color="auto" w:fill="auto"/>
            <w:vAlign w:val="center"/>
            <w:hideMark/>
          </w:tcPr>
          <w:p w:rsidR="00B07AB8" w:rsidRPr="00C54B76" w:rsidRDefault="00B07AB8" w:rsidP="006A7039">
            <w:pPr>
              <w:spacing w:after="0" w:line="240" w:lineRule="auto"/>
              <w:ind w:left="153" w:right="132"/>
              <w:jc w:val="both"/>
              <w:rPr>
                <w:rFonts w:ascii="Arial Narrow" w:hAnsi="Arial Narrow"/>
                <w:sz w:val="18"/>
                <w:szCs w:val="18"/>
              </w:rPr>
            </w:pPr>
            <w:r w:rsidRPr="00C54B76">
              <w:rPr>
                <w:rFonts w:ascii="Arial Narrow" w:hAnsi="Arial Narrow"/>
                <w:sz w:val="18"/>
                <w:szCs w:val="18"/>
              </w:rPr>
              <w:t>Удовлетворены сроками получения доступа к услугам, %</w:t>
            </w:r>
          </w:p>
        </w:tc>
        <w:tc>
          <w:tcPr>
            <w:tcW w:w="640"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36,8%</w:t>
            </w:r>
          </w:p>
        </w:tc>
        <w:tc>
          <w:tcPr>
            <w:tcW w:w="636"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0,0%</w:t>
            </w:r>
          </w:p>
        </w:tc>
        <w:tc>
          <w:tcPr>
            <w:tcW w:w="567"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20,0%</w:t>
            </w:r>
          </w:p>
        </w:tc>
        <w:tc>
          <w:tcPr>
            <w:tcW w:w="567"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24,0%</w:t>
            </w:r>
          </w:p>
        </w:tc>
        <w:tc>
          <w:tcPr>
            <w:tcW w:w="431"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32,9%</w:t>
            </w:r>
          </w:p>
        </w:tc>
        <w:tc>
          <w:tcPr>
            <w:tcW w:w="562"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16,0%</w:t>
            </w:r>
          </w:p>
        </w:tc>
        <w:tc>
          <w:tcPr>
            <w:tcW w:w="566"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24,0%</w:t>
            </w:r>
          </w:p>
        </w:tc>
        <w:tc>
          <w:tcPr>
            <w:tcW w:w="567"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45,7%</w:t>
            </w:r>
          </w:p>
        </w:tc>
        <w:tc>
          <w:tcPr>
            <w:tcW w:w="491"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40,6%</w:t>
            </w:r>
          </w:p>
        </w:tc>
        <w:tc>
          <w:tcPr>
            <w:tcW w:w="446"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3,3%</w:t>
            </w:r>
          </w:p>
        </w:tc>
        <w:tc>
          <w:tcPr>
            <w:tcW w:w="546"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24,0%</w:t>
            </w:r>
          </w:p>
        </w:tc>
        <w:tc>
          <w:tcPr>
            <w:tcW w:w="567" w:type="dxa"/>
            <w:shd w:val="clear" w:color="000000" w:fill="FFFFFF"/>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24,0%</w:t>
            </w:r>
          </w:p>
        </w:tc>
        <w:tc>
          <w:tcPr>
            <w:tcW w:w="567" w:type="dxa"/>
            <w:shd w:val="clear" w:color="000000" w:fill="FFFFFF"/>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51,0%</w:t>
            </w:r>
          </w:p>
        </w:tc>
        <w:tc>
          <w:tcPr>
            <w:tcW w:w="567" w:type="dxa"/>
            <w:shd w:val="clear" w:color="000000" w:fill="FFFFFF"/>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20,0%</w:t>
            </w:r>
          </w:p>
        </w:tc>
      </w:tr>
    </w:tbl>
    <w:p w:rsidR="006A7039" w:rsidRDefault="006A7039"/>
    <w:p w:rsidR="006A7039" w:rsidRPr="006A7039" w:rsidRDefault="006A7039" w:rsidP="006A7039">
      <w:pPr>
        <w:spacing w:after="0" w:line="240" w:lineRule="auto"/>
        <w:jc w:val="right"/>
        <w:rPr>
          <w:rFonts w:ascii="Arial Narrow" w:hAnsi="Arial Narrow"/>
          <w:sz w:val="24"/>
          <w:szCs w:val="24"/>
        </w:rPr>
      </w:pPr>
      <w:r w:rsidRPr="004865F9">
        <w:rPr>
          <w:rFonts w:ascii="Arial Narrow" w:hAnsi="Arial Narrow"/>
          <w:sz w:val="24"/>
          <w:szCs w:val="24"/>
        </w:rPr>
        <w:lastRenderedPageBreak/>
        <w:t>Продолжение Таблицы 5.11</w:t>
      </w:r>
    </w:p>
    <w:tbl>
      <w:tblPr>
        <w:tblW w:w="10697"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720"/>
        <w:gridCol w:w="2257"/>
        <w:gridCol w:w="640"/>
        <w:gridCol w:w="636"/>
        <w:gridCol w:w="567"/>
        <w:gridCol w:w="567"/>
        <w:gridCol w:w="431"/>
        <w:gridCol w:w="562"/>
        <w:gridCol w:w="566"/>
        <w:gridCol w:w="567"/>
        <w:gridCol w:w="491"/>
        <w:gridCol w:w="446"/>
        <w:gridCol w:w="546"/>
        <w:gridCol w:w="567"/>
        <w:gridCol w:w="567"/>
        <w:gridCol w:w="567"/>
      </w:tblGrid>
      <w:tr w:rsidR="00B07AB8" w:rsidRPr="00C54B76" w:rsidTr="00103148">
        <w:tc>
          <w:tcPr>
            <w:tcW w:w="720" w:type="dxa"/>
            <w:shd w:val="clear" w:color="auto" w:fill="auto"/>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4.3.3.2.</w:t>
            </w:r>
          </w:p>
        </w:tc>
        <w:tc>
          <w:tcPr>
            <w:tcW w:w="2257" w:type="dxa"/>
            <w:shd w:val="clear" w:color="auto" w:fill="auto"/>
            <w:vAlign w:val="center"/>
            <w:hideMark/>
          </w:tcPr>
          <w:p w:rsidR="00B07AB8" w:rsidRPr="00C54B76" w:rsidRDefault="00B07AB8" w:rsidP="006A7039">
            <w:pPr>
              <w:spacing w:after="0" w:line="240" w:lineRule="auto"/>
              <w:ind w:left="153" w:right="132"/>
              <w:jc w:val="both"/>
              <w:rPr>
                <w:rFonts w:ascii="Arial Narrow" w:hAnsi="Arial Narrow"/>
                <w:sz w:val="18"/>
                <w:szCs w:val="18"/>
              </w:rPr>
            </w:pPr>
            <w:r w:rsidRPr="00C54B76">
              <w:rPr>
                <w:rFonts w:ascii="Arial Narrow" w:hAnsi="Arial Narrow"/>
                <w:sz w:val="18"/>
                <w:szCs w:val="18"/>
              </w:rPr>
              <w:t>Удовлетворены сложностью (количеством) процедур подключения, %</w:t>
            </w:r>
          </w:p>
        </w:tc>
        <w:tc>
          <w:tcPr>
            <w:tcW w:w="640"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29,0%</w:t>
            </w:r>
          </w:p>
        </w:tc>
        <w:tc>
          <w:tcPr>
            <w:tcW w:w="636"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0,0%</w:t>
            </w:r>
          </w:p>
        </w:tc>
        <w:tc>
          <w:tcPr>
            <w:tcW w:w="567"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0,0%</w:t>
            </w:r>
          </w:p>
        </w:tc>
        <w:tc>
          <w:tcPr>
            <w:tcW w:w="567"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28,0%</w:t>
            </w:r>
          </w:p>
        </w:tc>
        <w:tc>
          <w:tcPr>
            <w:tcW w:w="431"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28,6%</w:t>
            </w:r>
          </w:p>
        </w:tc>
        <w:tc>
          <w:tcPr>
            <w:tcW w:w="562"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16,0%</w:t>
            </w:r>
          </w:p>
        </w:tc>
        <w:tc>
          <w:tcPr>
            <w:tcW w:w="566"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12,0%</w:t>
            </w:r>
          </w:p>
        </w:tc>
        <w:tc>
          <w:tcPr>
            <w:tcW w:w="567"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30,0%</w:t>
            </w:r>
          </w:p>
        </w:tc>
        <w:tc>
          <w:tcPr>
            <w:tcW w:w="491"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27,8%</w:t>
            </w:r>
          </w:p>
        </w:tc>
        <w:tc>
          <w:tcPr>
            <w:tcW w:w="446"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6,7%</w:t>
            </w:r>
          </w:p>
        </w:tc>
        <w:tc>
          <w:tcPr>
            <w:tcW w:w="546"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16,0%</w:t>
            </w:r>
          </w:p>
        </w:tc>
        <w:tc>
          <w:tcPr>
            <w:tcW w:w="567"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12,0%</w:t>
            </w:r>
          </w:p>
        </w:tc>
        <w:tc>
          <w:tcPr>
            <w:tcW w:w="567"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48,0%</w:t>
            </w:r>
          </w:p>
        </w:tc>
        <w:tc>
          <w:tcPr>
            <w:tcW w:w="567"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20,0%</w:t>
            </w:r>
          </w:p>
        </w:tc>
      </w:tr>
      <w:tr w:rsidR="00B07AB8" w:rsidRPr="00C54B76" w:rsidTr="00103148">
        <w:tc>
          <w:tcPr>
            <w:tcW w:w="720" w:type="dxa"/>
            <w:shd w:val="clear" w:color="auto" w:fill="auto"/>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4.3.3.3.</w:t>
            </w:r>
          </w:p>
        </w:tc>
        <w:tc>
          <w:tcPr>
            <w:tcW w:w="2257" w:type="dxa"/>
            <w:shd w:val="clear" w:color="auto" w:fill="auto"/>
            <w:vAlign w:val="center"/>
            <w:hideMark/>
          </w:tcPr>
          <w:p w:rsidR="00B07AB8" w:rsidRPr="00C54B76" w:rsidRDefault="00B07AB8" w:rsidP="006A7039">
            <w:pPr>
              <w:spacing w:after="0" w:line="240" w:lineRule="auto"/>
              <w:ind w:left="153" w:right="132"/>
              <w:jc w:val="both"/>
              <w:rPr>
                <w:rFonts w:ascii="Arial Narrow" w:hAnsi="Arial Narrow"/>
                <w:sz w:val="18"/>
                <w:szCs w:val="18"/>
              </w:rPr>
            </w:pPr>
            <w:r w:rsidRPr="00C54B76">
              <w:rPr>
                <w:rFonts w:ascii="Arial Narrow" w:hAnsi="Arial Narrow"/>
                <w:sz w:val="18"/>
                <w:szCs w:val="18"/>
              </w:rPr>
              <w:t>Удовлетворены стоимостью подключения, %</w:t>
            </w:r>
          </w:p>
        </w:tc>
        <w:tc>
          <w:tcPr>
            <w:tcW w:w="640"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21,6%</w:t>
            </w:r>
          </w:p>
        </w:tc>
        <w:tc>
          <w:tcPr>
            <w:tcW w:w="636"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0,0%</w:t>
            </w:r>
          </w:p>
        </w:tc>
        <w:tc>
          <w:tcPr>
            <w:tcW w:w="567"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0,0%</w:t>
            </w:r>
          </w:p>
        </w:tc>
        <w:tc>
          <w:tcPr>
            <w:tcW w:w="567"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16,0%</w:t>
            </w:r>
          </w:p>
        </w:tc>
        <w:tc>
          <w:tcPr>
            <w:tcW w:w="431"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24,3%</w:t>
            </w:r>
          </w:p>
        </w:tc>
        <w:tc>
          <w:tcPr>
            <w:tcW w:w="562"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12,0%</w:t>
            </w:r>
          </w:p>
        </w:tc>
        <w:tc>
          <w:tcPr>
            <w:tcW w:w="566"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12,0%</w:t>
            </w:r>
          </w:p>
        </w:tc>
        <w:tc>
          <w:tcPr>
            <w:tcW w:w="567"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22,9%</w:t>
            </w:r>
          </w:p>
        </w:tc>
        <w:tc>
          <w:tcPr>
            <w:tcW w:w="491"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18,9%</w:t>
            </w:r>
          </w:p>
        </w:tc>
        <w:tc>
          <w:tcPr>
            <w:tcW w:w="446"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5,0%</w:t>
            </w:r>
          </w:p>
        </w:tc>
        <w:tc>
          <w:tcPr>
            <w:tcW w:w="546"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16,0%</w:t>
            </w:r>
          </w:p>
        </w:tc>
        <w:tc>
          <w:tcPr>
            <w:tcW w:w="567"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12,0%</w:t>
            </w:r>
          </w:p>
        </w:tc>
        <w:tc>
          <w:tcPr>
            <w:tcW w:w="567"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29,0%</w:t>
            </w:r>
          </w:p>
        </w:tc>
        <w:tc>
          <w:tcPr>
            <w:tcW w:w="567"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10,0%</w:t>
            </w:r>
          </w:p>
        </w:tc>
      </w:tr>
      <w:tr w:rsidR="00B07AB8" w:rsidRPr="00C54B76" w:rsidTr="00103148">
        <w:tc>
          <w:tcPr>
            <w:tcW w:w="720" w:type="dxa"/>
            <w:shd w:val="clear" w:color="auto" w:fill="auto"/>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4.3.3.4.</w:t>
            </w:r>
          </w:p>
        </w:tc>
        <w:tc>
          <w:tcPr>
            <w:tcW w:w="2257" w:type="dxa"/>
            <w:shd w:val="clear" w:color="auto" w:fill="auto"/>
            <w:vAlign w:val="center"/>
            <w:hideMark/>
          </w:tcPr>
          <w:p w:rsidR="00B07AB8" w:rsidRPr="00C54B76" w:rsidRDefault="00B07AB8" w:rsidP="006A7039">
            <w:pPr>
              <w:spacing w:after="0" w:line="240" w:lineRule="auto"/>
              <w:ind w:left="153" w:right="132"/>
              <w:jc w:val="both"/>
              <w:rPr>
                <w:rFonts w:ascii="Arial Narrow" w:hAnsi="Arial Narrow"/>
                <w:sz w:val="18"/>
                <w:szCs w:val="18"/>
              </w:rPr>
            </w:pPr>
            <w:r w:rsidRPr="00C54B76">
              <w:rPr>
                <w:rFonts w:ascii="Arial Narrow" w:hAnsi="Arial Narrow"/>
                <w:sz w:val="18"/>
                <w:szCs w:val="18"/>
              </w:rPr>
              <w:t>Удовлетворены стоимостью предоставляемых услуг, %</w:t>
            </w:r>
          </w:p>
        </w:tc>
        <w:tc>
          <w:tcPr>
            <w:tcW w:w="640"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34,5%</w:t>
            </w:r>
          </w:p>
        </w:tc>
        <w:tc>
          <w:tcPr>
            <w:tcW w:w="636"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70,0%</w:t>
            </w:r>
          </w:p>
        </w:tc>
        <w:tc>
          <w:tcPr>
            <w:tcW w:w="567"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60,0%</w:t>
            </w:r>
          </w:p>
        </w:tc>
        <w:tc>
          <w:tcPr>
            <w:tcW w:w="567"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40,0%</w:t>
            </w:r>
          </w:p>
        </w:tc>
        <w:tc>
          <w:tcPr>
            <w:tcW w:w="431"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45,7%</w:t>
            </w:r>
          </w:p>
        </w:tc>
        <w:tc>
          <w:tcPr>
            <w:tcW w:w="562"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36,0%</w:t>
            </w:r>
          </w:p>
        </w:tc>
        <w:tc>
          <w:tcPr>
            <w:tcW w:w="566"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20,0%</w:t>
            </w:r>
          </w:p>
        </w:tc>
        <w:tc>
          <w:tcPr>
            <w:tcW w:w="567"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40,0%</w:t>
            </w:r>
          </w:p>
        </w:tc>
        <w:tc>
          <w:tcPr>
            <w:tcW w:w="491"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29,4%</w:t>
            </w:r>
          </w:p>
        </w:tc>
        <w:tc>
          <w:tcPr>
            <w:tcW w:w="446"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15,0%</w:t>
            </w:r>
          </w:p>
        </w:tc>
        <w:tc>
          <w:tcPr>
            <w:tcW w:w="546"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40,0%</w:t>
            </w:r>
          </w:p>
        </w:tc>
        <w:tc>
          <w:tcPr>
            <w:tcW w:w="567"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48,0%</w:t>
            </w:r>
          </w:p>
        </w:tc>
        <w:tc>
          <w:tcPr>
            <w:tcW w:w="567"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29,0%</w:t>
            </w:r>
          </w:p>
        </w:tc>
        <w:tc>
          <w:tcPr>
            <w:tcW w:w="567"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30,0%</w:t>
            </w:r>
          </w:p>
        </w:tc>
      </w:tr>
      <w:tr w:rsidR="00B07AB8" w:rsidRPr="00C54B76" w:rsidTr="00103148">
        <w:tc>
          <w:tcPr>
            <w:tcW w:w="720" w:type="dxa"/>
            <w:shd w:val="clear" w:color="auto" w:fill="auto"/>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4.3.3.5.</w:t>
            </w:r>
          </w:p>
        </w:tc>
        <w:tc>
          <w:tcPr>
            <w:tcW w:w="2257" w:type="dxa"/>
            <w:shd w:val="clear" w:color="auto" w:fill="auto"/>
            <w:vAlign w:val="center"/>
            <w:hideMark/>
          </w:tcPr>
          <w:p w:rsidR="00B07AB8" w:rsidRPr="00C54B76" w:rsidRDefault="00B07AB8" w:rsidP="006A7039">
            <w:pPr>
              <w:spacing w:after="0" w:line="240" w:lineRule="auto"/>
              <w:ind w:left="153" w:right="132"/>
              <w:jc w:val="both"/>
              <w:rPr>
                <w:rFonts w:ascii="Arial Narrow" w:hAnsi="Arial Narrow"/>
                <w:sz w:val="18"/>
                <w:szCs w:val="18"/>
              </w:rPr>
            </w:pPr>
            <w:r w:rsidRPr="00C54B76">
              <w:rPr>
                <w:rFonts w:ascii="Arial Narrow" w:hAnsi="Arial Narrow"/>
                <w:sz w:val="18"/>
                <w:szCs w:val="18"/>
              </w:rPr>
              <w:t>Удовлетворены качеством предоставляемых услуг, %</w:t>
            </w:r>
          </w:p>
        </w:tc>
        <w:tc>
          <w:tcPr>
            <w:tcW w:w="640"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65,6%</w:t>
            </w:r>
          </w:p>
        </w:tc>
        <w:tc>
          <w:tcPr>
            <w:tcW w:w="636"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70,0%</w:t>
            </w:r>
          </w:p>
        </w:tc>
        <w:tc>
          <w:tcPr>
            <w:tcW w:w="567"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80,0%</w:t>
            </w:r>
          </w:p>
        </w:tc>
        <w:tc>
          <w:tcPr>
            <w:tcW w:w="567"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76,0%</w:t>
            </w:r>
          </w:p>
        </w:tc>
        <w:tc>
          <w:tcPr>
            <w:tcW w:w="431"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81,4%</w:t>
            </w:r>
          </w:p>
        </w:tc>
        <w:tc>
          <w:tcPr>
            <w:tcW w:w="562"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72,0%</w:t>
            </w:r>
          </w:p>
        </w:tc>
        <w:tc>
          <w:tcPr>
            <w:tcW w:w="566"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64,0%</w:t>
            </w:r>
          </w:p>
        </w:tc>
        <w:tc>
          <w:tcPr>
            <w:tcW w:w="567"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71,4%</w:t>
            </w:r>
          </w:p>
        </w:tc>
        <w:tc>
          <w:tcPr>
            <w:tcW w:w="491"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62,2%</w:t>
            </w:r>
          </w:p>
        </w:tc>
        <w:tc>
          <w:tcPr>
            <w:tcW w:w="446"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45,0%</w:t>
            </w:r>
          </w:p>
        </w:tc>
        <w:tc>
          <w:tcPr>
            <w:tcW w:w="546"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72,0%</w:t>
            </w:r>
          </w:p>
        </w:tc>
        <w:tc>
          <w:tcPr>
            <w:tcW w:w="567"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76,0%</w:t>
            </w:r>
          </w:p>
        </w:tc>
        <w:tc>
          <w:tcPr>
            <w:tcW w:w="567"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67,0%</w:t>
            </w:r>
          </w:p>
        </w:tc>
        <w:tc>
          <w:tcPr>
            <w:tcW w:w="567"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60,0%</w:t>
            </w:r>
          </w:p>
        </w:tc>
      </w:tr>
      <w:tr w:rsidR="00B07AB8" w:rsidRPr="00C54B76" w:rsidTr="00103148">
        <w:tc>
          <w:tcPr>
            <w:tcW w:w="720" w:type="dxa"/>
            <w:shd w:val="clear" w:color="auto" w:fill="auto"/>
            <w:vAlign w:val="center"/>
            <w:hideMark/>
          </w:tcPr>
          <w:p w:rsidR="00B07AB8" w:rsidRPr="00C54B76" w:rsidRDefault="00B07AB8" w:rsidP="00103148">
            <w:pPr>
              <w:spacing w:after="0" w:line="312" w:lineRule="auto"/>
              <w:jc w:val="center"/>
              <w:rPr>
                <w:rFonts w:ascii="Arial Narrow" w:hAnsi="Arial Narrow"/>
                <w:b/>
                <w:bCs/>
                <w:sz w:val="18"/>
                <w:szCs w:val="18"/>
              </w:rPr>
            </w:pPr>
            <w:r w:rsidRPr="00C54B76">
              <w:rPr>
                <w:rFonts w:ascii="Arial Narrow" w:hAnsi="Arial Narrow"/>
                <w:b/>
                <w:bCs/>
                <w:sz w:val="18"/>
                <w:szCs w:val="18"/>
              </w:rPr>
              <w:t>4.3.4.</w:t>
            </w:r>
          </w:p>
        </w:tc>
        <w:tc>
          <w:tcPr>
            <w:tcW w:w="9977" w:type="dxa"/>
            <w:gridSpan w:val="15"/>
            <w:shd w:val="clear" w:color="auto" w:fill="auto"/>
            <w:vAlign w:val="center"/>
            <w:hideMark/>
          </w:tcPr>
          <w:p w:rsidR="00B07AB8" w:rsidRPr="00C54B76" w:rsidRDefault="00B07AB8" w:rsidP="006A7039">
            <w:pPr>
              <w:spacing w:after="0" w:line="240" w:lineRule="auto"/>
              <w:ind w:left="153" w:right="132"/>
              <w:jc w:val="center"/>
              <w:rPr>
                <w:rFonts w:ascii="Arial Narrow" w:hAnsi="Arial Narrow"/>
                <w:b/>
                <w:bCs/>
                <w:sz w:val="18"/>
                <w:szCs w:val="18"/>
              </w:rPr>
            </w:pPr>
            <w:r w:rsidRPr="00C54B76">
              <w:rPr>
                <w:rFonts w:ascii="Arial Narrow" w:hAnsi="Arial Narrow"/>
                <w:b/>
                <w:bCs/>
                <w:sz w:val="18"/>
                <w:szCs w:val="18"/>
              </w:rPr>
              <w:t>Теплоснабжение:</w:t>
            </w:r>
          </w:p>
        </w:tc>
      </w:tr>
      <w:tr w:rsidR="00B07AB8" w:rsidRPr="00C54B76" w:rsidTr="00103148">
        <w:tc>
          <w:tcPr>
            <w:tcW w:w="720" w:type="dxa"/>
            <w:shd w:val="clear" w:color="auto" w:fill="auto"/>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4.3.4.1.</w:t>
            </w:r>
          </w:p>
        </w:tc>
        <w:tc>
          <w:tcPr>
            <w:tcW w:w="2257" w:type="dxa"/>
            <w:shd w:val="clear" w:color="auto" w:fill="auto"/>
            <w:vAlign w:val="center"/>
            <w:hideMark/>
          </w:tcPr>
          <w:p w:rsidR="00B07AB8" w:rsidRPr="00C54B76" w:rsidRDefault="00B07AB8" w:rsidP="006A7039">
            <w:pPr>
              <w:spacing w:after="0" w:line="240" w:lineRule="auto"/>
              <w:ind w:left="153" w:right="132"/>
              <w:jc w:val="both"/>
              <w:rPr>
                <w:rFonts w:ascii="Arial Narrow" w:hAnsi="Arial Narrow"/>
                <w:sz w:val="18"/>
                <w:szCs w:val="18"/>
              </w:rPr>
            </w:pPr>
            <w:r w:rsidRPr="00C54B76">
              <w:rPr>
                <w:rFonts w:ascii="Arial Narrow" w:hAnsi="Arial Narrow"/>
                <w:sz w:val="18"/>
                <w:szCs w:val="18"/>
              </w:rPr>
              <w:t>Удовлетворены сроками получения доступа к услугам, %</w:t>
            </w:r>
          </w:p>
        </w:tc>
        <w:tc>
          <w:tcPr>
            <w:tcW w:w="640"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35,3%</w:t>
            </w:r>
          </w:p>
        </w:tc>
        <w:tc>
          <w:tcPr>
            <w:tcW w:w="636"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0,0%</w:t>
            </w:r>
          </w:p>
        </w:tc>
        <w:tc>
          <w:tcPr>
            <w:tcW w:w="567"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20,0%</w:t>
            </w:r>
          </w:p>
        </w:tc>
        <w:tc>
          <w:tcPr>
            <w:tcW w:w="567"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20,0%</w:t>
            </w:r>
          </w:p>
        </w:tc>
        <w:tc>
          <w:tcPr>
            <w:tcW w:w="431"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32,9%</w:t>
            </w:r>
          </w:p>
        </w:tc>
        <w:tc>
          <w:tcPr>
            <w:tcW w:w="562"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16,0%</w:t>
            </w:r>
          </w:p>
        </w:tc>
        <w:tc>
          <w:tcPr>
            <w:tcW w:w="566"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24,0%</w:t>
            </w:r>
          </w:p>
        </w:tc>
        <w:tc>
          <w:tcPr>
            <w:tcW w:w="567"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40,0%</w:t>
            </w:r>
          </w:p>
        </w:tc>
        <w:tc>
          <w:tcPr>
            <w:tcW w:w="491"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41,1%</w:t>
            </w:r>
          </w:p>
        </w:tc>
        <w:tc>
          <w:tcPr>
            <w:tcW w:w="446"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3,3%</w:t>
            </w:r>
          </w:p>
        </w:tc>
        <w:tc>
          <w:tcPr>
            <w:tcW w:w="546"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16,0%</w:t>
            </w:r>
          </w:p>
        </w:tc>
        <w:tc>
          <w:tcPr>
            <w:tcW w:w="567" w:type="dxa"/>
            <w:shd w:val="clear" w:color="000000" w:fill="FFFFFF"/>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24,0%</w:t>
            </w:r>
          </w:p>
        </w:tc>
        <w:tc>
          <w:tcPr>
            <w:tcW w:w="567" w:type="dxa"/>
            <w:shd w:val="clear" w:color="000000" w:fill="FFFFFF"/>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37,0%</w:t>
            </w:r>
          </w:p>
        </w:tc>
        <w:tc>
          <w:tcPr>
            <w:tcW w:w="567" w:type="dxa"/>
            <w:shd w:val="clear" w:color="000000" w:fill="FFFFFF"/>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30,0%</w:t>
            </w:r>
          </w:p>
        </w:tc>
      </w:tr>
      <w:tr w:rsidR="00B07AB8" w:rsidRPr="00C54B76" w:rsidTr="00103148">
        <w:tc>
          <w:tcPr>
            <w:tcW w:w="720" w:type="dxa"/>
            <w:shd w:val="clear" w:color="auto" w:fill="auto"/>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4.3.4.2.</w:t>
            </w:r>
          </w:p>
        </w:tc>
        <w:tc>
          <w:tcPr>
            <w:tcW w:w="2257" w:type="dxa"/>
            <w:shd w:val="clear" w:color="auto" w:fill="auto"/>
            <w:vAlign w:val="center"/>
            <w:hideMark/>
          </w:tcPr>
          <w:p w:rsidR="00B07AB8" w:rsidRPr="00C54B76" w:rsidRDefault="00B07AB8" w:rsidP="006A7039">
            <w:pPr>
              <w:spacing w:after="0" w:line="240" w:lineRule="auto"/>
              <w:ind w:left="153" w:right="132"/>
              <w:jc w:val="both"/>
              <w:rPr>
                <w:rFonts w:ascii="Arial Narrow" w:hAnsi="Arial Narrow"/>
                <w:sz w:val="18"/>
                <w:szCs w:val="18"/>
              </w:rPr>
            </w:pPr>
            <w:r w:rsidRPr="00C54B76">
              <w:rPr>
                <w:rFonts w:ascii="Arial Narrow" w:hAnsi="Arial Narrow"/>
                <w:sz w:val="18"/>
                <w:szCs w:val="18"/>
              </w:rPr>
              <w:t>Удовлетворены сложностью (количеством) процедур подключения, %</w:t>
            </w:r>
          </w:p>
        </w:tc>
        <w:tc>
          <w:tcPr>
            <w:tcW w:w="640"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28,0%</w:t>
            </w:r>
          </w:p>
        </w:tc>
        <w:tc>
          <w:tcPr>
            <w:tcW w:w="636"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0,0%</w:t>
            </w:r>
          </w:p>
        </w:tc>
        <w:tc>
          <w:tcPr>
            <w:tcW w:w="567"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0,0%</w:t>
            </w:r>
          </w:p>
        </w:tc>
        <w:tc>
          <w:tcPr>
            <w:tcW w:w="567"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24,0%</w:t>
            </w:r>
          </w:p>
        </w:tc>
        <w:tc>
          <w:tcPr>
            <w:tcW w:w="431"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27,1%</w:t>
            </w:r>
          </w:p>
        </w:tc>
        <w:tc>
          <w:tcPr>
            <w:tcW w:w="562"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16,0%</w:t>
            </w:r>
          </w:p>
        </w:tc>
        <w:tc>
          <w:tcPr>
            <w:tcW w:w="566"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12,0%</w:t>
            </w:r>
          </w:p>
        </w:tc>
        <w:tc>
          <w:tcPr>
            <w:tcW w:w="567"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28,6%</w:t>
            </w:r>
          </w:p>
        </w:tc>
        <w:tc>
          <w:tcPr>
            <w:tcW w:w="491"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28,9%</w:t>
            </w:r>
          </w:p>
        </w:tc>
        <w:tc>
          <w:tcPr>
            <w:tcW w:w="446"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6,7%</w:t>
            </w:r>
          </w:p>
        </w:tc>
        <w:tc>
          <w:tcPr>
            <w:tcW w:w="546"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8,0%</w:t>
            </w:r>
          </w:p>
        </w:tc>
        <w:tc>
          <w:tcPr>
            <w:tcW w:w="567"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12,0%</w:t>
            </w:r>
          </w:p>
        </w:tc>
        <w:tc>
          <w:tcPr>
            <w:tcW w:w="567"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35,0%</w:t>
            </w:r>
          </w:p>
        </w:tc>
        <w:tc>
          <w:tcPr>
            <w:tcW w:w="567"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20,0%</w:t>
            </w:r>
          </w:p>
        </w:tc>
      </w:tr>
      <w:tr w:rsidR="00B07AB8" w:rsidRPr="00C54B76" w:rsidTr="00103148">
        <w:tc>
          <w:tcPr>
            <w:tcW w:w="720" w:type="dxa"/>
            <w:shd w:val="clear" w:color="auto" w:fill="auto"/>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4.3.4.3.</w:t>
            </w:r>
          </w:p>
        </w:tc>
        <w:tc>
          <w:tcPr>
            <w:tcW w:w="2257" w:type="dxa"/>
            <w:shd w:val="clear" w:color="auto" w:fill="auto"/>
            <w:vAlign w:val="center"/>
            <w:hideMark/>
          </w:tcPr>
          <w:p w:rsidR="00B07AB8" w:rsidRPr="00C54B76" w:rsidRDefault="00B07AB8" w:rsidP="006A7039">
            <w:pPr>
              <w:spacing w:after="0" w:line="240" w:lineRule="auto"/>
              <w:ind w:left="153" w:right="132"/>
              <w:jc w:val="both"/>
              <w:rPr>
                <w:rFonts w:ascii="Arial Narrow" w:hAnsi="Arial Narrow"/>
                <w:sz w:val="18"/>
                <w:szCs w:val="18"/>
              </w:rPr>
            </w:pPr>
            <w:r w:rsidRPr="00C54B76">
              <w:rPr>
                <w:rFonts w:ascii="Arial Narrow" w:hAnsi="Arial Narrow"/>
                <w:sz w:val="18"/>
                <w:szCs w:val="18"/>
              </w:rPr>
              <w:t>Удовлетворены стоимостью подключения, %</w:t>
            </w:r>
          </w:p>
        </w:tc>
        <w:tc>
          <w:tcPr>
            <w:tcW w:w="640"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20,3%</w:t>
            </w:r>
          </w:p>
        </w:tc>
        <w:tc>
          <w:tcPr>
            <w:tcW w:w="636"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0,0%</w:t>
            </w:r>
          </w:p>
        </w:tc>
        <w:tc>
          <w:tcPr>
            <w:tcW w:w="567"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0,0%</w:t>
            </w:r>
          </w:p>
        </w:tc>
        <w:tc>
          <w:tcPr>
            <w:tcW w:w="567"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12,0%</w:t>
            </w:r>
          </w:p>
        </w:tc>
        <w:tc>
          <w:tcPr>
            <w:tcW w:w="431"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21,4%</w:t>
            </w:r>
          </w:p>
        </w:tc>
        <w:tc>
          <w:tcPr>
            <w:tcW w:w="562"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12,0%</w:t>
            </w:r>
          </w:p>
        </w:tc>
        <w:tc>
          <w:tcPr>
            <w:tcW w:w="566"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12,0%</w:t>
            </w:r>
          </w:p>
        </w:tc>
        <w:tc>
          <w:tcPr>
            <w:tcW w:w="567"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21,4%</w:t>
            </w:r>
          </w:p>
        </w:tc>
        <w:tc>
          <w:tcPr>
            <w:tcW w:w="491"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17,2%</w:t>
            </w:r>
          </w:p>
        </w:tc>
        <w:tc>
          <w:tcPr>
            <w:tcW w:w="446"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0,0%</w:t>
            </w:r>
          </w:p>
        </w:tc>
        <w:tc>
          <w:tcPr>
            <w:tcW w:w="546"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8,0%</w:t>
            </w:r>
          </w:p>
        </w:tc>
        <w:tc>
          <w:tcPr>
            <w:tcW w:w="567"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8,0%</w:t>
            </w:r>
          </w:p>
        </w:tc>
        <w:tc>
          <w:tcPr>
            <w:tcW w:w="567"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24,0%</w:t>
            </w:r>
          </w:p>
        </w:tc>
        <w:tc>
          <w:tcPr>
            <w:tcW w:w="567"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10,0%</w:t>
            </w:r>
          </w:p>
        </w:tc>
      </w:tr>
      <w:tr w:rsidR="00B07AB8" w:rsidRPr="00C54B76" w:rsidTr="00103148">
        <w:tc>
          <w:tcPr>
            <w:tcW w:w="720" w:type="dxa"/>
            <w:shd w:val="clear" w:color="auto" w:fill="auto"/>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4.3.4.4.</w:t>
            </w:r>
          </w:p>
        </w:tc>
        <w:tc>
          <w:tcPr>
            <w:tcW w:w="2257" w:type="dxa"/>
            <w:shd w:val="clear" w:color="auto" w:fill="auto"/>
            <w:vAlign w:val="center"/>
            <w:hideMark/>
          </w:tcPr>
          <w:p w:rsidR="00B07AB8" w:rsidRPr="00C54B76" w:rsidRDefault="00B07AB8" w:rsidP="006A7039">
            <w:pPr>
              <w:spacing w:after="0" w:line="240" w:lineRule="auto"/>
              <w:ind w:left="153" w:right="132"/>
              <w:jc w:val="both"/>
              <w:rPr>
                <w:rFonts w:ascii="Arial Narrow" w:hAnsi="Arial Narrow"/>
                <w:sz w:val="18"/>
                <w:szCs w:val="18"/>
              </w:rPr>
            </w:pPr>
            <w:r w:rsidRPr="00C54B76">
              <w:rPr>
                <w:rFonts w:ascii="Arial Narrow" w:hAnsi="Arial Narrow"/>
                <w:sz w:val="18"/>
                <w:szCs w:val="18"/>
              </w:rPr>
              <w:t>Удовлетворены стоимостью предоставляемых услуг, %</w:t>
            </w:r>
          </w:p>
        </w:tc>
        <w:tc>
          <w:tcPr>
            <w:tcW w:w="640"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33,4%</w:t>
            </w:r>
          </w:p>
        </w:tc>
        <w:tc>
          <w:tcPr>
            <w:tcW w:w="636"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70,0%</w:t>
            </w:r>
          </w:p>
        </w:tc>
        <w:tc>
          <w:tcPr>
            <w:tcW w:w="567"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60,0%</w:t>
            </w:r>
          </w:p>
        </w:tc>
        <w:tc>
          <w:tcPr>
            <w:tcW w:w="567"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40,0%</w:t>
            </w:r>
          </w:p>
        </w:tc>
        <w:tc>
          <w:tcPr>
            <w:tcW w:w="431"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41,4%</w:t>
            </w:r>
          </w:p>
        </w:tc>
        <w:tc>
          <w:tcPr>
            <w:tcW w:w="562"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36,0%</w:t>
            </w:r>
          </w:p>
        </w:tc>
        <w:tc>
          <w:tcPr>
            <w:tcW w:w="566"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24,0%</w:t>
            </w:r>
          </w:p>
        </w:tc>
        <w:tc>
          <w:tcPr>
            <w:tcW w:w="567"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35,7%</w:t>
            </w:r>
          </w:p>
        </w:tc>
        <w:tc>
          <w:tcPr>
            <w:tcW w:w="491"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30,6%</w:t>
            </w:r>
          </w:p>
        </w:tc>
        <w:tc>
          <w:tcPr>
            <w:tcW w:w="446"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15,0%</w:t>
            </w:r>
          </w:p>
        </w:tc>
        <w:tc>
          <w:tcPr>
            <w:tcW w:w="546"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32,0%</w:t>
            </w:r>
          </w:p>
        </w:tc>
        <w:tc>
          <w:tcPr>
            <w:tcW w:w="567"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48,0%</w:t>
            </w:r>
          </w:p>
        </w:tc>
        <w:tc>
          <w:tcPr>
            <w:tcW w:w="567"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27,0%</w:t>
            </w:r>
          </w:p>
        </w:tc>
        <w:tc>
          <w:tcPr>
            <w:tcW w:w="567"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30,0%</w:t>
            </w:r>
          </w:p>
        </w:tc>
      </w:tr>
      <w:tr w:rsidR="00B07AB8" w:rsidRPr="00C54B76" w:rsidTr="00103148">
        <w:tc>
          <w:tcPr>
            <w:tcW w:w="720" w:type="dxa"/>
            <w:shd w:val="clear" w:color="auto" w:fill="auto"/>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4.3.4.5.</w:t>
            </w:r>
          </w:p>
        </w:tc>
        <w:tc>
          <w:tcPr>
            <w:tcW w:w="2257" w:type="dxa"/>
            <w:shd w:val="clear" w:color="auto" w:fill="auto"/>
            <w:vAlign w:val="center"/>
            <w:hideMark/>
          </w:tcPr>
          <w:p w:rsidR="00B07AB8" w:rsidRPr="00C54B76" w:rsidRDefault="00B07AB8" w:rsidP="006A7039">
            <w:pPr>
              <w:spacing w:after="0" w:line="240" w:lineRule="auto"/>
              <w:ind w:left="153" w:right="132"/>
              <w:jc w:val="both"/>
              <w:rPr>
                <w:rFonts w:ascii="Arial Narrow" w:hAnsi="Arial Narrow"/>
                <w:sz w:val="18"/>
                <w:szCs w:val="18"/>
              </w:rPr>
            </w:pPr>
            <w:r w:rsidRPr="00C54B76">
              <w:rPr>
                <w:rFonts w:ascii="Arial Narrow" w:hAnsi="Arial Narrow"/>
                <w:sz w:val="18"/>
                <w:szCs w:val="18"/>
              </w:rPr>
              <w:t>Удовлетворены качеством предоставляемых услуг, %</w:t>
            </w:r>
          </w:p>
        </w:tc>
        <w:tc>
          <w:tcPr>
            <w:tcW w:w="640"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61,5%</w:t>
            </w:r>
          </w:p>
        </w:tc>
        <w:tc>
          <w:tcPr>
            <w:tcW w:w="636"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70,0%</w:t>
            </w:r>
          </w:p>
        </w:tc>
        <w:tc>
          <w:tcPr>
            <w:tcW w:w="567"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60,0%</w:t>
            </w:r>
          </w:p>
        </w:tc>
        <w:tc>
          <w:tcPr>
            <w:tcW w:w="567"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72,0%</w:t>
            </w:r>
          </w:p>
        </w:tc>
        <w:tc>
          <w:tcPr>
            <w:tcW w:w="431"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77,1%</w:t>
            </w:r>
          </w:p>
        </w:tc>
        <w:tc>
          <w:tcPr>
            <w:tcW w:w="562"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76,0%</w:t>
            </w:r>
          </w:p>
        </w:tc>
        <w:tc>
          <w:tcPr>
            <w:tcW w:w="566"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60,0%</w:t>
            </w:r>
          </w:p>
        </w:tc>
        <w:tc>
          <w:tcPr>
            <w:tcW w:w="567"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72,9%</w:t>
            </w:r>
          </w:p>
        </w:tc>
        <w:tc>
          <w:tcPr>
            <w:tcW w:w="491"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60,0%</w:t>
            </w:r>
          </w:p>
        </w:tc>
        <w:tc>
          <w:tcPr>
            <w:tcW w:w="446"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50,0%</w:t>
            </w:r>
          </w:p>
        </w:tc>
        <w:tc>
          <w:tcPr>
            <w:tcW w:w="546"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64,0%</w:t>
            </w:r>
          </w:p>
        </w:tc>
        <w:tc>
          <w:tcPr>
            <w:tcW w:w="567"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72,0%</w:t>
            </w:r>
          </w:p>
        </w:tc>
        <w:tc>
          <w:tcPr>
            <w:tcW w:w="567"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50,0%</w:t>
            </w:r>
          </w:p>
        </w:tc>
        <w:tc>
          <w:tcPr>
            <w:tcW w:w="567" w:type="dxa"/>
            <w:shd w:val="clear" w:color="auto" w:fill="auto"/>
            <w:noWrap/>
            <w:vAlign w:val="center"/>
            <w:hideMark/>
          </w:tcPr>
          <w:p w:rsidR="00B07AB8" w:rsidRPr="00C54B76" w:rsidRDefault="00B07AB8" w:rsidP="00103148">
            <w:pPr>
              <w:spacing w:after="0" w:line="312" w:lineRule="auto"/>
              <w:jc w:val="center"/>
              <w:rPr>
                <w:rFonts w:ascii="Arial Narrow" w:hAnsi="Arial Narrow"/>
                <w:sz w:val="18"/>
                <w:szCs w:val="18"/>
              </w:rPr>
            </w:pPr>
            <w:r w:rsidRPr="00C54B76">
              <w:rPr>
                <w:rFonts w:ascii="Arial Narrow" w:hAnsi="Arial Narrow"/>
                <w:sz w:val="18"/>
                <w:szCs w:val="18"/>
              </w:rPr>
              <w:t>40,0%</w:t>
            </w:r>
          </w:p>
        </w:tc>
      </w:tr>
    </w:tbl>
    <w:p w:rsidR="00B07AB8" w:rsidRPr="00B07AB8" w:rsidRDefault="00B07AB8" w:rsidP="00103148">
      <w:pPr>
        <w:spacing w:after="0" w:line="312" w:lineRule="auto"/>
        <w:ind w:firstLine="284"/>
        <w:jc w:val="both"/>
        <w:rPr>
          <w:rFonts w:ascii="Arial Narrow" w:hAnsi="Arial Narrow"/>
          <w:sz w:val="24"/>
          <w:szCs w:val="24"/>
        </w:rPr>
      </w:pPr>
    </w:p>
    <w:p w:rsidR="00B07AB8" w:rsidRPr="00103148" w:rsidRDefault="00B07AB8" w:rsidP="00103148">
      <w:pPr>
        <w:spacing w:after="0" w:line="312" w:lineRule="auto"/>
        <w:ind w:firstLine="284"/>
        <w:jc w:val="both"/>
        <w:rPr>
          <w:rFonts w:ascii="Arial Narrow" w:hAnsi="Arial Narrow"/>
          <w:b/>
        </w:rPr>
      </w:pPr>
      <w:r w:rsidRPr="00103148">
        <w:rPr>
          <w:rFonts w:ascii="Arial Narrow" w:hAnsi="Arial Narrow" w:cs="Arial"/>
          <w:b/>
        </w:rPr>
        <w:t xml:space="preserve">Значения показателя 4.4. </w:t>
      </w:r>
      <w:r w:rsidRPr="00103148">
        <w:rPr>
          <w:rFonts w:ascii="Arial Narrow" w:hAnsi="Arial Narrow"/>
          <w:b/>
        </w:rPr>
        <w:t>Доля потребителей товаров, работ и услуг, предоставляемых субъектами естественных монополий, (населения), удовлетворенных качеством предоставляемых товаров/услуг субъектами естественных монополий и стоимостью предоставляемых услуг, % от числа опрошенных</w:t>
      </w:r>
    </w:p>
    <w:p w:rsidR="00B07AB8" w:rsidRPr="00103148" w:rsidRDefault="00B07AB8" w:rsidP="00103148">
      <w:pPr>
        <w:spacing w:after="0" w:line="312" w:lineRule="auto"/>
        <w:ind w:firstLine="284"/>
        <w:jc w:val="both"/>
        <w:rPr>
          <w:rFonts w:ascii="Arial Narrow" w:hAnsi="Arial Narrow"/>
        </w:rPr>
      </w:pPr>
      <w:r w:rsidRPr="00103148">
        <w:rPr>
          <w:rFonts w:ascii="Arial Narrow" w:hAnsi="Arial Narrow"/>
        </w:rPr>
        <w:t>Потребители товаров, работ и услуг, предоставляемых субъектами естественных монополий, (население Новосибирской области) в наибольшей степени удовлетворены качеством услуг электроснабжения (83,8 %). Качество остальных услуг оценено в пределах от 53,0 % (газоснабжение) до 61,7 % (водоснабжение, водоотведение), услугами теплоснабжения удовлетворены 60,7 % опрошенных. Таким образом, качество услуг, предоставляемых естественными монополиями населению Новосибирской области, удовлетворяет более половины жителей региона. Уровень удовлетворенности стоимостью услуг существенно ниже. В наибольшей степени население удовлетворено стоимостью услуг электроснабжения (59,7 %) и водоснабжения/водоотведения (53,8 %). Услугами газоснабжения и теплоснабжения удовлетворено почти на 20 % меньше респондентов: 34,6 % и 38,7 % соответственно.</w:t>
      </w:r>
    </w:p>
    <w:p w:rsidR="00103148" w:rsidRDefault="00103148" w:rsidP="00103148">
      <w:pPr>
        <w:spacing w:after="0" w:line="312" w:lineRule="auto"/>
        <w:rPr>
          <w:rFonts w:ascii="Arial Narrow" w:hAnsi="Arial Narrow" w:cs="Arial"/>
        </w:rPr>
      </w:pPr>
    </w:p>
    <w:p w:rsidR="00B07AB8" w:rsidRPr="004865F9" w:rsidRDefault="00B07AB8" w:rsidP="004865F9">
      <w:pPr>
        <w:spacing w:after="0" w:line="240" w:lineRule="auto"/>
        <w:rPr>
          <w:rFonts w:ascii="Arial Narrow" w:hAnsi="Arial Narrow"/>
          <w:b/>
          <w:sz w:val="24"/>
          <w:szCs w:val="24"/>
        </w:rPr>
      </w:pPr>
      <w:r w:rsidRPr="004865F9">
        <w:rPr>
          <w:rFonts w:ascii="Arial Narrow" w:hAnsi="Arial Narrow" w:cs="Arial"/>
          <w:sz w:val="24"/>
          <w:szCs w:val="24"/>
        </w:rPr>
        <w:t xml:space="preserve">Таблица </w:t>
      </w:r>
      <w:r w:rsidR="00614BC7" w:rsidRPr="004865F9">
        <w:rPr>
          <w:rFonts w:ascii="Arial Narrow" w:hAnsi="Arial Narrow" w:cs="Arial"/>
          <w:sz w:val="24"/>
          <w:szCs w:val="24"/>
        </w:rPr>
        <w:t>5</w:t>
      </w:r>
      <w:r w:rsidR="00A43AC6" w:rsidRPr="004865F9">
        <w:rPr>
          <w:rFonts w:ascii="Arial Narrow" w:hAnsi="Arial Narrow" w:cs="Arial"/>
          <w:sz w:val="24"/>
          <w:szCs w:val="24"/>
        </w:rPr>
        <w:t>.</w:t>
      </w:r>
      <w:r w:rsidRPr="004865F9">
        <w:rPr>
          <w:rFonts w:ascii="Arial Narrow" w:hAnsi="Arial Narrow" w:cs="Arial"/>
          <w:sz w:val="24"/>
          <w:szCs w:val="24"/>
        </w:rPr>
        <w:t>12</w:t>
      </w:r>
      <w:r w:rsidR="00A43AC6" w:rsidRPr="004865F9">
        <w:rPr>
          <w:rFonts w:ascii="Arial Narrow" w:hAnsi="Arial Narrow" w:cs="Arial"/>
          <w:sz w:val="24"/>
          <w:szCs w:val="24"/>
        </w:rPr>
        <w:t>.</w:t>
      </w:r>
      <w:r w:rsidRPr="004865F9">
        <w:rPr>
          <w:rFonts w:ascii="Arial Narrow" w:hAnsi="Arial Narrow" w:cs="Arial"/>
          <w:b/>
          <w:sz w:val="24"/>
          <w:szCs w:val="24"/>
        </w:rPr>
        <w:t xml:space="preserve"> – Значения показателя 4.4. </w:t>
      </w:r>
      <w:r w:rsidRPr="004865F9">
        <w:rPr>
          <w:rFonts w:ascii="Arial Narrow" w:hAnsi="Arial Narrow"/>
          <w:b/>
          <w:sz w:val="24"/>
          <w:szCs w:val="24"/>
        </w:rPr>
        <w:t>Доля потребителей товаров, работ и услуг, предоставляемых субъектами естественных монополий, (населения), удовлетворенных качеством предоставляемых товаров/услуг субъектами естественных монополий и стоимостью предоставляемых услуг, % от числа опрошенных</w:t>
      </w:r>
    </w:p>
    <w:tbl>
      <w:tblPr>
        <w:tblW w:w="10065" w:type="dxa"/>
        <w:tblInd w:w="108" w:type="dxa"/>
        <w:tblLook w:val="04A0"/>
      </w:tblPr>
      <w:tblGrid>
        <w:gridCol w:w="764"/>
        <w:gridCol w:w="7458"/>
        <w:gridCol w:w="1843"/>
      </w:tblGrid>
      <w:tr w:rsidR="00B07AB8" w:rsidRPr="00B07AB8" w:rsidTr="004865F9">
        <w:tc>
          <w:tcPr>
            <w:tcW w:w="764" w:type="dxa"/>
            <w:tcBorders>
              <w:top w:val="single" w:sz="4" w:space="0" w:color="auto"/>
              <w:left w:val="single" w:sz="4" w:space="0" w:color="auto"/>
              <w:bottom w:val="single" w:sz="4" w:space="0" w:color="auto"/>
              <w:right w:val="single" w:sz="4" w:space="0" w:color="auto"/>
            </w:tcBorders>
            <w:shd w:val="clear" w:color="auto" w:fill="auto"/>
            <w:vAlign w:val="center"/>
          </w:tcPr>
          <w:p w:rsidR="00B07AB8" w:rsidRPr="00B07AB8" w:rsidRDefault="00B07AB8" w:rsidP="00103148">
            <w:pPr>
              <w:spacing w:after="0" w:line="312" w:lineRule="auto"/>
              <w:jc w:val="both"/>
              <w:rPr>
                <w:rFonts w:ascii="Arial Narrow" w:hAnsi="Arial Narrow"/>
                <w:sz w:val="20"/>
                <w:szCs w:val="20"/>
              </w:rPr>
            </w:pPr>
            <w:r w:rsidRPr="00B07AB8">
              <w:rPr>
                <w:rFonts w:ascii="Arial Narrow" w:hAnsi="Arial Narrow"/>
                <w:sz w:val="20"/>
                <w:szCs w:val="20"/>
              </w:rPr>
              <w:t>№</w:t>
            </w:r>
          </w:p>
        </w:tc>
        <w:tc>
          <w:tcPr>
            <w:tcW w:w="7458" w:type="dxa"/>
            <w:tcBorders>
              <w:top w:val="single" w:sz="4" w:space="0" w:color="auto"/>
              <w:left w:val="nil"/>
              <w:bottom w:val="single" w:sz="4" w:space="0" w:color="auto"/>
              <w:right w:val="single" w:sz="4" w:space="0" w:color="auto"/>
            </w:tcBorders>
            <w:shd w:val="clear" w:color="auto" w:fill="auto"/>
            <w:vAlign w:val="center"/>
          </w:tcPr>
          <w:p w:rsidR="00B07AB8" w:rsidRPr="00B07AB8" w:rsidRDefault="00B07AB8" w:rsidP="004865F9">
            <w:pPr>
              <w:spacing w:after="0" w:line="240" w:lineRule="auto"/>
              <w:jc w:val="center"/>
              <w:rPr>
                <w:rFonts w:ascii="Arial Narrow" w:hAnsi="Arial Narrow"/>
                <w:sz w:val="20"/>
                <w:szCs w:val="20"/>
              </w:rPr>
            </w:pPr>
            <w:r w:rsidRPr="00B07AB8">
              <w:rPr>
                <w:rFonts w:ascii="Arial Narrow" w:hAnsi="Arial Narrow"/>
                <w:sz w:val="20"/>
                <w:szCs w:val="20"/>
              </w:rPr>
              <w:t>Наименование показателя, единица измерения</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B07AB8" w:rsidRPr="00B07AB8" w:rsidRDefault="00B07AB8" w:rsidP="004865F9">
            <w:pPr>
              <w:spacing w:after="0" w:line="240" w:lineRule="auto"/>
              <w:jc w:val="center"/>
              <w:rPr>
                <w:rFonts w:ascii="Arial Narrow" w:hAnsi="Arial Narrow"/>
                <w:sz w:val="20"/>
                <w:szCs w:val="20"/>
              </w:rPr>
            </w:pPr>
            <w:r w:rsidRPr="00B07AB8">
              <w:rPr>
                <w:rFonts w:ascii="Arial Narrow" w:hAnsi="Arial Narrow"/>
                <w:sz w:val="20"/>
                <w:szCs w:val="20"/>
              </w:rPr>
              <w:t>Значение показателя</w:t>
            </w:r>
          </w:p>
        </w:tc>
      </w:tr>
      <w:tr w:rsidR="00B07AB8" w:rsidRPr="00B07AB8" w:rsidTr="004865F9">
        <w:tc>
          <w:tcPr>
            <w:tcW w:w="76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07AB8" w:rsidRPr="00B07AB8" w:rsidRDefault="00B07AB8" w:rsidP="00103148">
            <w:pPr>
              <w:spacing w:after="0" w:line="312" w:lineRule="auto"/>
              <w:jc w:val="both"/>
              <w:rPr>
                <w:rFonts w:ascii="Arial Narrow" w:hAnsi="Arial Narrow"/>
                <w:b/>
                <w:sz w:val="20"/>
                <w:szCs w:val="20"/>
              </w:rPr>
            </w:pPr>
            <w:r w:rsidRPr="00B07AB8">
              <w:rPr>
                <w:rFonts w:ascii="Arial Narrow" w:hAnsi="Arial Narrow"/>
                <w:b/>
                <w:sz w:val="20"/>
                <w:szCs w:val="20"/>
              </w:rPr>
              <w:t>4.4.</w:t>
            </w:r>
          </w:p>
        </w:tc>
        <w:tc>
          <w:tcPr>
            <w:tcW w:w="9301" w:type="dxa"/>
            <w:gridSpan w:val="2"/>
            <w:tcBorders>
              <w:top w:val="single" w:sz="4" w:space="0" w:color="auto"/>
              <w:left w:val="nil"/>
              <w:bottom w:val="single" w:sz="4" w:space="0" w:color="auto"/>
              <w:right w:val="single" w:sz="4" w:space="0" w:color="auto"/>
            </w:tcBorders>
            <w:shd w:val="clear" w:color="auto" w:fill="auto"/>
            <w:vAlign w:val="center"/>
            <w:hideMark/>
          </w:tcPr>
          <w:p w:rsidR="00B07AB8" w:rsidRPr="00B07AB8" w:rsidRDefault="00B07AB8" w:rsidP="00103148">
            <w:pPr>
              <w:spacing w:after="0" w:line="312" w:lineRule="auto"/>
              <w:jc w:val="both"/>
              <w:rPr>
                <w:rFonts w:ascii="Arial Narrow" w:hAnsi="Arial Narrow"/>
                <w:b/>
                <w:sz w:val="20"/>
                <w:szCs w:val="20"/>
              </w:rPr>
            </w:pPr>
            <w:r w:rsidRPr="00B07AB8">
              <w:rPr>
                <w:rFonts w:ascii="Arial Narrow" w:hAnsi="Arial Narrow"/>
                <w:b/>
                <w:sz w:val="20"/>
                <w:szCs w:val="20"/>
              </w:rPr>
              <w:t>Доля потребителей товаров, работ и услуг, предоставляемых субъектами естественных монополий, (населения), удовлетворенных качеством предоставляемых товаров/услуг субъектами естественных монополий и стоимостью предоставляемых услуг, % от числа опрошенных</w:t>
            </w:r>
          </w:p>
        </w:tc>
      </w:tr>
      <w:tr w:rsidR="00B07AB8" w:rsidRPr="00B07AB8" w:rsidTr="004865F9">
        <w:tc>
          <w:tcPr>
            <w:tcW w:w="764" w:type="dxa"/>
            <w:tcBorders>
              <w:top w:val="nil"/>
              <w:left w:val="single" w:sz="4" w:space="0" w:color="auto"/>
              <w:bottom w:val="single" w:sz="4" w:space="0" w:color="auto"/>
              <w:right w:val="single" w:sz="4" w:space="0" w:color="auto"/>
            </w:tcBorders>
            <w:shd w:val="clear" w:color="auto" w:fill="auto"/>
            <w:vAlign w:val="center"/>
            <w:hideMark/>
          </w:tcPr>
          <w:p w:rsidR="00B07AB8" w:rsidRPr="00B07AB8" w:rsidRDefault="00B07AB8" w:rsidP="00103148">
            <w:pPr>
              <w:spacing w:after="0" w:line="312" w:lineRule="auto"/>
              <w:jc w:val="both"/>
              <w:rPr>
                <w:rFonts w:ascii="Arial Narrow" w:hAnsi="Arial Narrow"/>
                <w:b/>
                <w:bCs/>
                <w:sz w:val="20"/>
                <w:szCs w:val="20"/>
              </w:rPr>
            </w:pPr>
            <w:r w:rsidRPr="00B07AB8">
              <w:rPr>
                <w:rFonts w:ascii="Arial Narrow" w:hAnsi="Arial Narrow"/>
                <w:b/>
                <w:bCs/>
                <w:sz w:val="20"/>
                <w:szCs w:val="20"/>
              </w:rPr>
              <w:t>4.4.1.</w:t>
            </w:r>
          </w:p>
        </w:tc>
        <w:tc>
          <w:tcPr>
            <w:tcW w:w="7458" w:type="dxa"/>
            <w:tcBorders>
              <w:top w:val="nil"/>
              <w:left w:val="nil"/>
              <w:bottom w:val="single" w:sz="4" w:space="0" w:color="auto"/>
              <w:right w:val="single" w:sz="4" w:space="0" w:color="auto"/>
            </w:tcBorders>
            <w:shd w:val="clear" w:color="auto" w:fill="auto"/>
            <w:vAlign w:val="center"/>
            <w:hideMark/>
          </w:tcPr>
          <w:p w:rsidR="00B07AB8" w:rsidRPr="00B07AB8" w:rsidRDefault="00B07AB8" w:rsidP="00103148">
            <w:pPr>
              <w:spacing w:after="0" w:line="312" w:lineRule="auto"/>
              <w:jc w:val="both"/>
              <w:rPr>
                <w:rFonts w:ascii="Arial Narrow" w:hAnsi="Arial Narrow"/>
                <w:b/>
                <w:bCs/>
                <w:sz w:val="20"/>
                <w:szCs w:val="20"/>
              </w:rPr>
            </w:pPr>
            <w:r w:rsidRPr="00B07AB8">
              <w:rPr>
                <w:rFonts w:ascii="Arial Narrow" w:hAnsi="Arial Narrow"/>
                <w:b/>
                <w:bCs/>
                <w:sz w:val="20"/>
                <w:szCs w:val="20"/>
              </w:rPr>
              <w:t>Водоснабжение, водоотведение:</w:t>
            </w:r>
          </w:p>
        </w:tc>
        <w:tc>
          <w:tcPr>
            <w:tcW w:w="1843" w:type="dxa"/>
            <w:tcBorders>
              <w:top w:val="nil"/>
              <w:left w:val="nil"/>
              <w:bottom w:val="single" w:sz="4" w:space="0" w:color="auto"/>
              <w:right w:val="single" w:sz="4" w:space="0" w:color="auto"/>
            </w:tcBorders>
            <w:shd w:val="clear" w:color="auto" w:fill="auto"/>
            <w:noWrap/>
            <w:vAlign w:val="bottom"/>
            <w:hideMark/>
          </w:tcPr>
          <w:p w:rsidR="00B07AB8" w:rsidRPr="00B07AB8" w:rsidRDefault="00B07AB8" w:rsidP="00103148">
            <w:pPr>
              <w:spacing w:after="0" w:line="312" w:lineRule="auto"/>
              <w:jc w:val="center"/>
              <w:rPr>
                <w:rFonts w:ascii="Arial Narrow" w:hAnsi="Arial Narrow"/>
                <w:b/>
                <w:bCs/>
                <w:sz w:val="20"/>
                <w:szCs w:val="20"/>
              </w:rPr>
            </w:pPr>
          </w:p>
        </w:tc>
      </w:tr>
      <w:tr w:rsidR="00B07AB8" w:rsidRPr="00B07AB8" w:rsidTr="004865F9">
        <w:tc>
          <w:tcPr>
            <w:tcW w:w="764" w:type="dxa"/>
            <w:tcBorders>
              <w:top w:val="nil"/>
              <w:left w:val="single" w:sz="4" w:space="0" w:color="auto"/>
              <w:bottom w:val="single" w:sz="4" w:space="0" w:color="auto"/>
              <w:right w:val="single" w:sz="4" w:space="0" w:color="auto"/>
            </w:tcBorders>
            <w:shd w:val="clear" w:color="auto" w:fill="auto"/>
            <w:vAlign w:val="center"/>
            <w:hideMark/>
          </w:tcPr>
          <w:p w:rsidR="00B07AB8" w:rsidRPr="00B07AB8" w:rsidRDefault="00B07AB8" w:rsidP="00103148">
            <w:pPr>
              <w:spacing w:after="0" w:line="312" w:lineRule="auto"/>
              <w:jc w:val="both"/>
              <w:rPr>
                <w:rFonts w:ascii="Arial Narrow" w:hAnsi="Arial Narrow"/>
                <w:sz w:val="20"/>
                <w:szCs w:val="20"/>
              </w:rPr>
            </w:pPr>
            <w:r w:rsidRPr="00B07AB8">
              <w:rPr>
                <w:rFonts w:ascii="Arial Narrow" w:hAnsi="Arial Narrow"/>
                <w:sz w:val="20"/>
                <w:szCs w:val="20"/>
              </w:rPr>
              <w:t>4.4.1.1.</w:t>
            </w:r>
          </w:p>
        </w:tc>
        <w:tc>
          <w:tcPr>
            <w:tcW w:w="7458" w:type="dxa"/>
            <w:tcBorders>
              <w:top w:val="nil"/>
              <w:left w:val="nil"/>
              <w:bottom w:val="single" w:sz="4" w:space="0" w:color="auto"/>
              <w:right w:val="single" w:sz="4" w:space="0" w:color="auto"/>
            </w:tcBorders>
            <w:shd w:val="clear" w:color="auto" w:fill="auto"/>
            <w:vAlign w:val="center"/>
            <w:hideMark/>
          </w:tcPr>
          <w:p w:rsidR="00B07AB8" w:rsidRPr="00B07AB8" w:rsidRDefault="00B07AB8" w:rsidP="00103148">
            <w:pPr>
              <w:spacing w:after="0" w:line="312" w:lineRule="auto"/>
              <w:jc w:val="both"/>
              <w:rPr>
                <w:rFonts w:ascii="Arial Narrow" w:hAnsi="Arial Narrow"/>
                <w:sz w:val="20"/>
                <w:szCs w:val="20"/>
              </w:rPr>
            </w:pPr>
            <w:r w:rsidRPr="00B07AB8">
              <w:rPr>
                <w:rFonts w:ascii="Arial Narrow" w:hAnsi="Arial Narrow"/>
                <w:sz w:val="20"/>
                <w:szCs w:val="20"/>
              </w:rPr>
              <w:t>Удовлетворены стоимостью предоставляемых услуг, %</w:t>
            </w:r>
          </w:p>
        </w:tc>
        <w:tc>
          <w:tcPr>
            <w:tcW w:w="1843" w:type="dxa"/>
            <w:tcBorders>
              <w:top w:val="nil"/>
              <w:left w:val="nil"/>
              <w:bottom w:val="single" w:sz="4" w:space="0" w:color="auto"/>
              <w:right w:val="single" w:sz="4" w:space="0" w:color="auto"/>
            </w:tcBorders>
            <w:shd w:val="clear" w:color="000000" w:fill="FFFFFF"/>
            <w:vAlign w:val="bottom"/>
            <w:hideMark/>
          </w:tcPr>
          <w:p w:rsidR="00B07AB8" w:rsidRPr="00B07AB8" w:rsidRDefault="00B07AB8" w:rsidP="00103148">
            <w:pPr>
              <w:spacing w:after="0" w:line="312" w:lineRule="auto"/>
              <w:jc w:val="center"/>
              <w:rPr>
                <w:rFonts w:ascii="Arial Narrow" w:hAnsi="Arial Narrow"/>
                <w:sz w:val="20"/>
                <w:szCs w:val="20"/>
              </w:rPr>
            </w:pPr>
            <w:r w:rsidRPr="00B07AB8">
              <w:rPr>
                <w:rFonts w:ascii="Arial Narrow" w:hAnsi="Arial Narrow"/>
                <w:sz w:val="20"/>
                <w:szCs w:val="20"/>
              </w:rPr>
              <w:t>53,8%</w:t>
            </w:r>
          </w:p>
        </w:tc>
      </w:tr>
      <w:tr w:rsidR="00B07AB8" w:rsidRPr="00B07AB8" w:rsidTr="004865F9">
        <w:tc>
          <w:tcPr>
            <w:tcW w:w="764" w:type="dxa"/>
            <w:tcBorders>
              <w:top w:val="nil"/>
              <w:left w:val="single" w:sz="4" w:space="0" w:color="auto"/>
              <w:bottom w:val="single" w:sz="4" w:space="0" w:color="auto"/>
              <w:right w:val="single" w:sz="4" w:space="0" w:color="auto"/>
            </w:tcBorders>
            <w:shd w:val="clear" w:color="auto" w:fill="auto"/>
            <w:vAlign w:val="center"/>
            <w:hideMark/>
          </w:tcPr>
          <w:p w:rsidR="00B07AB8" w:rsidRPr="00B07AB8" w:rsidRDefault="00B07AB8" w:rsidP="00103148">
            <w:pPr>
              <w:spacing w:after="0" w:line="312" w:lineRule="auto"/>
              <w:jc w:val="both"/>
              <w:rPr>
                <w:rFonts w:ascii="Arial Narrow" w:hAnsi="Arial Narrow"/>
                <w:sz w:val="20"/>
                <w:szCs w:val="20"/>
              </w:rPr>
            </w:pPr>
            <w:r w:rsidRPr="00B07AB8">
              <w:rPr>
                <w:rFonts w:ascii="Arial Narrow" w:hAnsi="Arial Narrow"/>
                <w:sz w:val="20"/>
                <w:szCs w:val="20"/>
              </w:rPr>
              <w:t>4.4.1.2.</w:t>
            </w:r>
          </w:p>
        </w:tc>
        <w:tc>
          <w:tcPr>
            <w:tcW w:w="7458" w:type="dxa"/>
            <w:tcBorders>
              <w:top w:val="nil"/>
              <w:left w:val="nil"/>
              <w:bottom w:val="single" w:sz="4" w:space="0" w:color="auto"/>
              <w:right w:val="single" w:sz="4" w:space="0" w:color="auto"/>
            </w:tcBorders>
            <w:shd w:val="clear" w:color="auto" w:fill="auto"/>
            <w:vAlign w:val="center"/>
            <w:hideMark/>
          </w:tcPr>
          <w:p w:rsidR="00B07AB8" w:rsidRPr="00B07AB8" w:rsidRDefault="00B07AB8" w:rsidP="00103148">
            <w:pPr>
              <w:spacing w:after="0" w:line="312" w:lineRule="auto"/>
              <w:jc w:val="both"/>
              <w:rPr>
                <w:rFonts w:ascii="Arial Narrow" w:hAnsi="Arial Narrow"/>
                <w:sz w:val="20"/>
                <w:szCs w:val="20"/>
              </w:rPr>
            </w:pPr>
            <w:r w:rsidRPr="00B07AB8">
              <w:rPr>
                <w:rFonts w:ascii="Arial Narrow" w:hAnsi="Arial Narrow"/>
                <w:sz w:val="20"/>
                <w:szCs w:val="20"/>
              </w:rPr>
              <w:t>Удовлетворены качеством предоставляемых услуг, %</w:t>
            </w:r>
          </w:p>
        </w:tc>
        <w:tc>
          <w:tcPr>
            <w:tcW w:w="1843" w:type="dxa"/>
            <w:tcBorders>
              <w:top w:val="nil"/>
              <w:left w:val="nil"/>
              <w:bottom w:val="single" w:sz="4" w:space="0" w:color="auto"/>
              <w:right w:val="single" w:sz="4" w:space="0" w:color="auto"/>
            </w:tcBorders>
            <w:shd w:val="clear" w:color="auto" w:fill="auto"/>
            <w:noWrap/>
            <w:vAlign w:val="bottom"/>
            <w:hideMark/>
          </w:tcPr>
          <w:p w:rsidR="00B07AB8" w:rsidRPr="00B07AB8" w:rsidRDefault="00B07AB8" w:rsidP="00103148">
            <w:pPr>
              <w:spacing w:after="0" w:line="312" w:lineRule="auto"/>
              <w:jc w:val="center"/>
              <w:rPr>
                <w:rFonts w:ascii="Arial Narrow" w:hAnsi="Arial Narrow"/>
                <w:sz w:val="20"/>
                <w:szCs w:val="20"/>
              </w:rPr>
            </w:pPr>
            <w:r w:rsidRPr="00B07AB8">
              <w:rPr>
                <w:rFonts w:ascii="Arial Narrow" w:hAnsi="Arial Narrow"/>
                <w:sz w:val="20"/>
                <w:szCs w:val="20"/>
              </w:rPr>
              <w:t>61,7%</w:t>
            </w:r>
          </w:p>
        </w:tc>
      </w:tr>
      <w:tr w:rsidR="00B07AB8" w:rsidRPr="00B07AB8" w:rsidTr="004865F9">
        <w:tc>
          <w:tcPr>
            <w:tcW w:w="764" w:type="dxa"/>
            <w:tcBorders>
              <w:top w:val="nil"/>
              <w:left w:val="single" w:sz="4" w:space="0" w:color="auto"/>
              <w:bottom w:val="single" w:sz="4" w:space="0" w:color="auto"/>
              <w:right w:val="single" w:sz="4" w:space="0" w:color="auto"/>
            </w:tcBorders>
            <w:shd w:val="clear" w:color="auto" w:fill="auto"/>
            <w:vAlign w:val="center"/>
            <w:hideMark/>
          </w:tcPr>
          <w:p w:rsidR="00B07AB8" w:rsidRPr="00B07AB8" w:rsidRDefault="00B07AB8" w:rsidP="00103148">
            <w:pPr>
              <w:spacing w:after="0" w:line="312" w:lineRule="auto"/>
              <w:jc w:val="both"/>
              <w:rPr>
                <w:rFonts w:ascii="Arial Narrow" w:hAnsi="Arial Narrow"/>
                <w:b/>
                <w:bCs/>
                <w:sz w:val="20"/>
                <w:szCs w:val="20"/>
              </w:rPr>
            </w:pPr>
            <w:r w:rsidRPr="00B07AB8">
              <w:rPr>
                <w:rFonts w:ascii="Arial Narrow" w:hAnsi="Arial Narrow"/>
                <w:b/>
                <w:bCs/>
                <w:sz w:val="20"/>
                <w:szCs w:val="20"/>
              </w:rPr>
              <w:t>4.4.2.</w:t>
            </w:r>
          </w:p>
        </w:tc>
        <w:tc>
          <w:tcPr>
            <w:tcW w:w="7458" w:type="dxa"/>
            <w:tcBorders>
              <w:top w:val="nil"/>
              <w:left w:val="nil"/>
              <w:bottom w:val="single" w:sz="4" w:space="0" w:color="auto"/>
              <w:right w:val="single" w:sz="4" w:space="0" w:color="auto"/>
            </w:tcBorders>
            <w:shd w:val="clear" w:color="auto" w:fill="auto"/>
            <w:vAlign w:val="center"/>
            <w:hideMark/>
          </w:tcPr>
          <w:p w:rsidR="00B07AB8" w:rsidRPr="00B07AB8" w:rsidRDefault="00B07AB8" w:rsidP="00103148">
            <w:pPr>
              <w:spacing w:after="0" w:line="312" w:lineRule="auto"/>
              <w:jc w:val="both"/>
              <w:rPr>
                <w:rFonts w:ascii="Arial Narrow" w:hAnsi="Arial Narrow"/>
                <w:b/>
                <w:bCs/>
                <w:sz w:val="20"/>
                <w:szCs w:val="20"/>
              </w:rPr>
            </w:pPr>
            <w:r w:rsidRPr="00B07AB8">
              <w:rPr>
                <w:rFonts w:ascii="Arial Narrow" w:hAnsi="Arial Narrow"/>
                <w:b/>
                <w:bCs/>
                <w:sz w:val="20"/>
                <w:szCs w:val="20"/>
              </w:rPr>
              <w:t>Газоснабжение:</w:t>
            </w:r>
          </w:p>
        </w:tc>
        <w:tc>
          <w:tcPr>
            <w:tcW w:w="1843" w:type="dxa"/>
            <w:tcBorders>
              <w:top w:val="nil"/>
              <w:left w:val="nil"/>
              <w:bottom w:val="single" w:sz="4" w:space="0" w:color="auto"/>
              <w:right w:val="single" w:sz="4" w:space="0" w:color="auto"/>
            </w:tcBorders>
            <w:shd w:val="clear" w:color="auto" w:fill="auto"/>
            <w:vAlign w:val="center"/>
            <w:hideMark/>
          </w:tcPr>
          <w:p w:rsidR="00B07AB8" w:rsidRPr="00B07AB8" w:rsidRDefault="00B07AB8" w:rsidP="00103148">
            <w:pPr>
              <w:spacing w:after="0" w:line="312" w:lineRule="auto"/>
              <w:jc w:val="center"/>
              <w:rPr>
                <w:rFonts w:ascii="Arial Narrow" w:hAnsi="Arial Narrow"/>
                <w:b/>
                <w:bCs/>
                <w:sz w:val="20"/>
                <w:szCs w:val="20"/>
              </w:rPr>
            </w:pPr>
          </w:p>
        </w:tc>
      </w:tr>
    </w:tbl>
    <w:p w:rsidR="006A7039" w:rsidRPr="006A7039" w:rsidRDefault="006A7039" w:rsidP="006A7039">
      <w:pPr>
        <w:spacing w:after="0" w:line="240" w:lineRule="auto"/>
        <w:jc w:val="right"/>
        <w:rPr>
          <w:rFonts w:ascii="Arial Narrow" w:hAnsi="Arial Narrow"/>
          <w:sz w:val="24"/>
          <w:szCs w:val="24"/>
        </w:rPr>
      </w:pPr>
      <w:r w:rsidRPr="004865F9">
        <w:rPr>
          <w:rFonts w:ascii="Arial Narrow" w:hAnsi="Arial Narrow"/>
          <w:sz w:val="24"/>
          <w:szCs w:val="24"/>
        </w:rPr>
        <w:lastRenderedPageBreak/>
        <w:t>Продолжение Таблицы 5.1</w:t>
      </w:r>
      <w:r>
        <w:rPr>
          <w:rFonts w:ascii="Arial Narrow" w:hAnsi="Arial Narrow"/>
          <w:sz w:val="24"/>
          <w:szCs w:val="24"/>
        </w:rPr>
        <w:t>2</w:t>
      </w:r>
    </w:p>
    <w:tbl>
      <w:tblPr>
        <w:tblW w:w="10065" w:type="dxa"/>
        <w:tblInd w:w="108" w:type="dxa"/>
        <w:tblLook w:val="04A0"/>
      </w:tblPr>
      <w:tblGrid>
        <w:gridCol w:w="764"/>
        <w:gridCol w:w="7458"/>
        <w:gridCol w:w="1843"/>
      </w:tblGrid>
      <w:tr w:rsidR="00B07AB8" w:rsidRPr="00B07AB8" w:rsidTr="006A7039">
        <w:tc>
          <w:tcPr>
            <w:tcW w:w="76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07AB8" w:rsidRPr="00B07AB8" w:rsidRDefault="00B07AB8" w:rsidP="00103148">
            <w:pPr>
              <w:spacing w:after="0" w:line="312" w:lineRule="auto"/>
              <w:jc w:val="both"/>
              <w:rPr>
                <w:rFonts w:ascii="Arial Narrow" w:hAnsi="Arial Narrow"/>
                <w:sz w:val="20"/>
                <w:szCs w:val="20"/>
              </w:rPr>
            </w:pPr>
            <w:r w:rsidRPr="00B07AB8">
              <w:rPr>
                <w:rFonts w:ascii="Arial Narrow" w:hAnsi="Arial Narrow"/>
                <w:sz w:val="20"/>
                <w:szCs w:val="20"/>
              </w:rPr>
              <w:t>4.4.2.1.</w:t>
            </w:r>
          </w:p>
        </w:tc>
        <w:tc>
          <w:tcPr>
            <w:tcW w:w="7458" w:type="dxa"/>
            <w:tcBorders>
              <w:top w:val="single" w:sz="4" w:space="0" w:color="auto"/>
              <w:left w:val="nil"/>
              <w:bottom w:val="single" w:sz="4" w:space="0" w:color="auto"/>
              <w:right w:val="single" w:sz="4" w:space="0" w:color="auto"/>
            </w:tcBorders>
            <w:shd w:val="clear" w:color="auto" w:fill="auto"/>
            <w:vAlign w:val="center"/>
            <w:hideMark/>
          </w:tcPr>
          <w:p w:rsidR="00B07AB8" w:rsidRPr="00B07AB8" w:rsidRDefault="00B07AB8" w:rsidP="00103148">
            <w:pPr>
              <w:spacing w:after="0" w:line="312" w:lineRule="auto"/>
              <w:jc w:val="both"/>
              <w:rPr>
                <w:rFonts w:ascii="Arial Narrow" w:hAnsi="Arial Narrow"/>
                <w:sz w:val="20"/>
                <w:szCs w:val="20"/>
              </w:rPr>
            </w:pPr>
            <w:r w:rsidRPr="00B07AB8">
              <w:rPr>
                <w:rFonts w:ascii="Arial Narrow" w:hAnsi="Arial Narrow"/>
                <w:sz w:val="20"/>
                <w:szCs w:val="20"/>
              </w:rPr>
              <w:t>Удовлетворены стоимостью предоставляемых услуг, %</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rsidR="00B07AB8" w:rsidRPr="00B07AB8" w:rsidRDefault="00B07AB8" w:rsidP="00103148">
            <w:pPr>
              <w:spacing w:after="0" w:line="312" w:lineRule="auto"/>
              <w:jc w:val="center"/>
              <w:rPr>
                <w:rFonts w:ascii="Arial Narrow" w:hAnsi="Arial Narrow"/>
                <w:sz w:val="20"/>
                <w:szCs w:val="20"/>
              </w:rPr>
            </w:pPr>
            <w:r w:rsidRPr="00B07AB8">
              <w:rPr>
                <w:rFonts w:ascii="Arial Narrow" w:hAnsi="Arial Narrow"/>
                <w:sz w:val="20"/>
                <w:szCs w:val="20"/>
              </w:rPr>
              <w:t>34,6%</w:t>
            </w:r>
          </w:p>
        </w:tc>
      </w:tr>
      <w:tr w:rsidR="00B07AB8" w:rsidRPr="00B07AB8" w:rsidTr="004865F9">
        <w:tc>
          <w:tcPr>
            <w:tcW w:w="764" w:type="dxa"/>
            <w:tcBorders>
              <w:top w:val="nil"/>
              <w:left w:val="single" w:sz="4" w:space="0" w:color="auto"/>
              <w:bottom w:val="single" w:sz="4" w:space="0" w:color="auto"/>
              <w:right w:val="single" w:sz="4" w:space="0" w:color="auto"/>
            </w:tcBorders>
            <w:shd w:val="clear" w:color="auto" w:fill="auto"/>
            <w:vAlign w:val="center"/>
            <w:hideMark/>
          </w:tcPr>
          <w:p w:rsidR="00B07AB8" w:rsidRPr="00B07AB8" w:rsidRDefault="00B07AB8" w:rsidP="00103148">
            <w:pPr>
              <w:spacing w:after="0" w:line="312" w:lineRule="auto"/>
              <w:jc w:val="both"/>
              <w:rPr>
                <w:rFonts w:ascii="Arial Narrow" w:hAnsi="Arial Narrow"/>
                <w:sz w:val="20"/>
                <w:szCs w:val="20"/>
              </w:rPr>
            </w:pPr>
            <w:r w:rsidRPr="00B07AB8">
              <w:rPr>
                <w:rFonts w:ascii="Arial Narrow" w:hAnsi="Arial Narrow"/>
                <w:sz w:val="20"/>
                <w:szCs w:val="20"/>
              </w:rPr>
              <w:t>4.4.2.2.</w:t>
            </w:r>
          </w:p>
        </w:tc>
        <w:tc>
          <w:tcPr>
            <w:tcW w:w="7458" w:type="dxa"/>
            <w:tcBorders>
              <w:top w:val="nil"/>
              <w:left w:val="nil"/>
              <w:bottom w:val="single" w:sz="4" w:space="0" w:color="auto"/>
              <w:right w:val="single" w:sz="4" w:space="0" w:color="auto"/>
            </w:tcBorders>
            <w:shd w:val="clear" w:color="auto" w:fill="auto"/>
            <w:vAlign w:val="center"/>
            <w:hideMark/>
          </w:tcPr>
          <w:p w:rsidR="00B07AB8" w:rsidRPr="00B07AB8" w:rsidRDefault="00B07AB8" w:rsidP="00103148">
            <w:pPr>
              <w:spacing w:after="0" w:line="312" w:lineRule="auto"/>
              <w:jc w:val="both"/>
              <w:rPr>
                <w:rFonts w:ascii="Arial Narrow" w:hAnsi="Arial Narrow"/>
                <w:sz w:val="20"/>
                <w:szCs w:val="20"/>
              </w:rPr>
            </w:pPr>
            <w:r w:rsidRPr="00B07AB8">
              <w:rPr>
                <w:rFonts w:ascii="Arial Narrow" w:hAnsi="Arial Narrow"/>
                <w:sz w:val="20"/>
                <w:szCs w:val="20"/>
              </w:rPr>
              <w:t>Удовлетворены качеством предоставляемых услуг, %</w:t>
            </w:r>
          </w:p>
        </w:tc>
        <w:tc>
          <w:tcPr>
            <w:tcW w:w="1843" w:type="dxa"/>
            <w:tcBorders>
              <w:top w:val="nil"/>
              <w:left w:val="nil"/>
              <w:bottom w:val="single" w:sz="4" w:space="0" w:color="auto"/>
              <w:right w:val="single" w:sz="4" w:space="0" w:color="auto"/>
            </w:tcBorders>
            <w:shd w:val="clear" w:color="auto" w:fill="auto"/>
            <w:noWrap/>
            <w:vAlign w:val="bottom"/>
            <w:hideMark/>
          </w:tcPr>
          <w:p w:rsidR="00B07AB8" w:rsidRPr="00B07AB8" w:rsidRDefault="00B07AB8" w:rsidP="00103148">
            <w:pPr>
              <w:spacing w:after="0" w:line="312" w:lineRule="auto"/>
              <w:jc w:val="center"/>
              <w:rPr>
                <w:rFonts w:ascii="Arial Narrow" w:hAnsi="Arial Narrow"/>
                <w:sz w:val="20"/>
                <w:szCs w:val="20"/>
              </w:rPr>
            </w:pPr>
            <w:r w:rsidRPr="00B07AB8">
              <w:rPr>
                <w:rFonts w:ascii="Arial Narrow" w:hAnsi="Arial Narrow"/>
                <w:sz w:val="20"/>
                <w:szCs w:val="20"/>
              </w:rPr>
              <w:t>53,0%</w:t>
            </w:r>
          </w:p>
        </w:tc>
      </w:tr>
      <w:tr w:rsidR="00B07AB8" w:rsidRPr="00B07AB8" w:rsidTr="004865F9">
        <w:tc>
          <w:tcPr>
            <w:tcW w:w="764" w:type="dxa"/>
            <w:tcBorders>
              <w:top w:val="nil"/>
              <w:left w:val="single" w:sz="4" w:space="0" w:color="auto"/>
              <w:bottom w:val="single" w:sz="4" w:space="0" w:color="auto"/>
              <w:right w:val="single" w:sz="4" w:space="0" w:color="auto"/>
            </w:tcBorders>
            <w:shd w:val="clear" w:color="auto" w:fill="auto"/>
            <w:vAlign w:val="center"/>
            <w:hideMark/>
          </w:tcPr>
          <w:p w:rsidR="00B07AB8" w:rsidRPr="00B07AB8" w:rsidRDefault="00B07AB8" w:rsidP="00103148">
            <w:pPr>
              <w:spacing w:after="0" w:line="312" w:lineRule="auto"/>
              <w:jc w:val="both"/>
              <w:rPr>
                <w:rFonts w:ascii="Arial Narrow" w:hAnsi="Arial Narrow"/>
                <w:b/>
                <w:bCs/>
                <w:sz w:val="20"/>
                <w:szCs w:val="20"/>
              </w:rPr>
            </w:pPr>
            <w:r w:rsidRPr="00B07AB8">
              <w:rPr>
                <w:rFonts w:ascii="Arial Narrow" w:hAnsi="Arial Narrow"/>
                <w:b/>
                <w:bCs/>
                <w:sz w:val="20"/>
                <w:szCs w:val="20"/>
              </w:rPr>
              <w:t>4.4.3.</w:t>
            </w:r>
          </w:p>
        </w:tc>
        <w:tc>
          <w:tcPr>
            <w:tcW w:w="7458" w:type="dxa"/>
            <w:tcBorders>
              <w:top w:val="nil"/>
              <w:left w:val="nil"/>
              <w:bottom w:val="single" w:sz="4" w:space="0" w:color="auto"/>
              <w:right w:val="single" w:sz="4" w:space="0" w:color="auto"/>
            </w:tcBorders>
            <w:shd w:val="clear" w:color="auto" w:fill="auto"/>
            <w:vAlign w:val="center"/>
            <w:hideMark/>
          </w:tcPr>
          <w:p w:rsidR="00B07AB8" w:rsidRPr="00B07AB8" w:rsidRDefault="00B07AB8" w:rsidP="00103148">
            <w:pPr>
              <w:spacing w:after="0" w:line="312" w:lineRule="auto"/>
              <w:jc w:val="both"/>
              <w:rPr>
                <w:rFonts w:ascii="Arial Narrow" w:hAnsi="Arial Narrow"/>
                <w:b/>
                <w:bCs/>
                <w:sz w:val="20"/>
                <w:szCs w:val="20"/>
              </w:rPr>
            </w:pPr>
            <w:r w:rsidRPr="00B07AB8">
              <w:rPr>
                <w:rFonts w:ascii="Arial Narrow" w:hAnsi="Arial Narrow"/>
                <w:b/>
                <w:bCs/>
                <w:sz w:val="20"/>
                <w:szCs w:val="20"/>
              </w:rPr>
              <w:t>Электроснабжение:</w:t>
            </w:r>
          </w:p>
        </w:tc>
        <w:tc>
          <w:tcPr>
            <w:tcW w:w="1843" w:type="dxa"/>
            <w:tcBorders>
              <w:top w:val="nil"/>
              <w:left w:val="nil"/>
              <w:bottom w:val="single" w:sz="4" w:space="0" w:color="auto"/>
              <w:right w:val="single" w:sz="4" w:space="0" w:color="auto"/>
            </w:tcBorders>
            <w:shd w:val="clear" w:color="auto" w:fill="auto"/>
            <w:vAlign w:val="center"/>
            <w:hideMark/>
          </w:tcPr>
          <w:p w:rsidR="00B07AB8" w:rsidRPr="00B07AB8" w:rsidRDefault="00B07AB8" w:rsidP="00103148">
            <w:pPr>
              <w:spacing w:after="0" w:line="312" w:lineRule="auto"/>
              <w:jc w:val="center"/>
              <w:rPr>
                <w:rFonts w:ascii="Arial Narrow" w:hAnsi="Arial Narrow"/>
                <w:b/>
                <w:bCs/>
                <w:sz w:val="20"/>
                <w:szCs w:val="20"/>
              </w:rPr>
            </w:pPr>
          </w:p>
        </w:tc>
      </w:tr>
      <w:tr w:rsidR="00B07AB8" w:rsidRPr="00B07AB8" w:rsidTr="004865F9">
        <w:tc>
          <w:tcPr>
            <w:tcW w:w="764" w:type="dxa"/>
            <w:tcBorders>
              <w:top w:val="nil"/>
              <w:left w:val="single" w:sz="4" w:space="0" w:color="auto"/>
              <w:bottom w:val="single" w:sz="4" w:space="0" w:color="auto"/>
              <w:right w:val="single" w:sz="4" w:space="0" w:color="auto"/>
            </w:tcBorders>
            <w:shd w:val="clear" w:color="auto" w:fill="auto"/>
            <w:vAlign w:val="center"/>
            <w:hideMark/>
          </w:tcPr>
          <w:p w:rsidR="00B07AB8" w:rsidRPr="00B07AB8" w:rsidRDefault="00B07AB8" w:rsidP="00103148">
            <w:pPr>
              <w:spacing w:after="0" w:line="312" w:lineRule="auto"/>
              <w:jc w:val="both"/>
              <w:rPr>
                <w:rFonts w:ascii="Arial Narrow" w:hAnsi="Arial Narrow"/>
                <w:sz w:val="20"/>
                <w:szCs w:val="20"/>
              </w:rPr>
            </w:pPr>
            <w:r w:rsidRPr="00B07AB8">
              <w:rPr>
                <w:rFonts w:ascii="Arial Narrow" w:hAnsi="Arial Narrow"/>
                <w:sz w:val="20"/>
                <w:szCs w:val="20"/>
              </w:rPr>
              <w:t>4.4.3.1.</w:t>
            </w:r>
          </w:p>
        </w:tc>
        <w:tc>
          <w:tcPr>
            <w:tcW w:w="7458" w:type="dxa"/>
            <w:tcBorders>
              <w:top w:val="nil"/>
              <w:left w:val="nil"/>
              <w:bottom w:val="single" w:sz="4" w:space="0" w:color="auto"/>
              <w:right w:val="single" w:sz="4" w:space="0" w:color="auto"/>
            </w:tcBorders>
            <w:shd w:val="clear" w:color="auto" w:fill="auto"/>
            <w:vAlign w:val="center"/>
            <w:hideMark/>
          </w:tcPr>
          <w:p w:rsidR="00B07AB8" w:rsidRPr="00B07AB8" w:rsidRDefault="00B07AB8" w:rsidP="00103148">
            <w:pPr>
              <w:spacing w:after="0" w:line="312" w:lineRule="auto"/>
              <w:jc w:val="both"/>
              <w:rPr>
                <w:rFonts w:ascii="Arial Narrow" w:hAnsi="Arial Narrow"/>
                <w:sz w:val="20"/>
                <w:szCs w:val="20"/>
              </w:rPr>
            </w:pPr>
            <w:r w:rsidRPr="00B07AB8">
              <w:rPr>
                <w:rFonts w:ascii="Arial Narrow" w:hAnsi="Arial Narrow"/>
                <w:sz w:val="20"/>
                <w:szCs w:val="20"/>
              </w:rPr>
              <w:t>Удовлетворены стоимостью предоставляемых услуг, %</w:t>
            </w:r>
          </w:p>
        </w:tc>
        <w:tc>
          <w:tcPr>
            <w:tcW w:w="1843" w:type="dxa"/>
            <w:tcBorders>
              <w:top w:val="nil"/>
              <w:left w:val="nil"/>
              <w:bottom w:val="single" w:sz="4" w:space="0" w:color="auto"/>
              <w:right w:val="single" w:sz="4" w:space="0" w:color="auto"/>
            </w:tcBorders>
            <w:shd w:val="clear" w:color="auto" w:fill="auto"/>
            <w:noWrap/>
            <w:vAlign w:val="bottom"/>
            <w:hideMark/>
          </w:tcPr>
          <w:p w:rsidR="00B07AB8" w:rsidRPr="00B07AB8" w:rsidRDefault="00B07AB8" w:rsidP="00103148">
            <w:pPr>
              <w:spacing w:after="0" w:line="312" w:lineRule="auto"/>
              <w:jc w:val="center"/>
              <w:rPr>
                <w:rFonts w:ascii="Arial Narrow" w:hAnsi="Arial Narrow"/>
                <w:sz w:val="20"/>
                <w:szCs w:val="20"/>
              </w:rPr>
            </w:pPr>
            <w:r w:rsidRPr="00B07AB8">
              <w:rPr>
                <w:rFonts w:ascii="Arial Narrow" w:hAnsi="Arial Narrow"/>
                <w:sz w:val="20"/>
                <w:szCs w:val="20"/>
              </w:rPr>
              <w:t>59,7%</w:t>
            </w:r>
          </w:p>
        </w:tc>
      </w:tr>
      <w:tr w:rsidR="00B07AB8" w:rsidRPr="00B07AB8" w:rsidTr="004865F9">
        <w:tc>
          <w:tcPr>
            <w:tcW w:w="764" w:type="dxa"/>
            <w:tcBorders>
              <w:top w:val="nil"/>
              <w:left w:val="single" w:sz="4" w:space="0" w:color="auto"/>
              <w:bottom w:val="single" w:sz="4" w:space="0" w:color="auto"/>
              <w:right w:val="single" w:sz="4" w:space="0" w:color="auto"/>
            </w:tcBorders>
            <w:shd w:val="clear" w:color="auto" w:fill="auto"/>
            <w:vAlign w:val="center"/>
            <w:hideMark/>
          </w:tcPr>
          <w:p w:rsidR="00B07AB8" w:rsidRPr="00B07AB8" w:rsidRDefault="00B07AB8" w:rsidP="00103148">
            <w:pPr>
              <w:spacing w:after="0" w:line="312" w:lineRule="auto"/>
              <w:jc w:val="both"/>
              <w:rPr>
                <w:rFonts w:ascii="Arial Narrow" w:hAnsi="Arial Narrow"/>
                <w:sz w:val="20"/>
                <w:szCs w:val="20"/>
              </w:rPr>
            </w:pPr>
            <w:r w:rsidRPr="00B07AB8">
              <w:rPr>
                <w:rFonts w:ascii="Arial Narrow" w:hAnsi="Arial Narrow"/>
                <w:sz w:val="20"/>
                <w:szCs w:val="20"/>
              </w:rPr>
              <w:t>4.4.3.2.</w:t>
            </w:r>
          </w:p>
        </w:tc>
        <w:tc>
          <w:tcPr>
            <w:tcW w:w="7458" w:type="dxa"/>
            <w:tcBorders>
              <w:top w:val="nil"/>
              <w:left w:val="nil"/>
              <w:bottom w:val="single" w:sz="4" w:space="0" w:color="auto"/>
              <w:right w:val="single" w:sz="4" w:space="0" w:color="auto"/>
            </w:tcBorders>
            <w:shd w:val="clear" w:color="auto" w:fill="auto"/>
            <w:vAlign w:val="center"/>
            <w:hideMark/>
          </w:tcPr>
          <w:p w:rsidR="00B07AB8" w:rsidRPr="00B07AB8" w:rsidRDefault="00B07AB8" w:rsidP="00103148">
            <w:pPr>
              <w:spacing w:after="0" w:line="312" w:lineRule="auto"/>
              <w:jc w:val="both"/>
              <w:rPr>
                <w:rFonts w:ascii="Arial Narrow" w:hAnsi="Arial Narrow"/>
                <w:sz w:val="20"/>
                <w:szCs w:val="20"/>
              </w:rPr>
            </w:pPr>
            <w:r w:rsidRPr="00B07AB8">
              <w:rPr>
                <w:rFonts w:ascii="Arial Narrow" w:hAnsi="Arial Narrow"/>
                <w:sz w:val="20"/>
                <w:szCs w:val="20"/>
              </w:rPr>
              <w:t>Удовлетворены качеством предоставляемых услуг, %</w:t>
            </w:r>
          </w:p>
        </w:tc>
        <w:tc>
          <w:tcPr>
            <w:tcW w:w="1843" w:type="dxa"/>
            <w:tcBorders>
              <w:top w:val="nil"/>
              <w:left w:val="nil"/>
              <w:bottom w:val="single" w:sz="4" w:space="0" w:color="auto"/>
              <w:right w:val="single" w:sz="4" w:space="0" w:color="auto"/>
            </w:tcBorders>
            <w:shd w:val="clear" w:color="auto" w:fill="auto"/>
            <w:noWrap/>
            <w:vAlign w:val="bottom"/>
            <w:hideMark/>
          </w:tcPr>
          <w:p w:rsidR="00B07AB8" w:rsidRPr="00B07AB8" w:rsidRDefault="00B07AB8" w:rsidP="00103148">
            <w:pPr>
              <w:spacing w:after="0" w:line="312" w:lineRule="auto"/>
              <w:jc w:val="center"/>
              <w:rPr>
                <w:rFonts w:ascii="Arial Narrow" w:hAnsi="Arial Narrow"/>
                <w:sz w:val="20"/>
                <w:szCs w:val="20"/>
              </w:rPr>
            </w:pPr>
            <w:r w:rsidRPr="00B07AB8">
              <w:rPr>
                <w:rFonts w:ascii="Arial Narrow" w:hAnsi="Arial Narrow"/>
                <w:sz w:val="20"/>
                <w:szCs w:val="20"/>
              </w:rPr>
              <w:t>83,8%</w:t>
            </w:r>
          </w:p>
        </w:tc>
      </w:tr>
      <w:tr w:rsidR="00B07AB8" w:rsidRPr="00B07AB8" w:rsidTr="004865F9">
        <w:tc>
          <w:tcPr>
            <w:tcW w:w="764" w:type="dxa"/>
            <w:tcBorders>
              <w:top w:val="nil"/>
              <w:left w:val="single" w:sz="4" w:space="0" w:color="auto"/>
              <w:bottom w:val="single" w:sz="4" w:space="0" w:color="auto"/>
              <w:right w:val="single" w:sz="4" w:space="0" w:color="auto"/>
            </w:tcBorders>
            <w:shd w:val="clear" w:color="auto" w:fill="auto"/>
            <w:vAlign w:val="center"/>
            <w:hideMark/>
          </w:tcPr>
          <w:p w:rsidR="00B07AB8" w:rsidRPr="00B07AB8" w:rsidRDefault="00B07AB8" w:rsidP="00103148">
            <w:pPr>
              <w:spacing w:after="0" w:line="312" w:lineRule="auto"/>
              <w:jc w:val="both"/>
              <w:rPr>
                <w:rFonts w:ascii="Arial Narrow" w:hAnsi="Arial Narrow"/>
                <w:b/>
                <w:bCs/>
                <w:sz w:val="20"/>
                <w:szCs w:val="20"/>
              </w:rPr>
            </w:pPr>
            <w:r w:rsidRPr="00B07AB8">
              <w:rPr>
                <w:rFonts w:ascii="Arial Narrow" w:hAnsi="Arial Narrow"/>
                <w:b/>
                <w:bCs/>
                <w:sz w:val="20"/>
                <w:szCs w:val="20"/>
              </w:rPr>
              <w:t>4.4.4.</w:t>
            </w:r>
          </w:p>
        </w:tc>
        <w:tc>
          <w:tcPr>
            <w:tcW w:w="7458" w:type="dxa"/>
            <w:tcBorders>
              <w:top w:val="nil"/>
              <w:left w:val="nil"/>
              <w:bottom w:val="single" w:sz="4" w:space="0" w:color="auto"/>
              <w:right w:val="single" w:sz="4" w:space="0" w:color="auto"/>
            </w:tcBorders>
            <w:shd w:val="clear" w:color="auto" w:fill="auto"/>
            <w:vAlign w:val="center"/>
            <w:hideMark/>
          </w:tcPr>
          <w:p w:rsidR="00B07AB8" w:rsidRPr="00B07AB8" w:rsidRDefault="00B07AB8" w:rsidP="00103148">
            <w:pPr>
              <w:spacing w:after="0" w:line="312" w:lineRule="auto"/>
              <w:jc w:val="both"/>
              <w:rPr>
                <w:rFonts w:ascii="Arial Narrow" w:hAnsi="Arial Narrow"/>
                <w:b/>
                <w:bCs/>
                <w:sz w:val="20"/>
                <w:szCs w:val="20"/>
              </w:rPr>
            </w:pPr>
            <w:r w:rsidRPr="00B07AB8">
              <w:rPr>
                <w:rFonts w:ascii="Arial Narrow" w:hAnsi="Arial Narrow"/>
                <w:b/>
                <w:bCs/>
                <w:sz w:val="20"/>
                <w:szCs w:val="20"/>
              </w:rPr>
              <w:t>Теплоснабжение:</w:t>
            </w:r>
          </w:p>
        </w:tc>
        <w:tc>
          <w:tcPr>
            <w:tcW w:w="1843" w:type="dxa"/>
            <w:tcBorders>
              <w:top w:val="nil"/>
              <w:left w:val="nil"/>
              <w:bottom w:val="single" w:sz="4" w:space="0" w:color="auto"/>
              <w:right w:val="single" w:sz="4" w:space="0" w:color="auto"/>
            </w:tcBorders>
            <w:shd w:val="clear" w:color="auto" w:fill="auto"/>
            <w:vAlign w:val="center"/>
            <w:hideMark/>
          </w:tcPr>
          <w:p w:rsidR="00B07AB8" w:rsidRPr="00B07AB8" w:rsidRDefault="00B07AB8" w:rsidP="00103148">
            <w:pPr>
              <w:spacing w:after="0" w:line="312" w:lineRule="auto"/>
              <w:jc w:val="center"/>
              <w:rPr>
                <w:rFonts w:ascii="Arial Narrow" w:hAnsi="Arial Narrow"/>
                <w:b/>
                <w:bCs/>
                <w:sz w:val="20"/>
                <w:szCs w:val="20"/>
              </w:rPr>
            </w:pPr>
          </w:p>
        </w:tc>
      </w:tr>
      <w:tr w:rsidR="00B07AB8" w:rsidRPr="00B07AB8" w:rsidTr="004865F9">
        <w:tc>
          <w:tcPr>
            <w:tcW w:w="764" w:type="dxa"/>
            <w:tcBorders>
              <w:top w:val="nil"/>
              <w:left w:val="single" w:sz="4" w:space="0" w:color="auto"/>
              <w:bottom w:val="single" w:sz="4" w:space="0" w:color="auto"/>
              <w:right w:val="single" w:sz="4" w:space="0" w:color="auto"/>
            </w:tcBorders>
            <w:shd w:val="clear" w:color="auto" w:fill="auto"/>
            <w:vAlign w:val="center"/>
            <w:hideMark/>
          </w:tcPr>
          <w:p w:rsidR="00B07AB8" w:rsidRPr="00B07AB8" w:rsidRDefault="00B07AB8" w:rsidP="00103148">
            <w:pPr>
              <w:spacing w:after="0" w:line="312" w:lineRule="auto"/>
              <w:jc w:val="both"/>
              <w:rPr>
                <w:rFonts w:ascii="Arial Narrow" w:hAnsi="Arial Narrow"/>
                <w:sz w:val="20"/>
                <w:szCs w:val="20"/>
              </w:rPr>
            </w:pPr>
            <w:r w:rsidRPr="00B07AB8">
              <w:rPr>
                <w:rFonts w:ascii="Arial Narrow" w:hAnsi="Arial Narrow"/>
                <w:sz w:val="20"/>
                <w:szCs w:val="20"/>
              </w:rPr>
              <w:t>4.4.4.1.</w:t>
            </w:r>
          </w:p>
        </w:tc>
        <w:tc>
          <w:tcPr>
            <w:tcW w:w="7458" w:type="dxa"/>
            <w:tcBorders>
              <w:top w:val="nil"/>
              <w:left w:val="nil"/>
              <w:bottom w:val="single" w:sz="4" w:space="0" w:color="auto"/>
              <w:right w:val="single" w:sz="4" w:space="0" w:color="auto"/>
            </w:tcBorders>
            <w:shd w:val="clear" w:color="auto" w:fill="auto"/>
            <w:vAlign w:val="center"/>
            <w:hideMark/>
          </w:tcPr>
          <w:p w:rsidR="00B07AB8" w:rsidRPr="00B07AB8" w:rsidRDefault="00B07AB8" w:rsidP="00103148">
            <w:pPr>
              <w:spacing w:after="0" w:line="312" w:lineRule="auto"/>
              <w:jc w:val="both"/>
              <w:rPr>
                <w:rFonts w:ascii="Arial Narrow" w:hAnsi="Arial Narrow"/>
                <w:sz w:val="20"/>
                <w:szCs w:val="20"/>
              </w:rPr>
            </w:pPr>
            <w:r w:rsidRPr="00B07AB8">
              <w:rPr>
                <w:rFonts w:ascii="Arial Narrow" w:hAnsi="Arial Narrow"/>
                <w:sz w:val="20"/>
                <w:szCs w:val="20"/>
              </w:rPr>
              <w:t>Удовлетворены стоимостью предоставляемых услуг, %</w:t>
            </w:r>
          </w:p>
        </w:tc>
        <w:tc>
          <w:tcPr>
            <w:tcW w:w="1843" w:type="dxa"/>
            <w:tcBorders>
              <w:top w:val="nil"/>
              <w:left w:val="nil"/>
              <w:bottom w:val="single" w:sz="4" w:space="0" w:color="auto"/>
              <w:right w:val="single" w:sz="4" w:space="0" w:color="auto"/>
            </w:tcBorders>
            <w:shd w:val="clear" w:color="auto" w:fill="auto"/>
            <w:noWrap/>
            <w:vAlign w:val="bottom"/>
            <w:hideMark/>
          </w:tcPr>
          <w:p w:rsidR="00B07AB8" w:rsidRPr="00B07AB8" w:rsidRDefault="00B07AB8" w:rsidP="00103148">
            <w:pPr>
              <w:spacing w:after="0" w:line="312" w:lineRule="auto"/>
              <w:jc w:val="center"/>
              <w:rPr>
                <w:rFonts w:ascii="Arial Narrow" w:hAnsi="Arial Narrow"/>
                <w:sz w:val="20"/>
                <w:szCs w:val="20"/>
              </w:rPr>
            </w:pPr>
            <w:r w:rsidRPr="00B07AB8">
              <w:rPr>
                <w:rFonts w:ascii="Arial Narrow" w:hAnsi="Arial Narrow"/>
                <w:sz w:val="20"/>
                <w:szCs w:val="20"/>
              </w:rPr>
              <w:t>38,7%</w:t>
            </w:r>
          </w:p>
        </w:tc>
      </w:tr>
      <w:tr w:rsidR="00B07AB8" w:rsidRPr="00B07AB8" w:rsidTr="004865F9">
        <w:tc>
          <w:tcPr>
            <w:tcW w:w="764" w:type="dxa"/>
            <w:tcBorders>
              <w:top w:val="nil"/>
              <w:left w:val="single" w:sz="4" w:space="0" w:color="auto"/>
              <w:bottom w:val="single" w:sz="4" w:space="0" w:color="auto"/>
              <w:right w:val="single" w:sz="4" w:space="0" w:color="auto"/>
            </w:tcBorders>
            <w:shd w:val="clear" w:color="auto" w:fill="auto"/>
            <w:vAlign w:val="center"/>
            <w:hideMark/>
          </w:tcPr>
          <w:p w:rsidR="00B07AB8" w:rsidRPr="00B07AB8" w:rsidRDefault="00B07AB8" w:rsidP="00103148">
            <w:pPr>
              <w:spacing w:after="0" w:line="312" w:lineRule="auto"/>
              <w:jc w:val="both"/>
              <w:rPr>
                <w:rFonts w:ascii="Arial Narrow" w:hAnsi="Arial Narrow"/>
                <w:sz w:val="20"/>
                <w:szCs w:val="20"/>
              </w:rPr>
            </w:pPr>
            <w:r w:rsidRPr="00B07AB8">
              <w:rPr>
                <w:rFonts w:ascii="Arial Narrow" w:hAnsi="Arial Narrow"/>
                <w:sz w:val="20"/>
                <w:szCs w:val="20"/>
              </w:rPr>
              <w:t>4.4.4.2.</w:t>
            </w:r>
          </w:p>
        </w:tc>
        <w:tc>
          <w:tcPr>
            <w:tcW w:w="7458" w:type="dxa"/>
            <w:tcBorders>
              <w:top w:val="nil"/>
              <w:left w:val="nil"/>
              <w:bottom w:val="single" w:sz="4" w:space="0" w:color="auto"/>
              <w:right w:val="single" w:sz="4" w:space="0" w:color="auto"/>
            </w:tcBorders>
            <w:shd w:val="clear" w:color="auto" w:fill="auto"/>
            <w:vAlign w:val="center"/>
            <w:hideMark/>
          </w:tcPr>
          <w:p w:rsidR="00B07AB8" w:rsidRPr="00B07AB8" w:rsidRDefault="00B07AB8" w:rsidP="00103148">
            <w:pPr>
              <w:spacing w:after="0" w:line="312" w:lineRule="auto"/>
              <w:jc w:val="both"/>
              <w:rPr>
                <w:rFonts w:ascii="Arial Narrow" w:hAnsi="Arial Narrow"/>
                <w:sz w:val="20"/>
                <w:szCs w:val="20"/>
              </w:rPr>
            </w:pPr>
            <w:r w:rsidRPr="00B07AB8">
              <w:rPr>
                <w:rFonts w:ascii="Arial Narrow" w:hAnsi="Arial Narrow"/>
                <w:sz w:val="20"/>
                <w:szCs w:val="20"/>
              </w:rPr>
              <w:t>Удовлетворены качеством предоставляемых услуг, %</w:t>
            </w:r>
          </w:p>
        </w:tc>
        <w:tc>
          <w:tcPr>
            <w:tcW w:w="1843" w:type="dxa"/>
            <w:tcBorders>
              <w:top w:val="nil"/>
              <w:left w:val="nil"/>
              <w:bottom w:val="single" w:sz="4" w:space="0" w:color="auto"/>
              <w:right w:val="single" w:sz="4" w:space="0" w:color="auto"/>
            </w:tcBorders>
            <w:shd w:val="clear" w:color="auto" w:fill="auto"/>
            <w:noWrap/>
            <w:vAlign w:val="bottom"/>
            <w:hideMark/>
          </w:tcPr>
          <w:p w:rsidR="00B07AB8" w:rsidRPr="00B07AB8" w:rsidRDefault="00B07AB8" w:rsidP="00103148">
            <w:pPr>
              <w:spacing w:after="0" w:line="312" w:lineRule="auto"/>
              <w:jc w:val="center"/>
              <w:rPr>
                <w:rFonts w:ascii="Arial Narrow" w:hAnsi="Arial Narrow"/>
                <w:sz w:val="20"/>
                <w:szCs w:val="20"/>
              </w:rPr>
            </w:pPr>
            <w:r w:rsidRPr="00B07AB8">
              <w:rPr>
                <w:rFonts w:ascii="Arial Narrow" w:hAnsi="Arial Narrow"/>
                <w:sz w:val="20"/>
                <w:szCs w:val="20"/>
              </w:rPr>
              <w:t>60,7%</w:t>
            </w:r>
          </w:p>
        </w:tc>
      </w:tr>
    </w:tbl>
    <w:p w:rsidR="00B07AB8" w:rsidRPr="00B07AB8" w:rsidRDefault="00B07AB8" w:rsidP="00103148">
      <w:pPr>
        <w:spacing w:after="0" w:line="312" w:lineRule="auto"/>
        <w:ind w:firstLine="284"/>
        <w:jc w:val="both"/>
        <w:rPr>
          <w:rFonts w:ascii="Arial Narrow" w:hAnsi="Arial Narrow"/>
          <w:sz w:val="24"/>
          <w:szCs w:val="24"/>
        </w:rPr>
      </w:pPr>
    </w:p>
    <w:p w:rsidR="00B07AB8" w:rsidRPr="006A7039" w:rsidRDefault="00B07AB8" w:rsidP="00103148">
      <w:pPr>
        <w:spacing w:after="0" w:line="312" w:lineRule="auto"/>
        <w:ind w:left="-426" w:firstLine="284"/>
        <w:jc w:val="both"/>
        <w:rPr>
          <w:rFonts w:ascii="Arial Narrow" w:hAnsi="Arial Narrow"/>
          <w:b/>
          <w:bCs/>
          <w:sz w:val="24"/>
          <w:szCs w:val="24"/>
        </w:rPr>
      </w:pPr>
      <w:r w:rsidRPr="006A7039">
        <w:rPr>
          <w:rFonts w:ascii="Arial Narrow" w:hAnsi="Arial Narrow"/>
          <w:b/>
          <w:bCs/>
          <w:sz w:val="24"/>
          <w:szCs w:val="24"/>
        </w:rPr>
        <w:t>Значение показателя 4.5. Оценка эффективности реализации инвестиционных программ и отдельных проектов субъектов естественных монополий со стороны потребителей товаров, работ и услуг, задействованных в механизмах общественного контроля за деятельностью субъектов естественных монополий, в том числе информации о мероприятиях и деятельности, осуществляемой в рамках проводимой оценки, о количестве инвестиционных программ и проектов, прошедших такую оценку в отчетном периоде (году).</w:t>
      </w:r>
    </w:p>
    <w:p w:rsidR="00B07AB8" w:rsidRPr="006A7039" w:rsidRDefault="00B07AB8" w:rsidP="00103148">
      <w:pPr>
        <w:spacing w:after="0" w:line="312" w:lineRule="auto"/>
        <w:ind w:left="-426" w:firstLine="284"/>
        <w:jc w:val="both"/>
        <w:rPr>
          <w:rFonts w:ascii="Arial Narrow" w:hAnsi="Arial Narrow"/>
          <w:sz w:val="24"/>
          <w:szCs w:val="24"/>
        </w:rPr>
      </w:pPr>
      <w:r w:rsidRPr="006A7039">
        <w:rPr>
          <w:rFonts w:ascii="Arial Narrow" w:hAnsi="Arial Narrow"/>
          <w:bCs/>
          <w:sz w:val="24"/>
          <w:szCs w:val="24"/>
        </w:rPr>
        <w:t>Значение данного показателя отсутствует по причине того, что общественный контроль не реализован, в</w:t>
      </w:r>
      <w:r w:rsidRPr="006A7039">
        <w:rPr>
          <w:rFonts w:ascii="Arial Narrow" w:hAnsi="Arial Narrow"/>
          <w:sz w:val="24"/>
          <w:szCs w:val="24"/>
        </w:rPr>
        <w:t xml:space="preserve"> 2016 г. и ранее он не проводился.</w:t>
      </w:r>
    </w:p>
    <w:p w:rsidR="00B07AB8" w:rsidRPr="006A7039" w:rsidRDefault="00B07AB8" w:rsidP="00103148">
      <w:pPr>
        <w:spacing w:after="0" w:line="312" w:lineRule="auto"/>
        <w:ind w:left="-426" w:firstLine="284"/>
        <w:jc w:val="both"/>
        <w:rPr>
          <w:rFonts w:ascii="Arial Narrow" w:hAnsi="Arial Narrow"/>
          <w:sz w:val="24"/>
          <w:szCs w:val="24"/>
        </w:rPr>
      </w:pPr>
    </w:p>
    <w:p w:rsidR="00B07AB8" w:rsidRPr="006A7039" w:rsidRDefault="00B07AB8" w:rsidP="00103148">
      <w:pPr>
        <w:spacing w:after="0" w:line="312" w:lineRule="auto"/>
        <w:ind w:left="-426" w:firstLine="284"/>
        <w:jc w:val="both"/>
        <w:rPr>
          <w:rFonts w:ascii="Arial Narrow" w:hAnsi="Arial Narrow"/>
          <w:b/>
          <w:sz w:val="24"/>
          <w:szCs w:val="24"/>
        </w:rPr>
      </w:pPr>
      <w:r w:rsidRPr="006A7039">
        <w:rPr>
          <w:rFonts w:ascii="Arial Narrow" w:hAnsi="Arial Narrow"/>
          <w:b/>
          <w:sz w:val="24"/>
          <w:szCs w:val="24"/>
        </w:rPr>
        <w:t>Предложения по повышению удовлетворенности субъектов предпринимательства и населения Новосибирской области деятельностью субъектов естественных монополий на территории Новосибирской области на 2017 г.:</w:t>
      </w:r>
    </w:p>
    <w:p w:rsidR="00B07AB8" w:rsidRPr="006A7039" w:rsidRDefault="00B07AB8" w:rsidP="00103148">
      <w:pPr>
        <w:spacing w:after="0" w:line="312" w:lineRule="auto"/>
        <w:ind w:left="-426" w:firstLine="284"/>
        <w:jc w:val="both"/>
        <w:rPr>
          <w:rFonts w:ascii="Arial Narrow" w:hAnsi="Arial Narrow"/>
          <w:b/>
          <w:sz w:val="24"/>
          <w:szCs w:val="24"/>
        </w:rPr>
      </w:pPr>
    </w:p>
    <w:p w:rsidR="00B07AB8" w:rsidRPr="006A7039" w:rsidRDefault="00B07AB8" w:rsidP="00103148">
      <w:pPr>
        <w:spacing w:after="0" w:line="312" w:lineRule="auto"/>
        <w:ind w:left="-426" w:firstLine="284"/>
        <w:jc w:val="both"/>
        <w:rPr>
          <w:rFonts w:ascii="Arial Narrow" w:hAnsi="Arial Narrow"/>
          <w:b/>
          <w:sz w:val="24"/>
          <w:szCs w:val="24"/>
        </w:rPr>
      </w:pPr>
      <w:r w:rsidRPr="006A7039">
        <w:rPr>
          <w:rFonts w:ascii="Arial Narrow" w:hAnsi="Arial Narrow"/>
          <w:b/>
          <w:sz w:val="24"/>
          <w:szCs w:val="24"/>
        </w:rPr>
        <w:t>1. Проведение мероприятий по повышению удовлетворенности субъектов предпринимательства, взаимодействующих прямо или косвенно в экономической деятельности с субъектами естественных монополий, и потребителей товаров, работ и услуг субъектов естественных монополий (населения) качеством услуг, предоставляемых субъектами естественных монополий Новосибирской области:</w:t>
      </w:r>
    </w:p>
    <w:p w:rsidR="00B07AB8" w:rsidRPr="006A7039" w:rsidRDefault="00B07AB8" w:rsidP="00103148">
      <w:pPr>
        <w:spacing w:after="0" w:line="312" w:lineRule="auto"/>
        <w:ind w:left="-426" w:firstLine="284"/>
        <w:jc w:val="both"/>
        <w:rPr>
          <w:rFonts w:ascii="Arial Narrow" w:hAnsi="Arial Narrow"/>
          <w:sz w:val="24"/>
          <w:szCs w:val="24"/>
        </w:rPr>
      </w:pPr>
      <w:r w:rsidRPr="006A7039">
        <w:rPr>
          <w:rFonts w:ascii="Arial Narrow" w:hAnsi="Arial Narrow"/>
          <w:sz w:val="24"/>
          <w:szCs w:val="24"/>
        </w:rPr>
        <w:t>1.1. Исполнение мероприятий «Комплекса мер («дорожная карта») по развитию жилищно-коммунального хозяйства Новосибирской области», утвержденного распоряжением Правительства Новосибирской области от 30.12.2014 № 500-рп.</w:t>
      </w:r>
    </w:p>
    <w:p w:rsidR="00B07AB8" w:rsidRPr="006A7039" w:rsidRDefault="00B07AB8" w:rsidP="00103148">
      <w:pPr>
        <w:spacing w:after="0" w:line="312" w:lineRule="auto"/>
        <w:ind w:left="-426" w:firstLine="284"/>
        <w:jc w:val="both"/>
        <w:rPr>
          <w:rFonts w:ascii="Arial Narrow" w:hAnsi="Arial Narrow"/>
          <w:sz w:val="24"/>
          <w:szCs w:val="24"/>
        </w:rPr>
      </w:pPr>
      <w:r w:rsidRPr="006A7039">
        <w:rPr>
          <w:rFonts w:ascii="Arial Narrow" w:hAnsi="Arial Narrow"/>
          <w:sz w:val="24"/>
          <w:szCs w:val="24"/>
        </w:rPr>
        <w:t>1.2. Реализация законодательства Российской Федерации, решений Президента Российской Федерации и решений Правительства Российской Федерации в сфере жилищно-коммунального хозяйства в соответствии с пунктом 9.11 части 1 статьи 14 Федерального закона от 21.07.2007 № 185-ФЗ «О Фонде содействия реформированию жилищно-коммунального хозяйства».</w:t>
      </w:r>
    </w:p>
    <w:p w:rsidR="00B07AB8" w:rsidRPr="006A7039" w:rsidRDefault="00B07AB8" w:rsidP="00103148">
      <w:pPr>
        <w:spacing w:after="0" w:line="312" w:lineRule="auto"/>
        <w:ind w:left="-426" w:firstLine="284"/>
        <w:jc w:val="both"/>
        <w:rPr>
          <w:rFonts w:ascii="Arial Narrow" w:hAnsi="Arial Narrow"/>
          <w:b/>
          <w:sz w:val="24"/>
          <w:szCs w:val="24"/>
        </w:rPr>
      </w:pPr>
      <w:r w:rsidRPr="006A7039">
        <w:rPr>
          <w:rFonts w:ascii="Arial Narrow" w:hAnsi="Arial Narrow"/>
          <w:b/>
          <w:sz w:val="24"/>
          <w:szCs w:val="24"/>
        </w:rPr>
        <w:t>2. Проведение ежегодной оценки удовлетворенности субъектов предпринимательства, взаимодействующих прямо или косвенно в экономической деятельности с субъектами естественных монополий, и потребителей товаров, работ и услуг субъектов естественных монополий (населения) отдельными характеристиками предоставляемых услуг для всех субъектов естественных монополий (включая железнодорожные пригородные межмуниципальные перевозки):</w:t>
      </w:r>
    </w:p>
    <w:p w:rsidR="00B07AB8" w:rsidRPr="006A7039" w:rsidRDefault="00B07AB8" w:rsidP="00103148">
      <w:pPr>
        <w:spacing w:after="0" w:line="312" w:lineRule="auto"/>
        <w:ind w:left="-426" w:firstLine="284"/>
        <w:jc w:val="both"/>
        <w:rPr>
          <w:rFonts w:ascii="Arial Narrow" w:hAnsi="Arial Narrow"/>
          <w:sz w:val="24"/>
          <w:szCs w:val="24"/>
        </w:rPr>
      </w:pPr>
      <w:r w:rsidRPr="006A7039">
        <w:rPr>
          <w:rFonts w:ascii="Arial Narrow" w:hAnsi="Arial Narrow"/>
          <w:sz w:val="24"/>
          <w:szCs w:val="24"/>
        </w:rPr>
        <w:lastRenderedPageBreak/>
        <w:t xml:space="preserve">- качеством услуг, </w:t>
      </w:r>
    </w:p>
    <w:p w:rsidR="00B07AB8" w:rsidRPr="006A7039" w:rsidRDefault="00B07AB8" w:rsidP="00103148">
      <w:pPr>
        <w:spacing w:after="0" w:line="312" w:lineRule="auto"/>
        <w:ind w:left="-426" w:firstLine="284"/>
        <w:jc w:val="both"/>
        <w:rPr>
          <w:rFonts w:ascii="Arial Narrow" w:hAnsi="Arial Narrow"/>
          <w:sz w:val="24"/>
          <w:szCs w:val="24"/>
        </w:rPr>
      </w:pPr>
      <w:r w:rsidRPr="006A7039">
        <w:rPr>
          <w:rFonts w:ascii="Arial Narrow" w:hAnsi="Arial Narrow"/>
          <w:sz w:val="24"/>
          <w:szCs w:val="24"/>
        </w:rPr>
        <w:t xml:space="preserve">- стоимостью услуг, </w:t>
      </w:r>
    </w:p>
    <w:p w:rsidR="00B07AB8" w:rsidRPr="006A7039" w:rsidRDefault="00B07AB8" w:rsidP="00103148">
      <w:pPr>
        <w:spacing w:after="0" w:line="312" w:lineRule="auto"/>
        <w:ind w:left="-426" w:firstLine="284"/>
        <w:jc w:val="both"/>
        <w:rPr>
          <w:rFonts w:ascii="Arial Narrow" w:hAnsi="Arial Narrow"/>
          <w:sz w:val="24"/>
          <w:szCs w:val="24"/>
        </w:rPr>
      </w:pPr>
      <w:r w:rsidRPr="006A7039">
        <w:rPr>
          <w:rFonts w:ascii="Arial Narrow" w:hAnsi="Arial Narrow"/>
          <w:sz w:val="24"/>
          <w:szCs w:val="24"/>
        </w:rPr>
        <w:t>- для субъектов естественных монополий, предоставляющих услуги электроснабжения, теплоснабжения, газоснабжения, водоснабжения/водоотведения – стоимостью подключения, сложностью (количеством) процедур подключения, сроками получения доступа к услугам.</w:t>
      </w:r>
    </w:p>
    <w:p w:rsidR="00B07AB8" w:rsidRPr="006A7039" w:rsidRDefault="00B07AB8" w:rsidP="00103148">
      <w:pPr>
        <w:spacing w:after="0" w:line="312" w:lineRule="auto"/>
        <w:ind w:left="-426" w:firstLine="284"/>
        <w:jc w:val="both"/>
        <w:rPr>
          <w:rFonts w:ascii="Arial Narrow" w:hAnsi="Arial Narrow"/>
          <w:sz w:val="24"/>
          <w:szCs w:val="24"/>
        </w:rPr>
      </w:pPr>
      <w:r w:rsidRPr="006A7039">
        <w:rPr>
          <w:rFonts w:ascii="Arial Narrow" w:hAnsi="Arial Narrow"/>
          <w:sz w:val="24"/>
          <w:szCs w:val="24"/>
        </w:rPr>
        <w:t>Дополнить перечень показателей установлением причин неудовлетворенности субъектов предпринимательства и потребителей (населения) каждой из оцениваемых характеристик.</w:t>
      </w:r>
    </w:p>
    <w:p w:rsidR="00B07AB8" w:rsidRPr="006A7039" w:rsidRDefault="00B07AB8" w:rsidP="00103148">
      <w:pPr>
        <w:spacing w:after="0" w:line="312" w:lineRule="auto"/>
        <w:ind w:left="-426" w:firstLine="284"/>
        <w:jc w:val="both"/>
        <w:rPr>
          <w:rFonts w:ascii="Arial Narrow" w:hAnsi="Arial Narrow"/>
          <w:b/>
          <w:sz w:val="24"/>
          <w:szCs w:val="24"/>
        </w:rPr>
      </w:pPr>
      <w:r w:rsidRPr="006A7039">
        <w:rPr>
          <w:rFonts w:ascii="Arial Narrow" w:hAnsi="Arial Narrow"/>
          <w:b/>
          <w:sz w:val="24"/>
          <w:szCs w:val="24"/>
        </w:rPr>
        <w:t>3. Повышение информационной открытости деятельности естественных монополий Новосибирской области посредством размещения на официальных сайтах субъектов естественных монополий информации о своей деятельности, подлежащей раскрытию в соответствии с законодательством Российской Федерации (согласно п. 2.6.20 «Дорожной карты» достижения целевых значений показателей мероприятий по содействию развитию конкуренции на территории Новосибирской области до 2018 года, утв. Постановлением губернатора Новосибирской области от 15.06.2016 № 143), в том числе:</w:t>
      </w:r>
    </w:p>
    <w:p w:rsidR="00B07AB8" w:rsidRPr="006A7039" w:rsidRDefault="00B07AB8" w:rsidP="00103148">
      <w:pPr>
        <w:pStyle w:val="affffe"/>
        <w:widowControl w:val="0"/>
        <w:spacing w:line="312" w:lineRule="auto"/>
        <w:ind w:left="-426" w:firstLine="284"/>
        <w:rPr>
          <w:rFonts w:ascii="Arial Narrow" w:hAnsi="Arial Narrow"/>
          <w:color w:val="000000"/>
          <w:sz w:val="24"/>
          <w:szCs w:val="24"/>
        </w:rPr>
      </w:pPr>
      <w:r w:rsidRPr="006A7039">
        <w:rPr>
          <w:rFonts w:ascii="Arial Narrow" w:hAnsi="Arial Narrow"/>
          <w:color w:val="000000"/>
          <w:sz w:val="24"/>
          <w:szCs w:val="24"/>
        </w:rPr>
        <w:t>- о реализуемых и планируемых к реализации на территории Новосибирской области инвестиционных программах, включая ключевые показатели эффективности реализации таких программ;</w:t>
      </w:r>
    </w:p>
    <w:p w:rsidR="00B07AB8" w:rsidRPr="006A7039" w:rsidRDefault="00B07AB8" w:rsidP="00103148">
      <w:pPr>
        <w:pStyle w:val="affffe"/>
        <w:widowControl w:val="0"/>
        <w:spacing w:line="312" w:lineRule="auto"/>
        <w:ind w:left="-426" w:firstLine="284"/>
        <w:rPr>
          <w:rFonts w:ascii="Arial Narrow" w:hAnsi="Arial Narrow"/>
          <w:color w:val="000000"/>
          <w:sz w:val="24"/>
          <w:szCs w:val="24"/>
        </w:rPr>
      </w:pPr>
      <w:r w:rsidRPr="006A7039">
        <w:rPr>
          <w:rFonts w:ascii="Arial Narrow" w:hAnsi="Arial Narrow"/>
          <w:color w:val="000000"/>
          <w:sz w:val="24"/>
          <w:szCs w:val="24"/>
        </w:rPr>
        <w:t>- о результатах технологического и ценового аудита инвестиционных проектов с указанием экспертной организации, осуществляющей технологический и ценовой аудит, информации – о параметрах заключенного с такой экспертной организацией договора на проведение технологического и ценового аудита (техническое задание, цена договора, сроки исполнения этапов работ по договору), а также итоги экспертного обсуждения результатов технологического и ценового аудита представителями потребителей товаров, работ и услуг, задействованных в механизмах общественного контроля за деятельностью субъектов естественных монополий;</w:t>
      </w:r>
    </w:p>
    <w:p w:rsidR="00B07AB8" w:rsidRPr="006A7039" w:rsidRDefault="00B07AB8" w:rsidP="00103148">
      <w:pPr>
        <w:spacing w:after="0" w:line="312" w:lineRule="auto"/>
        <w:ind w:left="-426" w:firstLine="284"/>
        <w:jc w:val="both"/>
        <w:rPr>
          <w:rFonts w:ascii="Arial Narrow" w:hAnsi="Arial Narrow"/>
          <w:sz w:val="24"/>
          <w:szCs w:val="24"/>
        </w:rPr>
      </w:pPr>
      <w:r w:rsidRPr="006A7039">
        <w:rPr>
          <w:rFonts w:ascii="Arial Narrow" w:hAnsi="Arial Narrow"/>
          <w:sz w:val="24"/>
          <w:szCs w:val="24"/>
        </w:rPr>
        <w:t>- о структуре тарифов на услуги (включая проект тарифной заявки), параметрах качества и надежности предоставляемых товаров, работ и услуг, стандартах качества товаров, работ и услуг (стандартах качества обслуживания потребителей товаров, работ и услуг) и процедур предоставления товаров, работ и услуг потребителям, а также о наличии в составе инвестиционного комитета при совете директоров субъектов естественных монополий представителей потребителей товаров, работ и услуг субъектов естественных монополий и независимых экспертов.</w:t>
      </w:r>
    </w:p>
    <w:p w:rsidR="00B07AB8" w:rsidRPr="006A7039" w:rsidRDefault="00B07AB8" w:rsidP="00103148">
      <w:pPr>
        <w:tabs>
          <w:tab w:val="left" w:pos="142"/>
        </w:tabs>
        <w:spacing w:after="0" w:line="312" w:lineRule="auto"/>
        <w:ind w:left="-426"/>
        <w:jc w:val="both"/>
        <w:rPr>
          <w:rFonts w:ascii="Arial Narrow" w:hAnsi="Arial Narrow"/>
          <w:b/>
          <w:sz w:val="24"/>
          <w:szCs w:val="24"/>
        </w:rPr>
      </w:pPr>
      <w:r w:rsidRPr="006A7039">
        <w:rPr>
          <w:rFonts w:ascii="Arial Narrow" w:hAnsi="Arial Narrow"/>
          <w:b/>
          <w:sz w:val="24"/>
          <w:szCs w:val="24"/>
        </w:rPr>
        <w:t>4. Сохранение ценовой доступности для населения Новосибирской области услуг пассажирского пригородного железнодорожного транспорта в результате государственного регулирования тарифов на перевозку пассажиров (согласно п. 17 Приложения к «Дорожной карте» достижения целевых значений показателей мероприятий по содействию развитию конкуренции на территории Новосибирской области до 2018 г</w:t>
      </w:r>
      <w:r w:rsidR="00103148" w:rsidRPr="006A7039">
        <w:rPr>
          <w:rFonts w:ascii="Arial Narrow" w:hAnsi="Arial Narrow"/>
          <w:b/>
          <w:sz w:val="24"/>
          <w:szCs w:val="24"/>
        </w:rPr>
        <w:t>.</w:t>
      </w:r>
      <w:r w:rsidRPr="006A7039">
        <w:rPr>
          <w:rFonts w:ascii="Arial Narrow" w:hAnsi="Arial Narrow"/>
          <w:b/>
          <w:sz w:val="24"/>
          <w:szCs w:val="24"/>
        </w:rPr>
        <w:t>).</w:t>
      </w:r>
    </w:p>
    <w:p w:rsidR="004D5720" w:rsidRPr="006A7039" w:rsidRDefault="00B07AB8" w:rsidP="00103148">
      <w:pPr>
        <w:spacing w:after="0" w:line="312" w:lineRule="auto"/>
        <w:ind w:left="-426" w:firstLine="284"/>
        <w:jc w:val="both"/>
        <w:rPr>
          <w:rFonts w:ascii="Arial Narrow" w:hAnsi="Arial Narrow"/>
          <w:b/>
          <w:sz w:val="24"/>
          <w:szCs w:val="24"/>
        </w:rPr>
      </w:pPr>
      <w:r w:rsidRPr="006A7039">
        <w:rPr>
          <w:rFonts w:ascii="Arial Narrow" w:hAnsi="Arial Narrow"/>
          <w:b/>
          <w:sz w:val="24"/>
          <w:szCs w:val="24"/>
        </w:rPr>
        <w:t>5. Разработка мер, направленных на снижение барьеров при подключении услуг естественных монополий (электроснабжения, водоснабжения/водоотведения, газоснабжения, теплоснабжения), а именно: стоимости подключения, сроков подключения, сложности (количества) процедур подключения.</w:t>
      </w:r>
    </w:p>
    <w:p w:rsidR="004D5720" w:rsidRDefault="004D5720" w:rsidP="00103148">
      <w:pPr>
        <w:spacing w:after="0" w:line="312" w:lineRule="auto"/>
        <w:rPr>
          <w:rFonts w:ascii="Arial Narrow" w:hAnsi="Arial Narrow"/>
          <w:b/>
          <w:sz w:val="24"/>
          <w:szCs w:val="24"/>
        </w:rPr>
      </w:pPr>
      <w:r>
        <w:rPr>
          <w:rFonts w:ascii="Arial Narrow" w:hAnsi="Arial Narrow"/>
          <w:b/>
          <w:sz w:val="24"/>
          <w:szCs w:val="24"/>
        </w:rPr>
        <w:br w:type="page"/>
      </w:r>
    </w:p>
    <w:p w:rsidR="004D5720" w:rsidRPr="00210171" w:rsidRDefault="00740255" w:rsidP="00C929E4">
      <w:pPr>
        <w:pStyle w:val="1"/>
        <w:jc w:val="both"/>
        <w:rPr>
          <w:rFonts w:ascii="Arial Narrow" w:hAnsi="Arial Narrow"/>
        </w:rPr>
      </w:pPr>
      <w:bookmarkStart w:id="73" w:name="_Toc470587938"/>
      <w:r>
        <w:rPr>
          <w:rFonts w:ascii="Arial Narrow" w:hAnsi="Arial Narrow"/>
        </w:rPr>
        <w:lastRenderedPageBreak/>
        <w:t>РАЗДЕЛ</w:t>
      </w:r>
      <w:r w:rsidR="004D5720" w:rsidRPr="00210171">
        <w:rPr>
          <w:rFonts w:ascii="Arial Narrow" w:hAnsi="Arial Narrow"/>
        </w:rPr>
        <w:t xml:space="preserve"> 6. </w:t>
      </w:r>
      <w:r w:rsidR="004D5720" w:rsidRPr="00210171">
        <w:rPr>
          <w:rFonts w:ascii="Arial Narrow" w:eastAsia="SimSun" w:hAnsi="Arial Narrow"/>
        </w:rPr>
        <w:t>Аналитический отчет о результатах мониторинга деятельности хозяйствующих субъектов, доля участия Новосибирской области или муниципального образования в которых составляет 50 и более процентов</w:t>
      </w:r>
      <w:bookmarkEnd w:id="73"/>
    </w:p>
    <w:p w:rsidR="004D5720" w:rsidRPr="00CD7F01" w:rsidRDefault="004D5720" w:rsidP="004D5720">
      <w:pPr>
        <w:pStyle w:val="a5"/>
        <w:ind w:firstLine="567"/>
        <w:jc w:val="both"/>
        <w:rPr>
          <w:rFonts w:ascii="Arial Narrow" w:hAnsi="Arial Narrow"/>
          <w:sz w:val="24"/>
          <w:szCs w:val="24"/>
        </w:rPr>
      </w:pPr>
    </w:p>
    <w:p w:rsidR="004D5720" w:rsidRPr="00A10F53" w:rsidRDefault="004D5720" w:rsidP="00103148">
      <w:pPr>
        <w:pStyle w:val="a5"/>
        <w:spacing w:line="360" w:lineRule="auto"/>
        <w:ind w:firstLine="284"/>
        <w:jc w:val="both"/>
        <w:rPr>
          <w:rFonts w:ascii="Arial Narrow" w:hAnsi="Arial Narrow"/>
          <w:sz w:val="24"/>
          <w:szCs w:val="24"/>
        </w:rPr>
      </w:pPr>
      <w:r w:rsidRPr="00A10F53">
        <w:rPr>
          <w:rFonts w:ascii="Arial Narrow" w:hAnsi="Arial Narrow"/>
          <w:sz w:val="24"/>
          <w:szCs w:val="24"/>
        </w:rPr>
        <w:t>В данном аналитическом отчете содержатся выводы по итогам оценки деятельности хозяйствующих субъектов, доля участия субъекта Российской Федерации или муниципального образования в которых составляет 50 и более процентов (за исключением предприятий, осуществляющих деятельность в сферах, связанных с обеспечением обороны и безопасности государства, а также включенных в перечень стратегических предприятий) по перечню предприятий, предоставленному Заказчиком.</w:t>
      </w:r>
    </w:p>
    <w:p w:rsidR="004D5720" w:rsidRPr="00A10F53" w:rsidRDefault="004D5720" w:rsidP="00103148">
      <w:pPr>
        <w:shd w:val="clear" w:color="auto" w:fill="FFFFFF"/>
        <w:spacing w:after="0" w:line="360" w:lineRule="auto"/>
        <w:ind w:firstLine="284"/>
        <w:jc w:val="both"/>
        <w:rPr>
          <w:rFonts w:ascii="Arial Narrow" w:hAnsi="Arial Narrow"/>
          <w:bCs/>
          <w:sz w:val="24"/>
          <w:szCs w:val="24"/>
        </w:rPr>
      </w:pPr>
      <w:r>
        <w:rPr>
          <w:rFonts w:ascii="Arial Narrow" w:hAnsi="Arial Narrow"/>
          <w:sz w:val="24"/>
          <w:szCs w:val="24"/>
        </w:rPr>
        <w:t xml:space="preserve">База данных, из которой получена информация, представленная в настоящем разделе, сформирована на основе информации по каждому рынку и предоставлена Заказчиком (по состоянию на конец 2015 г.). </w:t>
      </w:r>
      <w:r>
        <w:rPr>
          <w:rFonts w:ascii="Arial Narrow" w:hAnsi="Arial Narrow"/>
          <w:bCs/>
          <w:sz w:val="24"/>
          <w:szCs w:val="24"/>
        </w:rPr>
        <w:t>Исходная информация базы данных</w:t>
      </w:r>
      <w:r w:rsidRPr="00A10F53">
        <w:rPr>
          <w:rFonts w:ascii="Arial Narrow" w:hAnsi="Arial Narrow"/>
          <w:bCs/>
          <w:sz w:val="24"/>
          <w:szCs w:val="24"/>
        </w:rPr>
        <w:t xml:space="preserve"> дополнена </w:t>
      </w:r>
      <w:r>
        <w:rPr>
          <w:rFonts w:ascii="Arial Narrow" w:hAnsi="Arial Narrow"/>
          <w:bCs/>
          <w:sz w:val="24"/>
          <w:szCs w:val="24"/>
        </w:rPr>
        <w:t>информацией</w:t>
      </w:r>
      <w:r w:rsidRPr="00A10F53">
        <w:rPr>
          <w:rFonts w:ascii="Arial Narrow" w:hAnsi="Arial Narrow"/>
          <w:bCs/>
          <w:sz w:val="24"/>
          <w:szCs w:val="24"/>
        </w:rPr>
        <w:t xml:space="preserve"> о территориальном месторасположении </w:t>
      </w:r>
      <w:r>
        <w:rPr>
          <w:rFonts w:ascii="Arial Narrow" w:hAnsi="Arial Narrow"/>
          <w:bCs/>
          <w:sz w:val="24"/>
          <w:szCs w:val="24"/>
        </w:rPr>
        <w:t>организаций</w:t>
      </w:r>
      <w:r w:rsidRPr="00A10F53">
        <w:rPr>
          <w:rFonts w:ascii="Arial Narrow" w:hAnsi="Arial Narrow"/>
          <w:bCs/>
          <w:sz w:val="24"/>
          <w:szCs w:val="24"/>
        </w:rPr>
        <w:t xml:space="preserve">. </w:t>
      </w:r>
    </w:p>
    <w:p w:rsidR="004D5720" w:rsidRDefault="004D5720" w:rsidP="00103148">
      <w:pPr>
        <w:pStyle w:val="a5"/>
        <w:spacing w:line="360" w:lineRule="auto"/>
        <w:ind w:firstLine="284"/>
        <w:jc w:val="both"/>
        <w:rPr>
          <w:rFonts w:ascii="Arial Narrow" w:hAnsi="Arial Narrow"/>
          <w:sz w:val="24"/>
          <w:szCs w:val="24"/>
        </w:rPr>
      </w:pPr>
      <w:r>
        <w:rPr>
          <w:rFonts w:ascii="Arial Narrow" w:hAnsi="Arial Narrow"/>
          <w:sz w:val="24"/>
          <w:szCs w:val="24"/>
        </w:rPr>
        <w:t xml:space="preserve">База данных представлена в Приложении 7, в формате электронных таблиц, на </w:t>
      </w:r>
      <w:r>
        <w:rPr>
          <w:rFonts w:ascii="Arial Narrow" w:hAnsi="Arial Narrow"/>
          <w:sz w:val="24"/>
          <w:szCs w:val="24"/>
          <w:lang w:val="en-US"/>
        </w:rPr>
        <w:t>CD</w:t>
      </w:r>
      <w:r w:rsidRPr="00563B94">
        <w:rPr>
          <w:rFonts w:ascii="Arial Narrow" w:hAnsi="Arial Narrow"/>
          <w:sz w:val="24"/>
          <w:szCs w:val="24"/>
        </w:rPr>
        <w:t>-</w:t>
      </w:r>
      <w:r>
        <w:rPr>
          <w:rFonts w:ascii="Arial Narrow" w:hAnsi="Arial Narrow"/>
          <w:sz w:val="24"/>
          <w:szCs w:val="24"/>
        </w:rPr>
        <w:t>диске, файл Приложение 7.</w:t>
      </w:r>
    </w:p>
    <w:p w:rsidR="004D5720" w:rsidRPr="00A10F53" w:rsidRDefault="004D5720" w:rsidP="00103148">
      <w:pPr>
        <w:pStyle w:val="a5"/>
        <w:spacing w:line="360" w:lineRule="auto"/>
        <w:ind w:firstLine="284"/>
        <w:jc w:val="both"/>
        <w:rPr>
          <w:rFonts w:ascii="Arial Narrow" w:hAnsi="Arial Narrow"/>
          <w:sz w:val="24"/>
          <w:szCs w:val="24"/>
        </w:rPr>
      </w:pPr>
      <w:r>
        <w:rPr>
          <w:rFonts w:ascii="Arial Narrow" w:hAnsi="Arial Narrow"/>
          <w:sz w:val="24"/>
          <w:szCs w:val="24"/>
        </w:rPr>
        <w:t>Согласно описанию объекта закупки, мониторинг должен содержать следующие показатели</w:t>
      </w:r>
      <w:r w:rsidRPr="00A10F53">
        <w:rPr>
          <w:rFonts w:ascii="Arial Narrow" w:hAnsi="Arial Narrow"/>
          <w:sz w:val="24"/>
          <w:szCs w:val="24"/>
        </w:rPr>
        <w:t>:</w:t>
      </w:r>
    </w:p>
    <w:p w:rsidR="004D5720" w:rsidRPr="00A10F53" w:rsidRDefault="004D5720" w:rsidP="00103148">
      <w:pPr>
        <w:spacing w:after="0" w:line="360" w:lineRule="auto"/>
        <w:ind w:firstLine="284"/>
        <w:jc w:val="both"/>
        <w:rPr>
          <w:rFonts w:ascii="Arial Narrow" w:hAnsi="Arial Narrow"/>
          <w:bCs/>
          <w:sz w:val="24"/>
          <w:szCs w:val="24"/>
        </w:rPr>
      </w:pPr>
      <w:r w:rsidRPr="00A10F53">
        <w:rPr>
          <w:rFonts w:ascii="Arial Narrow" w:hAnsi="Arial Narrow"/>
          <w:bCs/>
          <w:sz w:val="24"/>
          <w:szCs w:val="24"/>
        </w:rPr>
        <w:t>1. Доли участия государства (Новосибирской области и муниципальных образований) в каждом хозяйствующем субъекте.</w:t>
      </w:r>
    </w:p>
    <w:p w:rsidR="004D5720" w:rsidRPr="00A10F53" w:rsidRDefault="004D5720" w:rsidP="00103148">
      <w:pPr>
        <w:spacing w:after="0" w:line="360" w:lineRule="auto"/>
        <w:ind w:firstLine="284"/>
        <w:jc w:val="both"/>
        <w:rPr>
          <w:rFonts w:ascii="Arial Narrow" w:hAnsi="Arial Narrow"/>
          <w:bCs/>
          <w:sz w:val="24"/>
          <w:szCs w:val="24"/>
        </w:rPr>
      </w:pPr>
      <w:r w:rsidRPr="00A10F53">
        <w:rPr>
          <w:rFonts w:ascii="Arial Narrow" w:hAnsi="Arial Narrow"/>
          <w:bCs/>
          <w:sz w:val="24"/>
          <w:szCs w:val="24"/>
        </w:rPr>
        <w:t>2. Рынки присутствия каждого хозяйствующего субъекта.</w:t>
      </w:r>
    </w:p>
    <w:p w:rsidR="004D5720" w:rsidRPr="00A10F53" w:rsidRDefault="004D5720" w:rsidP="00103148">
      <w:pPr>
        <w:shd w:val="clear" w:color="auto" w:fill="FFFFFF"/>
        <w:spacing w:after="0" w:line="360" w:lineRule="auto"/>
        <w:ind w:firstLine="284"/>
        <w:jc w:val="both"/>
        <w:rPr>
          <w:rFonts w:ascii="Arial Narrow" w:hAnsi="Arial Narrow"/>
          <w:bCs/>
          <w:sz w:val="24"/>
          <w:szCs w:val="24"/>
        </w:rPr>
      </w:pPr>
      <w:r w:rsidRPr="00B85E1A">
        <w:rPr>
          <w:rFonts w:ascii="Arial Narrow" w:hAnsi="Arial Narrow"/>
          <w:bCs/>
          <w:sz w:val="24"/>
          <w:szCs w:val="24"/>
        </w:rPr>
        <w:t>3. Доли занимаемого каждым хозяйствующим субъектом рынка (как в стоимостном, так и в натуральном выражении).</w:t>
      </w:r>
    </w:p>
    <w:p w:rsidR="004D5720" w:rsidRDefault="004D5720" w:rsidP="00103148">
      <w:pPr>
        <w:shd w:val="clear" w:color="auto" w:fill="FFFFFF"/>
        <w:spacing w:after="0" w:line="360" w:lineRule="auto"/>
        <w:ind w:firstLine="284"/>
        <w:jc w:val="both"/>
        <w:rPr>
          <w:rFonts w:ascii="Arial Narrow" w:hAnsi="Arial Narrow"/>
          <w:bCs/>
          <w:sz w:val="24"/>
          <w:szCs w:val="24"/>
        </w:rPr>
      </w:pPr>
      <w:r w:rsidRPr="00A10F53">
        <w:rPr>
          <w:rFonts w:ascii="Arial Narrow" w:hAnsi="Arial Narrow"/>
          <w:bCs/>
          <w:sz w:val="24"/>
          <w:szCs w:val="24"/>
        </w:rPr>
        <w:t>4. Объемы финансирования каждого хозяйствующего субъекта из бюджета субъекта РФ и бюджетов муниципальных образований.</w:t>
      </w:r>
    </w:p>
    <w:p w:rsidR="004D5720" w:rsidRDefault="004D5720" w:rsidP="00103148">
      <w:pPr>
        <w:shd w:val="clear" w:color="auto" w:fill="FFFFFF"/>
        <w:spacing w:after="0" w:line="360" w:lineRule="auto"/>
        <w:ind w:firstLine="284"/>
        <w:jc w:val="both"/>
        <w:rPr>
          <w:rFonts w:ascii="Arial Narrow" w:hAnsi="Arial Narrow"/>
          <w:bCs/>
          <w:sz w:val="24"/>
          <w:szCs w:val="24"/>
        </w:rPr>
      </w:pPr>
      <w:r>
        <w:rPr>
          <w:rFonts w:ascii="Arial Narrow" w:hAnsi="Arial Narrow"/>
          <w:bCs/>
          <w:sz w:val="24"/>
          <w:szCs w:val="24"/>
        </w:rPr>
        <w:t>Все показатели получены исходя из предоставленной Заказчиком информации о государственных и муниципальных организациях. При расчете доли занимаемого каждым хозяйствующим субъектом рынка (как в стоимостном, так и в натуральном выражении) под хозяйствующими субъектами понимаются организации с долей государственной/муниципальной собственности 50 % и более, под рынком – сферы деятельности данных организаций.</w:t>
      </w:r>
    </w:p>
    <w:p w:rsidR="004D5720" w:rsidRPr="00130274" w:rsidRDefault="004D5720" w:rsidP="00103148">
      <w:pPr>
        <w:shd w:val="clear" w:color="auto" w:fill="FFFFFF"/>
        <w:spacing w:after="0" w:line="360" w:lineRule="auto"/>
        <w:ind w:firstLine="284"/>
        <w:jc w:val="both"/>
        <w:rPr>
          <w:rFonts w:ascii="Arial Narrow" w:eastAsia="SimSun" w:hAnsi="Arial Narrow"/>
          <w:sz w:val="24"/>
          <w:szCs w:val="24"/>
        </w:rPr>
      </w:pPr>
      <w:r w:rsidRPr="00A10F53">
        <w:rPr>
          <w:rFonts w:ascii="Arial Narrow" w:eastAsia="SimSun" w:hAnsi="Arial Narrow"/>
          <w:b/>
          <w:sz w:val="24"/>
          <w:szCs w:val="24"/>
        </w:rPr>
        <w:t xml:space="preserve">Суммарное </w:t>
      </w:r>
      <w:r w:rsidRPr="00130274">
        <w:rPr>
          <w:rFonts w:ascii="Arial Narrow" w:eastAsia="SimSun" w:hAnsi="Arial Narrow"/>
          <w:b/>
          <w:sz w:val="24"/>
          <w:szCs w:val="24"/>
        </w:rPr>
        <w:t>количество хозяйствующих субъектов</w:t>
      </w:r>
      <w:r w:rsidRPr="00130274">
        <w:rPr>
          <w:rFonts w:ascii="Arial Narrow" w:eastAsia="SimSun" w:hAnsi="Arial Narrow"/>
          <w:sz w:val="24"/>
          <w:szCs w:val="24"/>
        </w:rPr>
        <w:t xml:space="preserve">, доля собственности в которых региональных или муниципальных органов власти составляет 50 % и более, составляет </w:t>
      </w:r>
      <w:r w:rsidR="00EB5DE0" w:rsidRPr="00130274">
        <w:rPr>
          <w:rFonts w:ascii="Arial Narrow" w:eastAsia="SimSun" w:hAnsi="Arial Narrow"/>
          <w:sz w:val="24"/>
          <w:szCs w:val="24"/>
        </w:rPr>
        <w:t>3067</w:t>
      </w:r>
      <w:r w:rsidRPr="00130274">
        <w:rPr>
          <w:rFonts w:ascii="Arial Narrow" w:eastAsia="SimSun" w:hAnsi="Arial Narrow"/>
          <w:sz w:val="24"/>
          <w:szCs w:val="24"/>
        </w:rPr>
        <w:t xml:space="preserve"> предприятий. Из них 1797 на 50 % и более принадлежат региональным органам власти (</w:t>
      </w:r>
      <w:r w:rsidR="00EB5DE0" w:rsidRPr="00130274">
        <w:rPr>
          <w:rFonts w:ascii="Arial Narrow" w:eastAsia="SimSun" w:hAnsi="Arial Narrow"/>
          <w:sz w:val="24"/>
          <w:szCs w:val="24"/>
        </w:rPr>
        <w:t>58,6</w:t>
      </w:r>
      <w:r w:rsidRPr="00130274">
        <w:rPr>
          <w:rFonts w:ascii="Arial Narrow" w:eastAsia="SimSun" w:hAnsi="Arial Narrow"/>
          <w:sz w:val="24"/>
          <w:szCs w:val="24"/>
        </w:rPr>
        <w:t xml:space="preserve"> % от общего количества организаций с долей собственности региональных или местных органов власти 50 % и более) и </w:t>
      </w:r>
      <w:r w:rsidR="00EB5DE0" w:rsidRPr="00130274">
        <w:rPr>
          <w:rFonts w:ascii="Arial Narrow" w:eastAsia="SimSun" w:hAnsi="Arial Narrow"/>
          <w:sz w:val="24"/>
          <w:szCs w:val="24"/>
        </w:rPr>
        <w:t>1270</w:t>
      </w:r>
      <w:r w:rsidRPr="00130274">
        <w:rPr>
          <w:rFonts w:ascii="Arial Narrow" w:eastAsia="SimSun" w:hAnsi="Arial Narrow"/>
          <w:sz w:val="24"/>
          <w:szCs w:val="24"/>
        </w:rPr>
        <w:t xml:space="preserve"> – муниципальным органам власти (</w:t>
      </w:r>
      <w:r w:rsidR="00EB5DE0" w:rsidRPr="00130274">
        <w:rPr>
          <w:rFonts w:ascii="Arial Narrow" w:eastAsia="SimSun" w:hAnsi="Arial Narrow"/>
          <w:sz w:val="24"/>
          <w:szCs w:val="24"/>
        </w:rPr>
        <w:t>41,4</w:t>
      </w:r>
      <w:r w:rsidRPr="00130274">
        <w:rPr>
          <w:rFonts w:ascii="Arial Narrow" w:eastAsia="SimSun" w:hAnsi="Arial Narrow"/>
          <w:sz w:val="24"/>
          <w:szCs w:val="24"/>
        </w:rPr>
        <w:t xml:space="preserve"> % от общего количества данных организаций).</w:t>
      </w:r>
    </w:p>
    <w:p w:rsidR="004D5720" w:rsidRPr="00130274" w:rsidRDefault="00B13240" w:rsidP="00103148">
      <w:pPr>
        <w:shd w:val="clear" w:color="auto" w:fill="FFFFFF"/>
        <w:spacing w:after="0" w:line="360" w:lineRule="auto"/>
        <w:ind w:firstLine="284"/>
        <w:jc w:val="both"/>
        <w:rPr>
          <w:rFonts w:ascii="Arial Narrow" w:eastAsia="SimSun" w:hAnsi="Arial Narrow"/>
          <w:sz w:val="24"/>
          <w:szCs w:val="24"/>
        </w:rPr>
      </w:pPr>
      <w:r w:rsidRPr="00B13240">
        <w:rPr>
          <w:rFonts w:ascii="Arial Narrow" w:eastAsia="SimSun" w:hAnsi="Arial Narrow"/>
          <w:b/>
          <w:sz w:val="24"/>
          <w:szCs w:val="24"/>
        </w:rPr>
        <w:lastRenderedPageBreak/>
        <w:t>Структура размещения организаций по муниципальным образованиям</w:t>
      </w:r>
      <w:r w:rsidRPr="00B13240">
        <w:rPr>
          <w:rFonts w:ascii="Arial Narrow" w:eastAsia="SimSun" w:hAnsi="Arial Narrow"/>
          <w:sz w:val="24"/>
          <w:szCs w:val="24"/>
        </w:rPr>
        <w:t xml:space="preserve"> представлена в таблице 6.1. Больше всего организаций с долей региональной или муниципальной собственности 50 % и более размещено в г. Новосибирске (671 или 21,9 % от общего количества), на втором месте – Новосибирский район (121 или 3,9 %), на третьем месте – Искитимский район (114 или 3,7%), на четвертом – Тогучинский район (103 или 3,4%). В каждом из остальных муниципальных образований расположено менее 100 хозяйствующих субъектов данного вида: численность хозяйствующих субъектов с долей государственной или муниципальной собственности 50 % и более монотонно снижается с 97 (Краснозерский район) до 10 организаций (г. Обь).</w:t>
      </w:r>
    </w:p>
    <w:p w:rsidR="004865F9" w:rsidRPr="00130274" w:rsidRDefault="004865F9" w:rsidP="00103148">
      <w:pPr>
        <w:shd w:val="clear" w:color="auto" w:fill="FFFFFF"/>
        <w:spacing w:after="0" w:line="360" w:lineRule="auto"/>
        <w:ind w:firstLine="284"/>
        <w:jc w:val="both"/>
        <w:rPr>
          <w:rFonts w:ascii="Arial Narrow" w:eastAsia="SimSun" w:hAnsi="Arial Narrow"/>
          <w:sz w:val="24"/>
          <w:szCs w:val="24"/>
        </w:rPr>
      </w:pPr>
    </w:p>
    <w:p w:rsidR="004D5720" w:rsidRPr="00130274" w:rsidRDefault="00B13240" w:rsidP="00BF6DC4">
      <w:pPr>
        <w:shd w:val="clear" w:color="auto" w:fill="FFFFFF"/>
        <w:spacing w:after="0" w:line="240" w:lineRule="auto"/>
        <w:rPr>
          <w:rFonts w:ascii="Arial Narrow" w:eastAsia="SimSun" w:hAnsi="Arial Narrow"/>
          <w:sz w:val="24"/>
          <w:szCs w:val="24"/>
        </w:rPr>
      </w:pPr>
      <w:r>
        <w:rPr>
          <w:rFonts w:ascii="Arial Narrow" w:eastAsia="SimSun" w:hAnsi="Arial Narrow"/>
          <w:sz w:val="24"/>
          <w:szCs w:val="24"/>
        </w:rPr>
        <w:t xml:space="preserve">Таблица 6.1 – </w:t>
      </w:r>
      <w:r>
        <w:rPr>
          <w:rFonts w:ascii="Arial Narrow" w:eastAsia="SimSun" w:hAnsi="Arial Narrow"/>
          <w:b/>
          <w:sz w:val="24"/>
          <w:szCs w:val="24"/>
        </w:rPr>
        <w:t>Распределение предприятий с долей государственной/муниципальной собственности 50 % и более по территориям</w:t>
      </w:r>
    </w:p>
    <w:tbl>
      <w:tblPr>
        <w:tblW w:w="9923" w:type="dxa"/>
        <w:tblInd w:w="108" w:type="dxa"/>
        <w:tblLook w:val="04A0"/>
      </w:tblPr>
      <w:tblGrid>
        <w:gridCol w:w="960"/>
        <w:gridCol w:w="4427"/>
        <w:gridCol w:w="2268"/>
        <w:gridCol w:w="2268"/>
      </w:tblGrid>
      <w:tr w:rsidR="00B35ADA" w:rsidRPr="00130274" w:rsidTr="006A7039">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35ADA" w:rsidRPr="00130274" w:rsidRDefault="00B13240" w:rsidP="00281482">
            <w:pPr>
              <w:spacing w:after="0" w:line="240" w:lineRule="auto"/>
              <w:jc w:val="center"/>
              <w:rPr>
                <w:rFonts w:ascii="Arial Narrow" w:eastAsia="Times New Roman" w:hAnsi="Arial Narrow" w:cs="Times New Roman"/>
                <w:b/>
                <w:sz w:val="20"/>
                <w:szCs w:val="20"/>
                <w:lang w:eastAsia="ru-RU"/>
              </w:rPr>
            </w:pPr>
            <w:r w:rsidRPr="00B13240">
              <w:rPr>
                <w:rFonts w:ascii="Arial Narrow" w:eastAsia="Times New Roman" w:hAnsi="Arial Narrow" w:cs="Times New Roman"/>
                <w:b/>
                <w:sz w:val="20"/>
                <w:szCs w:val="20"/>
                <w:lang w:eastAsia="ru-RU"/>
              </w:rPr>
              <w:t> </w:t>
            </w:r>
          </w:p>
        </w:tc>
        <w:tc>
          <w:tcPr>
            <w:tcW w:w="4427" w:type="dxa"/>
            <w:tcBorders>
              <w:top w:val="single" w:sz="4" w:space="0" w:color="auto"/>
              <w:left w:val="nil"/>
              <w:bottom w:val="single" w:sz="4" w:space="0" w:color="auto"/>
              <w:right w:val="single" w:sz="4" w:space="0" w:color="auto"/>
            </w:tcBorders>
            <w:shd w:val="clear" w:color="auto" w:fill="auto"/>
            <w:vAlign w:val="center"/>
            <w:hideMark/>
          </w:tcPr>
          <w:p w:rsidR="00B35ADA" w:rsidRPr="00130274" w:rsidRDefault="00B13240" w:rsidP="00281482">
            <w:pPr>
              <w:spacing w:after="0" w:line="240" w:lineRule="auto"/>
              <w:jc w:val="center"/>
              <w:rPr>
                <w:rFonts w:ascii="Arial Narrow" w:eastAsia="Times New Roman" w:hAnsi="Arial Narrow" w:cs="Times New Roman"/>
                <w:b/>
                <w:sz w:val="20"/>
                <w:szCs w:val="20"/>
                <w:lang w:eastAsia="ru-RU"/>
              </w:rPr>
            </w:pPr>
            <w:r w:rsidRPr="00B13240">
              <w:rPr>
                <w:rFonts w:ascii="Arial Narrow" w:eastAsia="Times New Roman" w:hAnsi="Arial Narrow" w:cs="Times New Roman"/>
                <w:b/>
                <w:sz w:val="20"/>
                <w:szCs w:val="20"/>
                <w:lang w:eastAsia="ru-RU"/>
              </w:rPr>
              <w:t>Муниципальное образование</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B35ADA" w:rsidRPr="00130274" w:rsidRDefault="00B13240" w:rsidP="00281482">
            <w:pPr>
              <w:spacing w:after="0" w:line="240" w:lineRule="auto"/>
              <w:jc w:val="center"/>
              <w:rPr>
                <w:rFonts w:ascii="Arial Narrow" w:eastAsia="Times New Roman" w:hAnsi="Arial Narrow" w:cs="Times New Roman"/>
                <w:b/>
                <w:sz w:val="20"/>
                <w:szCs w:val="20"/>
                <w:lang w:eastAsia="ru-RU"/>
              </w:rPr>
            </w:pPr>
            <w:r w:rsidRPr="00B13240">
              <w:rPr>
                <w:rFonts w:ascii="Arial Narrow" w:eastAsia="Times New Roman" w:hAnsi="Arial Narrow" w:cs="Times New Roman"/>
                <w:b/>
                <w:sz w:val="20"/>
                <w:szCs w:val="20"/>
                <w:lang w:eastAsia="ru-RU"/>
              </w:rPr>
              <w:t>Количество организаций</w:t>
            </w:r>
          </w:p>
        </w:tc>
        <w:tc>
          <w:tcPr>
            <w:tcW w:w="2268" w:type="dxa"/>
            <w:tcBorders>
              <w:top w:val="single" w:sz="4" w:space="0" w:color="auto"/>
              <w:left w:val="nil"/>
              <w:bottom w:val="single" w:sz="4" w:space="0" w:color="auto"/>
              <w:right w:val="single" w:sz="4" w:space="0" w:color="auto"/>
            </w:tcBorders>
            <w:shd w:val="clear" w:color="auto" w:fill="auto"/>
            <w:noWrap/>
            <w:vAlign w:val="center"/>
            <w:hideMark/>
          </w:tcPr>
          <w:p w:rsidR="00B35ADA" w:rsidRPr="00130274" w:rsidRDefault="00B13240" w:rsidP="00281482">
            <w:pPr>
              <w:spacing w:after="0" w:line="240" w:lineRule="auto"/>
              <w:jc w:val="center"/>
              <w:rPr>
                <w:rFonts w:ascii="Arial Narrow" w:eastAsia="Times New Roman" w:hAnsi="Arial Narrow" w:cs="Times New Roman"/>
                <w:b/>
                <w:sz w:val="20"/>
                <w:szCs w:val="20"/>
                <w:lang w:eastAsia="ru-RU"/>
              </w:rPr>
            </w:pPr>
            <w:r w:rsidRPr="00B13240">
              <w:rPr>
                <w:rFonts w:ascii="Arial Narrow" w:eastAsia="Times New Roman" w:hAnsi="Arial Narrow" w:cs="Times New Roman"/>
                <w:b/>
                <w:sz w:val="20"/>
                <w:szCs w:val="20"/>
                <w:lang w:eastAsia="ru-RU"/>
              </w:rPr>
              <w:t>% к итогу</w:t>
            </w:r>
          </w:p>
        </w:tc>
      </w:tr>
      <w:tr w:rsidR="00F702C0" w:rsidRPr="00130274" w:rsidTr="00796DD7">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w:t>
            </w:r>
          </w:p>
        </w:tc>
        <w:tc>
          <w:tcPr>
            <w:tcW w:w="4427" w:type="dxa"/>
            <w:tcBorders>
              <w:top w:val="nil"/>
              <w:left w:val="nil"/>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г. Новосибирск</w:t>
            </w:r>
          </w:p>
        </w:tc>
        <w:tc>
          <w:tcPr>
            <w:tcW w:w="2268" w:type="dxa"/>
            <w:tcBorders>
              <w:top w:val="nil"/>
              <w:left w:val="nil"/>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671</w:t>
            </w:r>
          </w:p>
        </w:tc>
        <w:tc>
          <w:tcPr>
            <w:tcW w:w="2268" w:type="dxa"/>
            <w:tcBorders>
              <w:top w:val="nil"/>
              <w:left w:val="nil"/>
              <w:bottom w:val="single" w:sz="4" w:space="0" w:color="auto"/>
              <w:right w:val="single" w:sz="4" w:space="0" w:color="auto"/>
            </w:tcBorders>
            <w:shd w:val="clear" w:color="auto" w:fill="auto"/>
            <w:noWrap/>
            <w:vAlign w:val="bottom"/>
            <w:hideMark/>
          </w:tcPr>
          <w:p w:rsidR="00F702C0" w:rsidRPr="00130274" w:rsidRDefault="00B13240" w:rsidP="00281482">
            <w:pPr>
              <w:spacing w:after="0" w:line="240" w:lineRule="auto"/>
              <w:jc w:val="center"/>
              <w:rPr>
                <w:rFonts w:ascii="Arial Narrow" w:hAnsi="Arial Narrow"/>
                <w:color w:val="000000"/>
                <w:sz w:val="20"/>
                <w:szCs w:val="20"/>
              </w:rPr>
            </w:pPr>
            <w:r w:rsidRPr="00B13240">
              <w:rPr>
                <w:rFonts w:ascii="Arial Narrow" w:hAnsi="Arial Narrow"/>
                <w:color w:val="000000"/>
                <w:sz w:val="20"/>
                <w:szCs w:val="20"/>
              </w:rPr>
              <w:t>21,9</w:t>
            </w:r>
          </w:p>
        </w:tc>
      </w:tr>
      <w:tr w:rsidR="00F702C0" w:rsidRPr="00130274" w:rsidTr="00796DD7">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2</w:t>
            </w:r>
          </w:p>
        </w:tc>
        <w:tc>
          <w:tcPr>
            <w:tcW w:w="4427" w:type="dxa"/>
            <w:tcBorders>
              <w:top w:val="nil"/>
              <w:left w:val="nil"/>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Новосибирский район</w:t>
            </w:r>
          </w:p>
        </w:tc>
        <w:tc>
          <w:tcPr>
            <w:tcW w:w="2268" w:type="dxa"/>
            <w:tcBorders>
              <w:top w:val="nil"/>
              <w:left w:val="nil"/>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121</w:t>
            </w:r>
          </w:p>
        </w:tc>
        <w:tc>
          <w:tcPr>
            <w:tcW w:w="2268" w:type="dxa"/>
            <w:tcBorders>
              <w:top w:val="nil"/>
              <w:left w:val="nil"/>
              <w:bottom w:val="single" w:sz="4" w:space="0" w:color="auto"/>
              <w:right w:val="single" w:sz="4" w:space="0" w:color="auto"/>
            </w:tcBorders>
            <w:shd w:val="clear" w:color="auto" w:fill="auto"/>
            <w:noWrap/>
            <w:vAlign w:val="bottom"/>
            <w:hideMark/>
          </w:tcPr>
          <w:p w:rsidR="00F702C0" w:rsidRPr="00130274" w:rsidRDefault="00B13240" w:rsidP="00281482">
            <w:pPr>
              <w:spacing w:after="0" w:line="240" w:lineRule="auto"/>
              <w:jc w:val="center"/>
              <w:rPr>
                <w:rFonts w:ascii="Arial Narrow" w:hAnsi="Arial Narrow"/>
                <w:color w:val="000000"/>
                <w:sz w:val="20"/>
                <w:szCs w:val="20"/>
              </w:rPr>
            </w:pPr>
            <w:r w:rsidRPr="00B13240">
              <w:rPr>
                <w:rFonts w:ascii="Arial Narrow" w:hAnsi="Arial Narrow"/>
                <w:color w:val="000000"/>
                <w:sz w:val="20"/>
                <w:szCs w:val="20"/>
              </w:rPr>
              <w:t>3,9</w:t>
            </w:r>
          </w:p>
        </w:tc>
      </w:tr>
      <w:tr w:rsidR="00F702C0" w:rsidRPr="00130274" w:rsidTr="00796DD7">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3</w:t>
            </w:r>
          </w:p>
        </w:tc>
        <w:tc>
          <w:tcPr>
            <w:tcW w:w="4427" w:type="dxa"/>
            <w:tcBorders>
              <w:top w:val="nil"/>
              <w:left w:val="nil"/>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Искитимский район</w:t>
            </w:r>
          </w:p>
        </w:tc>
        <w:tc>
          <w:tcPr>
            <w:tcW w:w="2268" w:type="dxa"/>
            <w:tcBorders>
              <w:top w:val="nil"/>
              <w:left w:val="nil"/>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114</w:t>
            </w:r>
          </w:p>
        </w:tc>
        <w:tc>
          <w:tcPr>
            <w:tcW w:w="2268" w:type="dxa"/>
            <w:tcBorders>
              <w:top w:val="nil"/>
              <w:left w:val="nil"/>
              <w:bottom w:val="single" w:sz="4" w:space="0" w:color="auto"/>
              <w:right w:val="single" w:sz="4" w:space="0" w:color="auto"/>
            </w:tcBorders>
            <w:shd w:val="clear" w:color="auto" w:fill="auto"/>
            <w:noWrap/>
            <w:vAlign w:val="bottom"/>
            <w:hideMark/>
          </w:tcPr>
          <w:p w:rsidR="00F702C0" w:rsidRPr="00130274" w:rsidRDefault="00B13240" w:rsidP="00281482">
            <w:pPr>
              <w:spacing w:after="0" w:line="240" w:lineRule="auto"/>
              <w:jc w:val="center"/>
              <w:rPr>
                <w:rFonts w:ascii="Arial Narrow" w:hAnsi="Arial Narrow"/>
                <w:color w:val="000000"/>
                <w:sz w:val="20"/>
                <w:szCs w:val="20"/>
              </w:rPr>
            </w:pPr>
            <w:r w:rsidRPr="00B13240">
              <w:rPr>
                <w:rFonts w:ascii="Arial Narrow" w:hAnsi="Arial Narrow"/>
                <w:color w:val="000000"/>
                <w:sz w:val="20"/>
                <w:szCs w:val="20"/>
              </w:rPr>
              <w:t>3,7</w:t>
            </w:r>
          </w:p>
        </w:tc>
      </w:tr>
      <w:tr w:rsidR="00F702C0" w:rsidRPr="00130274" w:rsidTr="00796DD7">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4</w:t>
            </w:r>
          </w:p>
        </w:tc>
        <w:tc>
          <w:tcPr>
            <w:tcW w:w="4427" w:type="dxa"/>
            <w:tcBorders>
              <w:top w:val="nil"/>
              <w:left w:val="nil"/>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Тогучинский район</w:t>
            </w:r>
          </w:p>
        </w:tc>
        <w:tc>
          <w:tcPr>
            <w:tcW w:w="2268" w:type="dxa"/>
            <w:tcBorders>
              <w:top w:val="nil"/>
              <w:left w:val="nil"/>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103</w:t>
            </w:r>
          </w:p>
        </w:tc>
        <w:tc>
          <w:tcPr>
            <w:tcW w:w="2268" w:type="dxa"/>
            <w:tcBorders>
              <w:top w:val="nil"/>
              <w:left w:val="nil"/>
              <w:bottom w:val="single" w:sz="4" w:space="0" w:color="auto"/>
              <w:right w:val="single" w:sz="4" w:space="0" w:color="auto"/>
            </w:tcBorders>
            <w:shd w:val="clear" w:color="auto" w:fill="auto"/>
            <w:noWrap/>
            <w:vAlign w:val="bottom"/>
            <w:hideMark/>
          </w:tcPr>
          <w:p w:rsidR="00F702C0" w:rsidRPr="00130274" w:rsidRDefault="00B13240" w:rsidP="00281482">
            <w:pPr>
              <w:spacing w:after="0" w:line="240" w:lineRule="auto"/>
              <w:jc w:val="center"/>
              <w:rPr>
                <w:rFonts w:ascii="Arial Narrow" w:hAnsi="Arial Narrow"/>
                <w:color w:val="000000"/>
                <w:sz w:val="20"/>
                <w:szCs w:val="20"/>
              </w:rPr>
            </w:pPr>
            <w:r w:rsidRPr="00B13240">
              <w:rPr>
                <w:rFonts w:ascii="Arial Narrow" w:hAnsi="Arial Narrow"/>
                <w:color w:val="000000"/>
                <w:sz w:val="20"/>
                <w:szCs w:val="20"/>
              </w:rPr>
              <w:t>3,4</w:t>
            </w:r>
          </w:p>
        </w:tc>
      </w:tr>
      <w:tr w:rsidR="00F702C0" w:rsidRPr="00130274" w:rsidTr="00796DD7">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5</w:t>
            </w:r>
          </w:p>
        </w:tc>
        <w:tc>
          <w:tcPr>
            <w:tcW w:w="4427" w:type="dxa"/>
            <w:tcBorders>
              <w:top w:val="nil"/>
              <w:left w:val="nil"/>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Краснозерский район</w:t>
            </w:r>
          </w:p>
        </w:tc>
        <w:tc>
          <w:tcPr>
            <w:tcW w:w="2268" w:type="dxa"/>
            <w:tcBorders>
              <w:top w:val="nil"/>
              <w:left w:val="nil"/>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97</w:t>
            </w:r>
          </w:p>
        </w:tc>
        <w:tc>
          <w:tcPr>
            <w:tcW w:w="2268" w:type="dxa"/>
            <w:tcBorders>
              <w:top w:val="nil"/>
              <w:left w:val="nil"/>
              <w:bottom w:val="single" w:sz="4" w:space="0" w:color="auto"/>
              <w:right w:val="single" w:sz="4" w:space="0" w:color="auto"/>
            </w:tcBorders>
            <w:shd w:val="clear" w:color="auto" w:fill="auto"/>
            <w:noWrap/>
            <w:vAlign w:val="bottom"/>
            <w:hideMark/>
          </w:tcPr>
          <w:p w:rsidR="00F702C0" w:rsidRPr="00130274" w:rsidRDefault="00B13240" w:rsidP="00281482">
            <w:pPr>
              <w:spacing w:after="0" w:line="240" w:lineRule="auto"/>
              <w:jc w:val="center"/>
              <w:rPr>
                <w:rFonts w:ascii="Arial Narrow" w:hAnsi="Arial Narrow"/>
                <w:color w:val="000000"/>
                <w:sz w:val="20"/>
                <w:szCs w:val="20"/>
              </w:rPr>
            </w:pPr>
            <w:r w:rsidRPr="00B13240">
              <w:rPr>
                <w:rFonts w:ascii="Arial Narrow" w:hAnsi="Arial Narrow"/>
                <w:color w:val="000000"/>
                <w:sz w:val="20"/>
                <w:szCs w:val="20"/>
              </w:rPr>
              <w:t>3,2</w:t>
            </w:r>
          </w:p>
        </w:tc>
      </w:tr>
      <w:tr w:rsidR="00F702C0" w:rsidRPr="00130274" w:rsidTr="00796DD7">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6</w:t>
            </w:r>
          </w:p>
        </w:tc>
        <w:tc>
          <w:tcPr>
            <w:tcW w:w="4427" w:type="dxa"/>
            <w:tcBorders>
              <w:top w:val="nil"/>
              <w:left w:val="nil"/>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Убинский район</w:t>
            </w:r>
          </w:p>
        </w:tc>
        <w:tc>
          <w:tcPr>
            <w:tcW w:w="2268" w:type="dxa"/>
            <w:tcBorders>
              <w:top w:val="nil"/>
              <w:left w:val="nil"/>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95</w:t>
            </w:r>
          </w:p>
        </w:tc>
        <w:tc>
          <w:tcPr>
            <w:tcW w:w="2268" w:type="dxa"/>
            <w:tcBorders>
              <w:top w:val="nil"/>
              <w:left w:val="nil"/>
              <w:bottom w:val="single" w:sz="4" w:space="0" w:color="auto"/>
              <w:right w:val="single" w:sz="4" w:space="0" w:color="auto"/>
            </w:tcBorders>
            <w:shd w:val="clear" w:color="auto" w:fill="auto"/>
            <w:noWrap/>
            <w:vAlign w:val="bottom"/>
            <w:hideMark/>
          </w:tcPr>
          <w:p w:rsidR="00F702C0" w:rsidRPr="00130274" w:rsidRDefault="00B13240" w:rsidP="00281482">
            <w:pPr>
              <w:spacing w:after="0" w:line="240" w:lineRule="auto"/>
              <w:jc w:val="center"/>
              <w:rPr>
                <w:rFonts w:ascii="Arial Narrow" w:hAnsi="Arial Narrow"/>
                <w:color w:val="000000"/>
                <w:sz w:val="20"/>
                <w:szCs w:val="20"/>
              </w:rPr>
            </w:pPr>
            <w:r w:rsidRPr="00B13240">
              <w:rPr>
                <w:rFonts w:ascii="Arial Narrow" w:hAnsi="Arial Narrow"/>
                <w:color w:val="000000"/>
                <w:sz w:val="20"/>
                <w:szCs w:val="20"/>
              </w:rPr>
              <w:t>3,1</w:t>
            </w:r>
          </w:p>
        </w:tc>
      </w:tr>
      <w:tr w:rsidR="00F702C0" w:rsidRPr="00130274" w:rsidTr="00796DD7">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7</w:t>
            </w:r>
          </w:p>
        </w:tc>
        <w:tc>
          <w:tcPr>
            <w:tcW w:w="4427" w:type="dxa"/>
            <w:tcBorders>
              <w:top w:val="nil"/>
              <w:left w:val="nil"/>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Куйбышевский район</w:t>
            </w:r>
          </w:p>
        </w:tc>
        <w:tc>
          <w:tcPr>
            <w:tcW w:w="2268" w:type="dxa"/>
            <w:tcBorders>
              <w:top w:val="nil"/>
              <w:left w:val="nil"/>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93</w:t>
            </w:r>
          </w:p>
        </w:tc>
        <w:tc>
          <w:tcPr>
            <w:tcW w:w="2268" w:type="dxa"/>
            <w:tcBorders>
              <w:top w:val="nil"/>
              <w:left w:val="nil"/>
              <w:bottom w:val="single" w:sz="4" w:space="0" w:color="auto"/>
              <w:right w:val="single" w:sz="4" w:space="0" w:color="auto"/>
            </w:tcBorders>
            <w:shd w:val="clear" w:color="auto" w:fill="auto"/>
            <w:noWrap/>
            <w:vAlign w:val="bottom"/>
            <w:hideMark/>
          </w:tcPr>
          <w:p w:rsidR="00F702C0" w:rsidRPr="00130274" w:rsidRDefault="00B13240" w:rsidP="00281482">
            <w:pPr>
              <w:spacing w:after="0" w:line="240" w:lineRule="auto"/>
              <w:jc w:val="center"/>
              <w:rPr>
                <w:rFonts w:ascii="Arial Narrow" w:hAnsi="Arial Narrow"/>
                <w:color w:val="000000"/>
                <w:sz w:val="20"/>
                <w:szCs w:val="20"/>
              </w:rPr>
            </w:pPr>
            <w:r w:rsidRPr="00B13240">
              <w:rPr>
                <w:rFonts w:ascii="Arial Narrow" w:hAnsi="Arial Narrow"/>
                <w:color w:val="000000"/>
                <w:sz w:val="20"/>
                <w:szCs w:val="20"/>
              </w:rPr>
              <w:t>3,0</w:t>
            </w:r>
          </w:p>
        </w:tc>
      </w:tr>
      <w:tr w:rsidR="00F702C0" w:rsidRPr="00130274" w:rsidTr="00796DD7">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8</w:t>
            </w:r>
          </w:p>
        </w:tc>
        <w:tc>
          <w:tcPr>
            <w:tcW w:w="4427" w:type="dxa"/>
            <w:tcBorders>
              <w:top w:val="nil"/>
              <w:left w:val="nil"/>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Купинский район</w:t>
            </w:r>
          </w:p>
        </w:tc>
        <w:tc>
          <w:tcPr>
            <w:tcW w:w="2268" w:type="dxa"/>
            <w:tcBorders>
              <w:top w:val="nil"/>
              <w:left w:val="nil"/>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90</w:t>
            </w:r>
          </w:p>
        </w:tc>
        <w:tc>
          <w:tcPr>
            <w:tcW w:w="2268" w:type="dxa"/>
            <w:tcBorders>
              <w:top w:val="nil"/>
              <w:left w:val="nil"/>
              <w:bottom w:val="single" w:sz="4" w:space="0" w:color="auto"/>
              <w:right w:val="single" w:sz="4" w:space="0" w:color="auto"/>
            </w:tcBorders>
            <w:shd w:val="clear" w:color="auto" w:fill="auto"/>
            <w:noWrap/>
            <w:vAlign w:val="bottom"/>
            <w:hideMark/>
          </w:tcPr>
          <w:p w:rsidR="00F702C0" w:rsidRPr="00130274" w:rsidRDefault="00B13240" w:rsidP="00281482">
            <w:pPr>
              <w:spacing w:after="0" w:line="240" w:lineRule="auto"/>
              <w:jc w:val="center"/>
              <w:rPr>
                <w:rFonts w:ascii="Arial Narrow" w:hAnsi="Arial Narrow"/>
                <w:color w:val="000000"/>
                <w:sz w:val="20"/>
                <w:szCs w:val="20"/>
              </w:rPr>
            </w:pPr>
            <w:r w:rsidRPr="00B13240">
              <w:rPr>
                <w:rFonts w:ascii="Arial Narrow" w:hAnsi="Arial Narrow"/>
                <w:color w:val="000000"/>
                <w:sz w:val="20"/>
                <w:szCs w:val="20"/>
              </w:rPr>
              <w:t>2,9</w:t>
            </w:r>
          </w:p>
        </w:tc>
      </w:tr>
      <w:tr w:rsidR="00F702C0" w:rsidRPr="00130274" w:rsidTr="00796DD7">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9</w:t>
            </w:r>
          </w:p>
        </w:tc>
        <w:tc>
          <w:tcPr>
            <w:tcW w:w="4427" w:type="dxa"/>
            <w:tcBorders>
              <w:top w:val="nil"/>
              <w:left w:val="nil"/>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Татарский район</w:t>
            </w:r>
          </w:p>
        </w:tc>
        <w:tc>
          <w:tcPr>
            <w:tcW w:w="2268" w:type="dxa"/>
            <w:tcBorders>
              <w:top w:val="nil"/>
              <w:left w:val="nil"/>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86</w:t>
            </w:r>
          </w:p>
        </w:tc>
        <w:tc>
          <w:tcPr>
            <w:tcW w:w="2268" w:type="dxa"/>
            <w:tcBorders>
              <w:top w:val="nil"/>
              <w:left w:val="nil"/>
              <w:bottom w:val="single" w:sz="4" w:space="0" w:color="auto"/>
              <w:right w:val="single" w:sz="4" w:space="0" w:color="auto"/>
            </w:tcBorders>
            <w:shd w:val="clear" w:color="auto" w:fill="auto"/>
            <w:noWrap/>
            <w:vAlign w:val="bottom"/>
            <w:hideMark/>
          </w:tcPr>
          <w:p w:rsidR="00F702C0" w:rsidRPr="00130274" w:rsidRDefault="00B13240" w:rsidP="00281482">
            <w:pPr>
              <w:spacing w:after="0" w:line="240" w:lineRule="auto"/>
              <w:jc w:val="center"/>
              <w:rPr>
                <w:rFonts w:ascii="Arial Narrow" w:hAnsi="Arial Narrow"/>
                <w:color w:val="000000"/>
                <w:sz w:val="20"/>
                <w:szCs w:val="20"/>
              </w:rPr>
            </w:pPr>
            <w:r w:rsidRPr="00B13240">
              <w:rPr>
                <w:rFonts w:ascii="Arial Narrow" w:hAnsi="Arial Narrow"/>
                <w:color w:val="000000"/>
                <w:sz w:val="20"/>
                <w:szCs w:val="20"/>
              </w:rPr>
              <w:t>2,8</w:t>
            </w:r>
          </w:p>
        </w:tc>
      </w:tr>
      <w:tr w:rsidR="00F702C0" w:rsidRPr="00130274" w:rsidTr="00796DD7">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10</w:t>
            </w:r>
          </w:p>
        </w:tc>
        <w:tc>
          <w:tcPr>
            <w:tcW w:w="4427" w:type="dxa"/>
            <w:tcBorders>
              <w:top w:val="nil"/>
              <w:left w:val="nil"/>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Барабинский район</w:t>
            </w:r>
          </w:p>
        </w:tc>
        <w:tc>
          <w:tcPr>
            <w:tcW w:w="2268" w:type="dxa"/>
            <w:tcBorders>
              <w:top w:val="nil"/>
              <w:left w:val="nil"/>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82</w:t>
            </w:r>
          </w:p>
        </w:tc>
        <w:tc>
          <w:tcPr>
            <w:tcW w:w="2268" w:type="dxa"/>
            <w:tcBorders>
              <w:top w:val="nil"/>
              <w:left w:val="nil"/>
              <w:bottom w:val="single" w:sz="4" w:space="0" w:color="auto"/>
              <w:right w:val="single" w:sz="4" w:space="0" w:color="auto"/>
            </w:tcBorders>
            <w:shd w:val="clear" w:color="auto" w:fill="auto"/>
            <w:noWrap/>
            <w:vAlign w:val="bottom"/>
            <w:hideMark/>
          </w:tcPr>
          <w:p w:rsidR="00F702C0" w:rsidRPr="00130274" w:rsidRDefault="00B13240" w:rsidP="00281482">
            <w:pPr>
              <w:spacing w:after="0" w:line="240" w:lineRule="auto"/>
              <w:jc w:val="center"/>
              <w:rPr>
                <w:rFonts w:ascii="Arial Narrow" w:hAnsi="Arial Narrow"/>
                <w:color w:val="000000"/>
                <w:sz w:val="20"/>
                <w:szCs w:val="20"/>
              </w:rPr>
            </w:pPr>
            <w:r w:rsidRPr="00B13240">
              <w:rPr>
                <w:rFonts w:ascii="Arial Narrow" w:hAnsi="Arial Narrow"/>
                <w:color w:val="000000"/>
                <w:sz w:val="20"/>
                <w:szCs w:val="20"/>
              </w:rPr>
              <w:t>2,7</w:t>
            </w:r>
          </w:p>
        </w:tc>
      </w:tr>
      <w:tr w:rsidR="00F702C0" w:rsidRPr="00130274" w:rsidTr="00796DD7">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11</w:t>
            </w:r>
          </w:p>
        </w:tc>
        <w:tc>
          <w:tcPr>
            <w:tcW w:w="4427" w:type="dxa"/>
            <w:tcBorders>
              <w:top w:val="nil"/>
              <w:left w:val="nil"/>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Черепановский район</w:t>
            </w:r>
          </w:p>
        </w:tc>
        <w:tc>
          <w:tcPr>
            <w:tcW w:w="2268" w:type="dxa"/>
            <w:tcBorders>
              <w:top w:val="nil"/>
              <w:left w:val="nil"/>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81</w:t>
            </w:r>
          </w:p>
        </w:tc>
        <w:tc>
          <w:tcPr>
            <w:tcW w:w="2268" w:type="dxa"/>
            <w:tcBorders>
              <w:top w:val="nil"/>
              <w:left w:val="nil"/>
              <w:bottom w:val="single" w:sz="4" w:space="0" w:color="auto"/>
              <w:right w:val="single" w:sz="4" w:space="0" w:color="auto"/>
            </w:tcBorders>
            <w:shd w:val="clear" w:color="auto" w:fill="auto"/>
            <w:noWrap/>
            <w:vAlign w:val="bottom"/>
            <w:hideMark/>
          </w:tcPr>
          <w:p w:rsidR="00F702C0" w:rsidRPr="00130274" w:rsidRDefault="00B13240" w:rsidP="00281482">
            <w:pPr>
              <w:spacing w:after="0" w:line="240" w:lineRule="auto"/>
              <w:jc w:val="center"/>
              <w:rPr>
                <w:rFonts w:ascii="Arial Narrow" w:hAnsi="Arial Narrow"/>
                <w:color w:val="000000"/>
                <w:sz w:val="20"/>
                <w:szCs w:val="20"/>
              </w:rPr>
            </w:pPr>
            <w:r w:rsidRPr="00B13240">
              <w:rPr>
                <w:rFonts w:ascii="Arial Narrow" w:hAnsi="Arial Narrow"/>
                <w:color w:val="000000"/>
                <w:sz w:val="20"/>
                <w:szCs w:val="20"/>
              </w:rPr>
              <w:t>2,6</w:t>
            </w:r>
          </w:p>
        </w:tc>
      </w:tr>
      <w:tr w:rsidR="00F702C0" w:rsidRPr="00130274" w:rsidTr="00796DD7">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12</w:t>
            </w:r>
          </w:p>
        </w:tc>
        <w:tc>
          <w:tcPr>
            <w:tcW w:w="4427" w:type="dxa"/>
            <w:tcBorders>
              <w:top w:val="nil"/>
              <w:left w:val="nil"/>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Карасукский район</w:t>
            </w:r>
          </w:p>
        </w:tc>
        <w:tc>
          <w:tcPr>
            <w:tcW w:w="2268" w:type="dxa"/>
            <w:tcBorders>
              <w:top w:val="nil"/>
              <w:left w:val="nil"/>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76</w:t>
            </w:r>
          </w:p>
        </w:tc>
        <w:tc>
          <w:tcPr>
            <w:tcW w:w="2268" w:type="dxa"/>
            <w:tcBorders>
              <w:top w:val="nil"/>
              <w:left w:val="nil"/>
              <w:bottom w:val="single" w:sz="4" w:space="0" w:color="auto"/>
              <w:right w:val="single" w:sz="4" w:space="0" w:color="auto"/>
            </w:tcBorders>
            <w:shd w:val="clear" w:color="auto" w:fill="auto"/>
            <w:noWrap/>
            <w:vAlign w:val="bottom"/>
            <w:hideMark/>
          </w:tcPr>
          <w:p w:rsidR="00F702C0" w:rsidRPr="00130274" w:rsidRDefault="00B13240" w:rsidP="00281482">
            <w:pPr>
              <w:spacing w:after="0" w:line="240" w:lineRule="auto"/>
              <w:jc w:val="center"/>
              <w:rPr>
                <w:rFonts w:ascii="Arial Narrow" w:hAnsi="Arial Narrow"/>
                <w:color w:val="000000"/>
                <w:sz w:val="20"/>
                <w:szCs w:val="20"/>
              </w:rPr>
            </w:pPr>
            <w:r w:rsidRPr="00B13240">
              <w:rPr>
                <w:rFonts w:ascii="Arial Narrow" w:hAnsi="Arial Narrow"/>
                <w:color w:val="000000"/>
                <w:sz w:val="20"/>
                <w:szCs w:val="20"/>
              </w:rPr>
              <w:t>2,5</w:t>
            </w:r>
          </w:p>
        </w:tc>
      </w:tr>
      <w:tr w:rsidR="00F702C0" w:rsidRPr="00130274" w:rsidTr="00796DD7">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13</w:t>
            </w:r>
          </w:p>
        </w:tc>
        <w:tc>
          <w:tcPr>
            <w:tcW w:w="4427" w:type="dxa"/>
            <w:tcBorders>
              <w:top w:val="nil"/>
              <w:left w:val="nil"/>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Болотнинский район</w:t>
            </w:r>
          </w:p>
        </w:tc>
        <w:tc>
          <w:tcPr>
            <w:tcW w:w="2268" w:type="dxa"/>
            <w:tcBorders>
              <w:top w:val="nil"/>
              <w:left w:val="nil"/>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74</w:t>
            </w:r>
          </w:p>
        </w:tc>
        <w:tc>
          <w:tcPr>
            <w:tcW w:w="2268" w:type="dxa"/>
            <w:tcBorders>
              <w:top w:val="nil"/>
              <w:left w:val="nil"/>
              <w:bottom w:val="single" w:sz="4" w:space="0" w:color="auto"/>
              <w:right w:val="single" w:sz="4" w:space="0" w:color="auto"/>
            </w:tcBorders>
            <w:shd w:val="clear" w:color="auto" w:fill="auto"/>
            <w:noWrap/>
            <w:vAlign w:val="bottom"/>
            <w:hideMark/>
          </w:tcPr>
          <w:p w:rsidR="00F702C0" w:rsidRPr="00130274" w:rsidRDefault="00B13240" w:rsidP="00281482">
            <w:pPr>
              <w:spacing w:after="0" w:line="240" w:lineRule="auto"/>
              <w:jc w:val="center"/>
              <w:rPr>
                <w:rFonts w:ascii="Arial Narrow" w:hAnsi="Arial Narrow"/>
                <w:color w:val="000000"/>
                <w:sz w:val="20"/>
                <w:szCs w:val="20"/>
              </w:rPr>
            </w:pPr>
            <w:r w:rsidRPr="00B13240">
              <w:rPr>
                <w:rFonts w:ascii="Arial Narrow" w:hAnsi="Arial Narrow"/>
                <w:color w:val="000000"/>
                <w:sz w:val="20"/>
                <w:szCs w:val="20"/>
              </w:rPr>
              <w:t>2,4</w:t>
            </w:r>
          </w:p>
        </w:tc>
      </w:tr>
      <w:tr w:rsidR="00F702C0" w:rsidRPr="00130274" w:rsidTr="00796DD7">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14</w:t>
            </w:r>
          </w:p>
        </w:tc>
        <w:tc>
          <w:tcPr>
            <w:tcW w:w="4427" w:type="dxa"/>
            <w:tcBorders>
              <w:top w:val="nil"/>
              <w:left w:val="nil"/>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Мошковский район</w:t>
            </w:r>
          </w:p>
        </w:tc>
        <w:tc>
          <w:tcPr>
            <w:tcW w:w="2268" w:type="dxa"/>
            <w:tcBorders>
              <w:top w:val="nil"/>
              <w:left w:val="nil"/>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73</w:t>
            </w:r>
          </w:p>
        </w:tc>
        <w:tc>
          <w:tcPr>
            <w:tcW w:w="2268" w:type="dxa"/>
            <w:tcBorders>
              <w:top w:val="nil"/>
              <w:left w:val="nil"/>
              <w:bottom w:val="single" w:sz="4" w:space="0" w:color="auto"/>
              <w:right w:val="single" w:sz="4" w:space="0" w:color="auto"/>
            </w:tcBorders>
            <w:shd w:val="clear" w:color="auto" w:fill="auto"/>
            <w:noWrap/>
            <w:vAlign w:val="bottom"/>
            <w:hideMark/>
          </w:tcPr>
          <w:p w:rsidR="00F702C0" w:rsidRPr="00130274" w:rsidRDefault="00B13240" w:rsidP="00281482">
            <w:pPr>
              <w:spacing w:after="0" w:line="240" w:lineRule="auto"/>
              <w:jc w:val="center"/>
              <w:rPr>
                <w:rFonts w:ascii="Arial Narrow" w:hAnsi="Arial Narrow"/>
                <w:color w:val="000000"/>
                <w:sz w:val="20"/>
                <w:szCs w:val="20"/>
              </w:rPr>
            </w:pPr>
            <w:r w:rsidRPr="00B13240">
              <w:rPr>
                <w:rFonts w:ascii="Arial Narrow" w:hAnsi="Arial Narrow"/>
                <w:color w:val="000000"/>
                <w:sz w:val="20"/>
                <w:szCs w:val="20"/>
              </w:rPr>
              <w:t>2,4</w:t>
            </w:r>
          </w:p>
        </w:tc>
      </w:tr>
      <w:tr w:rsidR="00F702C0" w:rsidRPr="00130274" w:rsidTr="00796DD7">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15</w:t>
            </w:r>
          </w:p>
        </w:tc>
        <w:tc>
          <w:tcPr>
            <w:tcW w:w="4427" w:type="dxa"/>
            <w:tcBorders>
              <w:top w:val="nil"/>
              <w:left w:val="nil"/>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Чановский район</w:t>
            </w:r>
          </w:p>
        </w:tc>
        <w:tc>
          <w:tcPr>
            <w:tcW w:w="2268" w:type="dxa"/>
            <w:tcBorders>
              <w:top w:val="nil"/>
              <w:left w:val="nil"/>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69</w:t>
            </w:r>
          </w:p>
        </w:tc>
        <w:tc>
          <w:tcPr>
            <w:tcW w:w="2268" w:type="dxa"/>
            <w:tcBorders>
              <w:top w:val="nil"/>
              <w:left w:val="nil"/>
              <w:bottom w:val="single" w:sz="4" w:space="0" w:color="auto"/>
              <w:right w:val="single" w:sz="4" w:space="0" w:color="auto"/>
            </w:tcBorders>
            <w:shd w:val="clear" w:color="auto" w:fill="auto"/>
            <w:noWrap/>
            <w:vAlign w:val="bottom"/>
            <w:hideMark/>
          </w:tcPr>
          <w:p w:rsidR="00F702C0" w:rsidRPr="00130274" w:rsidRDefault="00B13240" w:rsidP="00281482">
            <w:pPr>
              <w:spacing w:after="0" w:line="240" w:lineRule="auto"/>
              <w:jc w:val="center"/>
              <w:rPr>
                <w:rFonts w:ascii="Arial Narrow" w:hAnsi="Arial Narrow"/>
                <w:color w:val="000000"/>
                <w:sz w:val="20"/>
                <w:szCs w:val="20"/>
              </w:rPr>
            </w:pPr>
            <w:r w:rsidRPr="00B13240">
              <w:rPr>
                <w:rFonts w:ascii="Arial Narrow" w:hAnsi="Arial Narrow"/>
                <w:color w:val="000000"/>
                <w:sz w:val="20"/>
                <w:szCs w:val="20"/>
              </w:rPr>
              <w:t>2,2</w:t>
            </w:r>
          </w:p>
        </w:tc>
      </w:tr>
      <w:tr w:rsidR="00F702C0" w:rsidRPr="00130274" w:rsidTr="00796DD7">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16</w:t>
            </w:r>
          </w:p>
        </w:tc>
        <w:tc>
          <w:tcPr>
            <w:tcW w:w="4427" w:type="dxa"/>
            <w:tcBorders>
              <w:top w:val="nil"/>
              <w:left w:val="nil"/>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Коченевский район</w:t>
            </w:r>
          </w:p>
        </w:tc>
        <w:tc>
          <w:tcPr>
            <w:tcW w:w="2268" w:type="dxa"/>
            <w:tcBorders>
              <w:top w:val="nil"/>
              <w:left w:val="nil"/>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69</w:t>
            </w:r>
          </w:p>
        </w:tc>
        <w:tc>
          <w:tcPr>
            <w:tcW w:w="2268" w:type="dxa"/>
            <w:tcBorders>
              <w:top w:val="nil"/>
              <w:left w:val="nil"/>
              <w:bottom w:val="single" w:sz="4" w:space="0" w:color="auto"/>
              <w:right w:val="single" w:sz="4" w:space="0" w:color="auto"/>
            </w:tcBorders>
            <w:shd w:val="clear" w:color="auto" w:fill="auto"/>
            <w:noWrap/>
            <w:vAlign w:val="bottom"/>
            <w:hideMark/>
          </w:tcPr>
          <w:p w:rsidR="00F702C0" w:rsidRPr="00130274" w:rsidRDefault="00B13240" w:rsidP="00281482">
            <w:pPr>
              <w:spacing w:after="0" w:line="240" w:lineRule="auto"/>
              <w:jc w:val="center"/>
              <w:rPr>
                <w:rFonts w:ascii="Arial Narrow" w:hAnsi="Arial Narrow"/>
                <w:color w:val="000000"/>
                <w:sz w:val="20"/>
                <w:szCs w:val="20"/>
              </w:rPr>
            </w:pPr>
            <w:r w:rsidRPr="00B13240">
              <w:rPr>
                <w:rFonts w:ascii="Arial Narrow" w:hAnsi="Arial Narrow"/>
                <w:color w:val="000000"/>
                <w:sz w:val="20"/>
                <w:szCs w:val="20"/>
              </w:rPr>
              <w:t>2,2</w:t>
            </w:r>
          </w:p>
        </w:tc>
      </w:tr>
      <w:tr w:rsidR="00F702C0" w:rsidRPr="00130274" w:rsidTr="00796DD7">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17</w:t>
            </w:r>
          </w:p>
        </w:tc>
        <w:tc>
          <w:tcPr>
            <w:tcW w:w="4427" w:type="dxa"/>
            <w:tcBorders>
              <w:top w:val="nil"/>
              <w:left w:val="nil"/>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Чистоозерный район</w:t>
            </w:r>
          </w:p>
        </w:tc>
        <w:tc>
          <w:tcPr>
            <w:tcW w:w="2268" w:type="dxa"/>
            <w:tcBorders>
              <w:top w:val="nil"/>
              <w:left w:val="nil"/>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69</w:t>
            </w:r>
          </w:p>
        </w:tc>
        <w:tc>
          <w:tcPr>
            <w:tcW w:w="2268" w:type="dxa"/>
            <w:tcBorders>
              <w:top w:val="nil"/>
              <w:left w:val="nil"/>
              <w:bottom w:val="single" w:sz="4" w:space="0" w:color="auto"/>
              <w:right w:val="single" w:sz="4" w:space="0" w:color="auto"/>
            </w:tcBorders>
            <w:shd w:val="clear" w:color="auto" w:fill="auto"/>
            <w:noWrap/>
            <w:vAlign w:val="bottom"/>
            <w:hideMark/>
          </w:tcPr>
          <w:p w:rsidR="00F702C0" w:rsidRPr="00130274" w:rsidRDefault="00B13240" w:rsidP="00281482">
            <w:pPr>
              <w:spacing w:after="0" w:line="240" w:lineRule="auto"/>
              <w:jc w:val="center"/>
              <w:rPr>
                <w:rFonts w:ascii="Arial Narrow" w:hAnsi="Arial Narrow"/>
                <w:color w:val="000000"/>
                <w:sz w:val="20"/>
                <w:szCs w:val="20"/>
              </w:rPr>
            </w:pPr>
            <w:r w:rsidRPr="00B13240">
              <w:rPr>
                <w:rFonts w:ascii="Arial Narrow" w:hAnsi="Arial Narrow"/>
                <w:color w:val="000000"/>
                <w:sz w:val="20"/>
                <w:szCs w:val="20"/>
              </w:rPr>
              <w:t>2,2</w:t>
            </w:r>
          </w:p>
        </w:tc>
      </w:tr>
      <w:tr w:rsidR="00F702C0" w:rsidRPr="00130274" w:rsidTr="00796DD7">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18</w:t>
            </w:r>
          </w:p>
        </w:tc>
        <w:tc>
          <w:tcPr>
            <w:tcW w:w="4427" w:type="dxa"/>
            <w:tcBorders>
              <w:top w:val="nil"/>
              <w:left w:val="nil"/>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Доволенский район</w:t>
            </w:r>
          </w:p>
        </w:tc>
        <w:tc>
          <w:tcPr>
            <w:tcW w:w="2268" w:type="dxa"/>
            <w:tcBorders>
              <w:top w:val="nil"/>
              <w:left w:val="nil"/>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65</w:t>
            </w:r>
          </w:p>
        </w:tc>
        <w:tc>
          <w:tcPr>
            <w:tcW w:w="2268" w:type="dxa"/>
            <w:tcBorders>
              <w:top w:val="nil"/>
              <w:left w:val="nil"/>
              <w:bottom w:val="single" w:sz="4" w:space="0" w:color="auto"/>
              <w:right w:val="single" w:sz="4" w:space="0" w:color="auto"/>
            </w:tcBorders>
            <w:shd w:val="clear" w:color="auto" w:fill="auto"/>
            <w:noWrap/>
            <w:vAlign w:val="bottom"/>
            <w:hideMark/>
          </w:tcPr>
          <w:p w:rsidR="00F702C0" w:rsidRPr="00130274" w:rsidRDefault="00B13240" w:rsidP="00281482">
            <w:pPr>
              <w:spacing w:after="0" w:line="240" w:lineRule="auto"/>
              <w:jc w:val="center"/>
              <w:rPr>
                <w:rFonts w:ascii="Arial Narrow" w:hAnsi="Arial Narrow"/>
                <w:color w:val="000000"/>
                <w:sz w:val="20"/>
                <w:szCs w:val="20"/>
              </w:rPr>
            </w:pPr>
            <w:r w:rsidRPr="00B13240">
              <w:rPr>
                <w:rFonts w:ascii="Arial Narrow" w:hAnsi="Arial Narrow"/>
                <w:color w:val="000000"/>
                <w:sz w:val="20"/>
                <w:szCs w:val="20"/>
              </w:rPr>
              <w:t>2,1</w:t>
            </w:r>
          </w:p>
        </w:tc>
      </w:tr>
      <w:tr w:rsidR="00F702C0" w:rsidRPr="00130274" w:rsidTr="00796DD7">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19</w:t>
            </w:r>
          </w:p>
        </w:tc>
        <w:tc>
          <w:tcPr>
            <w:tcW w:w="4427" w:type="dxa"/>
            <w:tcBorders>
              <w:top w:val="nil"/>
              <w:left w:val="nil"/>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Колыванский район</w:t>
            </w:r>
          </w:p>
        </w:tc>
        <w:tc>
          <w:tcPr>
            <w:tcW w:w="2268" w:type="dxa"/>
            <w:tcBorders>
              <w:top w:val="nil"/>
              <w:left w:val="nil"/>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63</w:t>
            </w:r>
          </w:p>
        </w:tc>
        <w:tc>
          <w:tcPr>
            <w:tcW w:w="2268" w:type="dxa"/>
            <w:tcBorders>
              <w:top w:val="nil"/>
              <w:left w:val="nil"/>
              <w:bottom w:val="single" w:sz="4" w:space="0" w:color="auto"/>
              <w:right w:val="single" w:sz="4" w:space="0" w:color="auto"/>
            </w:tcBorders>
            <w:shd w:val="clear" w:color="auto" w:fill="auto"/>
            <w:noWrap/>
            <w:vAlign w:val="bottom"/>
            <w:hideMark/>
          </w:tcPr>
          <w:p w:rsidR="00F702C0" w:rsidRPr="00130274" w:rsidRDefault="00B13240" w:rsidP="00281482">
            <w:pPr>
              <w:spacing w:after="0" w:line="240" w:lineRule="auto"/>
              <w:jc w:val="center"/>
              <w:rPr>
                <w:rFonts w:ascii="Arial Narrow" w:hAnsi="Arial Narrow"/>
                <w:color w:val="000000"/>
                <w:sz w:val="20"/>
                <w:szCs w:val="20"/>
              </w:rPr>
            </w:pPr>
            <w:r w:rsidRPr="00B13240">
              <w:rPr>
                <w:rFonts w:ascii="Arial Narrow" w:hAnsi="Arial Narrow"/>
                <w:color w:val="000000"/>
                <w:sz w:val="20"/>
                <w:szCs w:val="20"/>
              </w:rPr>
              <w:t>2,1</w:t>
            </w:r>
          </w:p>
        </w:tc>
      </w:tr>
      <w:tr w:rsidR="00F702C0" w:rsidRPr="00130274" w:rsidTr="00796DD7">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20</w:t>
            </w:r>
          </w:p>
        </w:tc>
        <w:tc>
          <w:tcPr>
            <w:tcW w:w="4427" w:type="dxa"/>
            <w:tcBorders>
              <w:top w:val="nil"/>
              <w:left w:val="nil"/>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Венгеровский район</w:t>
            </w:r>
          </w:p>
        </w:tc>
        <w:tc>
          <w:tcPr>
            <w:tcW w:w="2268" w:type="dxa"/>
            <w:tcBorders>
              <w:top w:val="nil"/>
              <w:left w:val="nil"/>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62</w:t>
            </w:r>
          </w:p>
        </w:tc>
        <w:tc>
          <w:tcPr>
            <w:tcW w:w="2268" w:type="dxa"/>
            <w:tcBorders>
              <w:top w:val="nil"/>
              <w:left w:val="nil"/>
              <w:bottom w:val="single" w:sz="4" w:space="0" w:color="auto"/>
              <w:right w:val="single" w:sz="4" w:space="0" w:color="auto"/>
            </w:tcBorders>
            <w:shd w:val="clear" w:color="auto" w:fill="auto"/>
            <w:noWrap/>
            <w:vAlign w:val="bottom"/>
            <w:hideMark/>
          </w:tcPr>
          <w:p w:rsidR="00F702C0" w:rsidRPr="00130274" w:rsidRDefault="00B13240" w:rsidP="00281482">
            <w:pPr>
              <w:spacing w:after="0" w:line="240" w:lineRule="auto"/>
              <w:jc w:val="center"/>
              <w:rPr>
                <w:rFonts w:ascii="Arial Narrow" w:hAnsi="Arial Narrow"/>
                <w:color w:val="000000"/>
                <w:sz w:val="20"/>
                <w:szCs w:val="20"/>
              </w:rPr>
            </w:pPr>
            <w:r w:rsidRPr="00B13240">
              <w:rPr>
                <w:rFonts w:ascii="Arial Narrow" w:hAnsi="Arial Narrow"/>
                <w:color w:val="000000"/>
                <w:sz w:val="20"/>
                <w:szCs w:val="20"/>
              </w:rPr>
              <w:t>2,0</w:t>
            </w:r>
          </w:p>
        </w:tc>
      </w:tr>
      <w:tr w:rsidR="00F702C0" w:rsidRPr="00130274" w:rsidTr="00796DD7">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21</w:t>
            </w:r>
          </w:p>
        </w:tc>
        <w:tc>
          <w:tcPr>
            <w:tcW w:w="4427" w:type="dxa"/>
            <w:tcBorders>
              <w:top w:val="nil"/>
              <w:left w:val="nil"/>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Чулымский район</w:t>
            </w:r>
          </w:p>
        </w:tc>
        <w:tc>
          <w:tcPr>
            <w:tcW w:w="2268" w:type="dxa"/>
            <w:tcBorders>
              <w:top w:val="nil"/>
              <w:left w:val="nil"/>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57</w:t>
            </w:r>
          </w:p>
        </w:tc>
        <w:tc>
          <w:tcPr>
            <w:tcW w:w="2268" w:type="dxa"/>
            <w:tcBorders>
              <w:top w:val="nil"/>
              <w:left w:val="nil"/>
              <w:bottom w:val="single" w:sz="4" w:space="0" w:color="auto"/>
              <w:right w:val="single" w:sz="4" w:space="0" w:color="auto"/>
            </w:tcBorders>
            <w:shd w:val="clear" w:color="auto" w:fill="auto"/>
            <w:noWrap/>
            <w:vAlign w:val="bottom"/>
            <w:hideMark/>
          </w:tcPr>
          <w:p w:rsidR="00F702C0" w:rsidRPr="00130274" w:rsidRDefault="00B13240" w:rsidP="00281482">
            <w:pPr>
              <w:spacing w:after="0" w:line="240" w:lineRule="auto"/>
              <w:jc w:val="center"/>
              <w:rPr>
                <w:rFonts w:ascii="Arial Narrow" w:hAnsi="Arial Narrow"/>
                <w:color w:val="000000"/>
                <w:sz w:val="20"/>
                <w:szCs w:val="20"/>
              </w:rPr>
            </w:pPr>
            <w:r w:rsidRPr="00B13240">
              <w:rPr>
                <w:rFonts w:ascii="Arial Narrow" w:hAnsi="Arial Narrow"/>
                <w:color w:val="000000"/>
                <w:sz w:val="20"/>
                <w:szCs w:val="20"/>
              </w:rPr>
              <w:t>1,9</w:t>
            </w:r>
          </w:p>
        </w:tc>
      </w:tr>
      <w:tr w:rsidR="00F702C0" w:rsidRPr="00130274" w:rsidTr="00796DD7">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22</w:t>
            </w:r>
          </w:p>
        </w:tc>
        <w:tc>
          <w:tcPr>
            <w:tcW w:w="4427" w:type="dxa"/>
            <w:tcBorders>
              <w:top w:val="nil"/>
              <w:left w:val="nil"/>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г. Бердск</w:t>
            </w:r>
          </w:p>
        </w:tc>
        <w:tc>
          <w:tcPr>
            <w:tcW w:w="2268" w:type="dxa"/>
            <w:tcBorders>
              <w:top w:val="nil"/>
              <w:left w:val="nil"/>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55</w:t>
            </w:r>
          </w:p>
        </w:tc>
        <w:tc>
          <w:tcPr>
            <w:tcW w:w="2268" w:type="dxa"/>
            <w:tcBorders>
              <w:top w:val="nil"/>
              <w:left w:val="nil"/>
              <w:bottom w:val="single" w:sz="4" w:space="0" w:color="auto"/>
              <w:right w:val="single" w:sz="4" w:space="0" w:color="auto"/>
            </w:tcBorders>
            <w:shd w:val="clear" w:color="auto" w:fill="auto"/>
            <w:noWrap/>
            <w:vAlign w:val="bottom"/>
            <w:hideMark/>
          </w:tcPr>
          <w:p w:rsidR="00F702C0" w:rsidRPr="00130274" w:rsidRDefault="00B13240" w:rsidP="00281482">
            <w:pPr>
              <w:spacing w:after="0" w:line="240" w:lineRule="auto"/>
              <w:jc w:val="center"/>
              <w:rPr>
                <w:rFonts w:ascii="Arial Narrow" w:hAnsi="Arial Narrow"/>
                <w:color w:val="000000"/>
                <w:sz w:val="20"/>
                <w:szCs w:val="20"/>
              </w:rPr>
            </w:pPr>
            <w:r w:rsidRPr="00B13240">
              <w:rPr>
                <w:rFonts w:ascii="Arial Narrow" w:hAnsi="Arial Narrow"/>
                <w:color w:val="000000"/>
                <w:sz w:val="20"/>
                <w:szCs w:val="20"/>
              </w:rPr>
              <w:t>1,8</w:t>
            </w:r>
          </w:p>
        </w:tc>
      </w:tr>
      <w:tr w:rsidR="00F702C0" w:rsidRPr="00130274" w:rsidTr="00796DD7">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23</w:t>
            </w:r>
          </w:p>
        </w:tc>
        <w:tc>
          <w:tcPr>
            <w:tcW w:w="4427" w:type="dxa"/>
            <w:tcBorders>
              <w:top w:val="nil"/>
              <w:left w:val="nil"/>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Сузунский район</w:t>
            </w:r>
          </w:p>
        </w:tc>
        <w:tc>
          <w:tcPr>
            <w:tcW w:w="2268" w:type="dxa"/>
            <w:tcBorders>
              <w:top w:val="nil"/>
              <w:left w:val="nil"/>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54</w:t>
            </w:r>
          </w:p>
        </w:tc>
        <w:tc>
          <w:tcPr>
            <w:tcW w:w="2268" w:type="dxa"/>
            <w:tcBorders>
              <w:top w:val="nil"/>
              <w:left w:val="nil"/>
              <w:bottom w:val="single" w:sz="4" w:space="0" w:color="auto"/>
              <w:right w:val="single" w:sz="4" w:space="0" w:color="auto"/>
            </w:tcBorders>
            <w:shd w:val="clear" w:color="auto" w:fill="auto"/>
            <w:noWrap/>
            <w:vAlign w:val="bottom"/>
            <w:hideMark/>
          </w:tcPr>
          <w:p w:rsidR="00F702C0" w:rsidRPr="00130274" w:rsidRDefault="00B13240" w:rsidP="00281482">
            <w:pPr>
              <w:spacing w:after="0" w:line="240" w:lineRule="auto"/>
              <w:jc w:val="center"/>
              <w:rPr>
                <w:rFonts w:ascii="Arial Narrow" w:hAnsi="Arial Narrow"/>
                <w:color w:val="000000"/>
                <w:sz w:val="20"/>
                <w:szCs w:val="20"/>
              </w:rPr>
            </w:pPr>
            <w:r w:rsidRPr="00B13240">
              <w:rPr>
                <w:rFonts w:ascii="Arial Narrow" w:hAnsi="Arial Narrow"/>
                <w:color w:val="000000"/>
                <w:sz w:val="20"/>
                <w:szCs w:val="20"/>
              </w:rPr>
              <w:t>1,8</w:t>
            </w:r>
          </w:p>
        </w:tc>
      </w:tr>
      <w:tr w:rsidR="00F702C0" w:rsidRPr="00130274" w:rsidTr="00796DD7">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24</w:t>
            </w:r>
          </w:p>
        </w:tc>
        <w:tc>
          <w:tcPr>
            <w:tcW w:w="4427" w:type="dxa"/>
            <w:tcBorders>
              <w:top w:val="nil"/>
              <w:left w:val="nil"/>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Ордынский район</w:t>
            </w:r>
          </w:p>
        </w:tc>
        <w:tc>
          <w:tcPr>
            <w:tcW w:w="2268" w:type="dxa"/>
            <w:tcBorders>
              <w:top w:val="nil"/>
              <w:left w:val="nil"/>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53</w:t>
            </w:r>
          </w:p>
        </w:tc>
        <w:tc>
          <w:tcPr>
            <w:tcW w:w="2268" w:type="dxa"/>
            <w:tcBorders>
              <w:top w:val="nil"/>
              <w:left w:val="nil"/>
              <w:bottom w:val="single" w:sz="4" w:space="0" w:color="auto"/>
              <w:right w:val="single" w:sz="4" w:space="0" w:color="auto"/>
            </w:tcBorders>
            <w:shd w:val="clear" w:color="auto" w:fill="auto"/>
            <w:noWrap/>
            <w:vAlign w:val="bottom"/>
            <w:hideMark/>
          </w:tcPr>
          <w:p w:rsidR="00F702C0" w:rsidRPr="00130274" w:rsidRDefault="00B13240" w:rsidP="00281482">
            <w:pPr>
              <w:spacing w:after="0" w:line="240" w:lineRule="auto"/>
              <w:jc w:val="center"/>
              <w:rPr>
                <w:rFonts w:ascii="Arial Narrow" w:hAnsi="Arial Narrow"/>
                <w:color w:val="000000"/>
                <w:sz w:val="20"/>
                <w:szCs w:val="20"/>
              </w:rPr>
            </w:pPr>
            <w:r w:rsidRPr="00B13240">
              <w:rPr>
                <w:rFonts w:ascii="Arial Narrow" w:hAnsi="Arial Narrow"/>
                <w:color w:val="000000"/>
                <w:sz w:val="20"/>
                <w:szCs w:val="20"/>
              </w:rPr>
              <w:t>1,7</w:t>
            </w:r>
          </w:p>
        </w:tc>
      </w:tr>
      <w:tr w:rsidR="00F702C0" w:rsidRPr="00130274" w:rsidTr="00796DD7">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25</w:t>
            </w:r>
          </w:p>
        </w:tc>
        <w:tc>
          <w:tcPr>
            <w:tcW w:w="4427" w:type="dxa"/>
            <w:tcBorders>
              <w:top w:val="nil"/>
              <w:left w:val="nil"/>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Маслянинский район</w:t>
            </w:r>
          </w:p>
        </w:tc>
        <w:tc>
          <w:tcPr>
            <w:tcW w:w="2268" w:type="dxa"/>
            <w:tcBorders>
              <w:top w:val="nil"/>
              <w:left w:val="nil"/>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53</w:t>
            </w:r>
          </w:p>
        </w:tc>
        <w:tc>
          <w:tcPr>
            <w:tcW w:w="2268" w:type="dxa"/>
            <w:tcBorders>
              <w:top w:val="nil"/>
              <w:left w:val="nil"/>
              <w:bottom w:val="single" w:sz="4" w:space="0" w:color="auto"/>
              <w:right w:val="single" w:sz="4" w:space="0" w:color="auto"/>
            </w:tcBorders>
            <w:shd w:val="clear" w:color="auto" w:fill="auto"/>
            <w:noWrap/>
            <w:vAlign w:val="bottom"/>
            <w:hideMark/>
          </w:tcPr>
          <w:p w:rsidR="00F702C0" w:rsidRPr="00130274" w:rsidRDefault="00B13240" w:rsidP="00281482">
            <w:pPr>
              <w:spacing w:after="0" w:line="240" w:lineRule="auto"/>
              <w:jc w:val="center"/>
              <w:rPr>
                <w:rFonts w:ascii="Arial Narrow" w:hAnsi="Arial Narrow"/>
                <w:color w:val="000000"/>
                <w:sz w:val="20"/>
                <w:szCs w:val="20"/>
              </w:rPr>
            </w:pPr>
            <w:r w:rsidRPr="00B13240">
              <w:rPr>
                <w:rFonts w:ascii="Arial Narrow" w:hAnsi="Arial Narrow"/>
                <w:color w:val="000000"/>
                <w:sz w:val="20"/>
                <w:szCs w:val="20"/>
              </w:rPr>
              <w:t>1,7</w:t>
            </w:r>
          </w:p>
        </w:tc>
      </w:tr>
      <w:tr w:rsidR="00F702C0" w:rsidRPr="00130274" w:rsidTr="00796DD7">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26</w:t>
            </w:r>
          </w:p>
        </w:tc>
        <w:tc>
          <w:tcPr>
            <w:tcW w:w="4427" w:type="dxa"/>
            <w:tcBorders>
              <w:top w:val="nil"/>
              <w:left w:val="nil"/>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Кыштовский район</w:t>
            </w:r>
          </w:p>
        </w:tc>
        <w:tc>
          <w:tcPr>
            <w:tcW w:w="2268" w:type="dxa"/>
            <w:tcBorders>
              <w:top w:val="nil"/>
              <w:left w:val="nil"/>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53</w:t>
            </w:r>
          </w:p>
        </w:tc>
        <w:tc>
          <w:tcPr>
            <w:tcW w:w="2268" w:type="dxa"/>
            <w:tcBorders>
              <w:top w:val="nil"/>
              <w:left w:val="nil"/>
              <w:bottom w:val="single" w:sz="4" w:space="0" w:color="auto"/>
              <w:right w:val="single" w:sz="4" w:space="0" w:color="auto"/>
            </w:tcBorders>
            <w:shd w:val="clear" w:color="auto" w:fill="auto"/>
            <w:noWrap/>
            <w:vAlign w:val="bottom"/>
            <w:hideMark/>
          </w:tcPr>
          <w:p w:rsidR="00F702C0" w:rsidRPr="00130274" w:rsidRDefault="00B13240" w:rsidP="00281482">
            <w:pPr>
              <w:spacing w:after="0" w:line="240" w:lineRule="auto"/>
              <w:jc w:val="center"/>
              <w:rPr>
                <w:rFonts w:ascii="Arial Narrow" w:hAnsi="Arial Narrow"/>
                <w:color w:val="000000"/>
                <w:sz w:val="20"/>
                <w:szCs w:val="20"/>
              </w:rPr>
            </w:pPr>
            <w:r w:rsidRPr="00B13240">
              <w:rPr>
                <w:rFonts w:ascii="Arial Narrow" w:hAnsi="Arial Narrow"/>
                <w:color w:val="000000"/>
                <w:sz w:val="20"/>
                <w:szCs w:val="20"/>
              </w:rPr>
              <w:t>1,7</w:t>
            </w:r>
          </w:p>
        </w:tc>
      </w:tr>
      <w:tr w:rsidR="00F702C0" w:rsidRPr="00130274" w:rsidTr="00796DD7">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27</w:t>
            </w:r>
          </w:p>
        </w:tc>
        <w:tc>
          <w:tcPr>
            <w:tcW w:w="4427" w:type="dxa"/>
            <w:tcBorders>
              <w:top w:val="nil"/>
              <w:left w:val="nil"/>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Каргатский район</w:t>
            </w:r>
          </w:p>
        </w:tc>
        <w:tc>
          <w:tcPr>
            <w:tcW w:w="2268" w:type="dxa"/>
            <w:tcBorders>
              <w:top w:val="nil"/>
              <w:left w:val="nil"/>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52</w:t>
            </w:r>
          </w:p>
        </w:tc>
        <w:tc>
          <w:tcPr>
            <w:tcW w:w="2268" w:type="dxa"/>
            <w:tcBorders>
              <w:top w:val="nil"/>
              <w:left w:val="nil"/>
              <w:bottom w:val="single" w:sz="4" w:space="0" w:color="auto"/>
              <w:right w:val="single" w:sz="4" w:space="0" w:color="auto"/>
            </w:tcBorders>
            <w:shd w:val="clear" w:color="auto" w:fill="auto"/>
            <w:noWrap/>
            <w:vAlign w:val="bottom"/>
            <w:hideMark/>
          </w:tcPr>
          <w:p w:rsidR="00F702C0" w:rsidRPr="00130274" w:rsidRDefault="00B13240" w:rsidP="00281482">
            <w:pPr>
              <w:spacing w:after="0" w:line="240" w:lineRule="auto"/>
              <w:jc w:val="center"/>
              <w:rPr>
                <w:rFonts w:ascii="Arial Narrow" w:hAnsi="Arial Narrow"/>
                <w:color w:val="000000"/>
                <w:sz w:val="20"/>
                <w:szCs w:val="20"/>
              </w:rPr>
            </w:pPr>
            <w:r w:rsidRPr="00B13240">
              <w:rPr>
                <w:rFonts w:ascii="Arial Narrow" w:hAnsi="Arial Narrow"/>
                <w:color w:val="000000"/>
                <w:sz w:val="20"/>
                <w:szCs w:val="20"/>
              </w:rPr>
              <w:t>1,7</w:t>
            </w:r>
          </w:p>
        </w:tc>
      </w:tr>
      <w:tr w:rsidR="00F702C0" w:rsidRPr="00130274" w:rsidTr="00796DD7">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28</w:t>
            </w:r>
          </w:p>
        </w:tc>
        <w:tc>
          <w:tcPr>
            <w:tcW w:w="4427" w:type="dxa"/>
            <w:tcBorders>
              <w:top w:val="nil"/>
              <w:left w:val="nil"/>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Здвинский район</w:t>
            </w:r>
          </w:p>
        </w:tc>
        <w:tc>
          <w:tcPr>
            <w:tcW w:w="2268" w:type="dxa"/>
            <w:tcBorders>
              <w:top w:val="nil"/>
              <w:left w:val="nil"/>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49</w:t>
            </w:r>
          </w:p>
        </w:tc>
        <w:tc>
          <w:tcPr>
            <w:tcW w:w="2268" w:type="dxa"/>
            <w:tcBorders>
              <w:top w:val="nil"/>
              <w:left w:val="nil"/>
              <w:bottom w:val="single" w:sz="4" w:space="0" w:color="auto"/>
              <w:right w:val="single" w:sz="4" w:space="0" w:color="auto"/>
            </w:tcBorders>
            <w:shd w:val="clear" w:color="auto" w:fill="auto"/>
            <w:noWrap/>
            <w:vAlign w:val="bottom"/>
            <w:hideMark/>
          </w:tcPr>
          <w:p w:rsidR="00F702C0" w:rsidRPr="00130274" w:rsidRDefault="00B13240" w:rsidP="00281482">
            <w:pPr>
              <w:spacing w:after="0" w:line="240" w:lineRule="auto"/>
              <w:jc w:val="center"/>
              <w:rPr>
                <w:rFonts w:ascii="Arial Narrow" w:hAnsi="Arial Narrow"/>
                <w:color w:val="000000"/>
                <w:sz w:val="20"/>
                <w:szCs w:val="20"/>
              </w:rPr>
            </w:pPr>
            <w:r w:rsidRPr="00B13240">
              <w:rPr>
                <w:rFonts w:ascii="Arial Narrow" w:hAnsi="Arial Narrow"/>
                <w:color w:val="000000"/>
                <w:sz w:val="20"/>
                <w:szCs w:val="20"/>
              </w:rPr>
              <w:t>1,6</w:t>
            </w:r>
          </w:p>
        </w:tc>
      </w:tr>
      <w:tr w:rsidR="00F702C0" w:rsidRPr="00130274" w:rsidTr="00796DD7">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29</w:t>
            </w:r>
          </w:p>
        </w:tc>
        <w:tc>
          <w:tcPr>
            <w:tcW w:w="4427" w:type="dxa"/>
            <w:tcBorders>
              <w:top w:val="nil"/>
              <w:left w:val="nil"/>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Кочковский район</w:t>
            </w:r>
          </w:p>
        </w:tc>
        <w:tc>
          <w:tcPr>
            <w:tcW w:w="2268" w:type="dxa"/>
            <w:tcBorders>
              <w:top w:val="nil"/>
              <w:left w:val="nil"/>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46</w:t>
            </w:r>
          </w:p>
        </w:tc>
        <w:tc>
          <w:tcPr>
            <w:tcW w:w="2268" w:type="dxa"/>
            <w:tcBorders>
              <w:top w:val="nil"/>
              <w:left w:val="nil"/>
              <w:bottom w:val="single" w:sz="4" w:space="0" w:color="auto"/>
              <w:right w:val="single" w:sz="4" w:space="0" w:color="auto"/>
            </w:tcBorders>
            <w:shd w:val="clear" w:color="auto" w:fill="auto"/>
            <w:noWrap/>
            <w:vAlign w:val="bottom"/>
            <w:hideMark/>
          </w:tcPr>
          <w:p w:rsidR="00F702C0" w:rsidRPr="00130274" w:rsidRDefault="00B13240" w:rsidP="00281482">
            <w:pPr>
              <w:spacing w:after="0" w:line="240" w:lineRule="auto"/>
              <w:jc w:val="center"/>
              <w:rPr>
                <w:rFonts w:ascii="Arial Narrow" w:hAnsi="Arial Narrow"/>
                <w:color w:val="000000"/>
                <w:sz w:val="20"/>
                <w:szCs w:val="20"/>
              </w:rPr>
            </w:pPr>
            <w:r w:rsidRPr="00B13240">
              <w:rPr>
                <w:rFonts w:ascii="Arial Narrow" w:hAnsi="Arial Narrow"/>
                <w:color w:val="000000"/>
                <w:sz w:val="20"/>
                <w:szCs w:val="20"/>
              </w:rPr>
              <w:t>1,5</w:t>
            </w:r>
          </w:p>
        </w:tc>
      </w:tr>
      <w:tr w:rsidR="00F702C0" w:rsidRPr="00130274" w:rsidTr="00796DD7">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30</w:t>
            </w:r>
          </w:p>
        </w:tc>
        <w:tc>
          <w:tcPr>
            <w:tcW w:w="4427" w:type="dxa"/>
            <w:tcBorders>
              <w:top w:val="nil"/>
              <w:left w:val="nil"/>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г. Искитим</w:t>
            </w:r>
          </w:p>
        </w:tc>
        <w:tc>
          <w:tcPr>
            <w:tcW w:w="2268" w:type="dxa"/>
            <w:tcBorders>
              <w:top w:val="nil"/>
              <w:left w:val="nil"/>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45</w:t>
            </w:r>
          </w:p>
        </w:tc>
        <w:tc>
          <w:tcPr>
            <w:tcW w:w="2268" w:type="dxa"/>
            <w:tcBorders>
              <w:top w:val="nil"/>
              <w:left w:val="nil"/>
              <w:bottom w:val="single" w:sz="4" w:space="0" w:color="auto"/>
              <w:right w:val="single" w:sz="4" w:space="0" w:color="auto"/>
            </w:tcBorders>
            <w:shd w:val="clear" w:color="auto" w:fill="auto"/>
            <w:noWrap/>
            <w:vAlign w:val="bottom"/>
            <w:hideMark/>
          </w:tcPr>
          <w:p w:rsidR="00F702C0" w:rsidRPr="00130274" w:rsidRDefault="00B13240" w:rsidP="00281482">
            <w:pPr>
              <w:spacing w:after="0" w:line="240" w:lineRule="auto"/>
              <w:jc w:val="center"/>
              <w:rPr>
                <w:rFonts w:ascii="Arial Narrow" w:hAnsi="Arial Narrow"/>
                <w:color w:val="000000"/>
                <w:sz w:val="20"/>
                <w:szCs w:val="20"/>
              </w:rPr>
            </w:pPr>
            <w:r w:rsidRPr="00B13240">
              <w:rPr>
                <w:rFonts w:ascii="Arial Narrow" w:hAnsi="Arial Narrow"/>
                <w:color w:val="000000"/>
                <w:sz w:val="20"/>
                <w:szCs w:val="20"/>
              </w:rPr>
              <w:t>1,5</w:t>
            </w:r>
          </w:p>
        </w:tc>
      </w:tr>
      <w:tr w:rsidR="00F702C0" w:rsidRPr="00130274" w:rsidTr="00796DD7">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31</w:t>
            </w:r>
          </w:p>
        </w:tc>
        <w:tc>
          <w:tcPr>
            <w:tcW w:w="4427" w:type="dxa"/>
            <w:tcBorders>
              <w:top w:val="nil"/>
              <w:left w:val="nil"/>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Усть-Таркский район</w:t>
            </w:r>
          </w:p>
        </w:tc>
        <w:tc>
          <w:tcPr>
            <w:tcW w:w="2268" w:type="dxa"/>
            <w:tcBorders>
              <w:top w:val="nil"/>
              <w:left w:val="nil"/>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37</w:t>
            </w:r>
          </w:p>
        </w:tc>
        <w:tc>
          <w:tcPr>
            <w:tcW w:w="2268" w:type="dxa"/>
            <w:tcBorders>
              <w:top w:val="nil"/>
              <w:left w:val="nil"/>
              <w:bottom w:val="single" w:sz="4" w:space="0" w:color="auto"/>
              <w:right w:val="single" w:sz="4" w:space="0" w:color="auto"/>
            </w:tcBorders>
            <w:shd w:val="clear" w:color="auto" w:fill="auto"/>
            <w:noWrap/>
            <w:vAlign w:val="bottom"/>
            <w:hideMark/>
          </w:tcPr>
          <w:p w:rsidR="00F702C0" w:rsidRPr="00130274" w:rsidRDefault="00B13240" w:rsidP="00281482">
            <w:pPr>
              <w:spacing w:after="0" w:line="240" w:lineRule="auto"/>
              <w:jc w:val="center"/>
              <w:rPr>
                <w:rFonts w:ascii="Arial Narrow" w:hAnsi="Arial Narrow"/>
                <w:color w:val="000000"/>
                <w:sz w:val="20"/>
                <w:szCs w:val="20"/>
              </w:rPr>
            </w:pPr>
            <w:r w:rsidRPr="00B13240">
              <w:rPr>
                <w:rFonts w:ascii="Arial Narrow" w:hAnsi="Arial Narrow"/>
                <w:color w:val="000000"/>
                <w:sz w:val="20"/>
                <w:szCs w:val="20"/>
              </w:rPr>
              <w:t>1,2</w:t>
            </w:r>
          </w:p>
        </w:tc>
      </w:tr>
      <w:tr w:rsidR="00F702C0" w:rsidRPr="00130274" w:rsidTr="00130274">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32</w:t>
            </w:r>
          </w:p>
        </w:tc>
        <w:tc>
          <w:tcPr>
            <w:tcW w:w="4427" w:type="dxa"/>
            <w:tcBorders>
              <w:top w:val="nil"/>
              <w:left w:val="nil"/>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Баганский район</w:t>
            </w:r>
          </w:p>
        </w:tc>
        <w:tc>
          <w:tcPr>
            <w:tcW w:w="2268" w:type="dxa"/>
            <w:tcBorders>
              <w:top w:val="nil"/>
              <w:left w:val="nil"/>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32</w:t>
            </w:r>
          </w:p>
        </w:tc>
        <w:tc>
          <w:tcPr>
            <w:tcW w:w="2268" w:type="dxa"/>
            <w:tcBorders>
              <w:top w:val="nil"/>
              <w:left w:val="nil"/>
              <w:bottom w:val="single" w:sz="4" w:space="0" w:color="auto"/>
              <w:right w:val="single" w:sz="4" w:space="0" w:color="auto"/>
            </w:tcBorders>
            <w:shd w:val="clear" w:color="auto" w:fill="auto"/>
            <w:noWrap/>
            <w:vAlign w:val="bottom"/>
            <w:hideMark/>
          </w:tcPr>
          <w:p w:rsidR="00F702C0" w:rsidRPr="00130274" w:rsidRDefault="00B13240" w:rsidP="00281482">
            <w:pPr>
              <w:spacing w:after="0" w:line="240" w:lineRule="auto"/>
              <w:jc w:val="center"/>
              <w:rPr>
                <w:rFonts w:ascii="Arial Narrow" w:hAnsi="Arial Narrow"/>
                <w:color w:val="000000"/>
                <w:sz w:val="20"/>
                <w:szCs w:val="20"/>
              </w:rPr>
            </w:pPr>
            <w:r w:rsidRPr="00B13240">
              <w:rPr>
                <w:rFonts w:ascii="Arial Narrow" w:hAnsi="Arial Narrow"/>
                <w:color w:val="000000"/>
                <w:sz w:val="20"/>
                <w:szCs w:val="20"/>
              </w:rPr>
              <w:t>1,0</w:t>
            </w:r>
          </w:p>
        </w:tc>
      </w:tr>
      <w:tr w:rsidR="00F702C0" w:rsidRPr="00130274" w:rsidTr="00130274">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33</w:t>
            </w:r>
          </w:p>
        </w:tc>
        <w:tc>
          <w:tcPr>
            <w:tcW w:w="44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Северный район</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16</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702C0" w:rsidRPr="00130274" w:rsidRDefault="00B13240" w:rsidP="00281482">
            <w:pPr>
              <w:spacing w:after="0" w:line="240" w:lineRule="auto"/>
              <w:jc w:val="center"/>
              <w:rPr>
                <w:rFonts w:ascii="Arial Narrow" w:hAnsi="Arial Narrow"/>
                <w:color w:val="000000"/>
                <w:sz w:val="20"/>
                <w:szCs w:val="20"/>
              </w:rPr>
            </w:pPr>
            <w:r w:rsidRPr="00B13240">
              <w:rPr>
                <w:rFonts w:ascii="Arial Narrow" w:hAnsi="Arial Narrow"/>
                <w:color w:val="000000"/>
                <w:sz w:val="20"/>
                <w:szCs w:val="20"/>
              </w:rPr>
              <w:t>0,5</w:t>
            </w:r>
          </w:p>
        </w:tc>
      </w:tr>
      <w:tr w:rsidR="00F702C0" w:rsidRPr="00130274" w:rsidTr="00130274">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34</w:t>
            </w:r>
          </w:p>
        </w:tc>
        <w:tc>
          <w:tcPr>
            <w:tcW w:w="44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р. п. Кольцово</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12</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702C0" w:rsidRPr="00130274" w:rsidRDefault="00B13240" w:rsidP="00281482">
            <w:pPr>
              <w:spacing w:after="0" w:line="240" w:lineRule="auto"/>
              <w:jc w:val="center"/>
              <w:rPr>
                <w:rFonts w:ascii="Arial Narrow" w:hAnsi="Arial Narrow"/>
                <w:color w:val="000000"/>
                <w:sz w:val="20"/>
                <w:szCs w:val="20"/>
              </w:rPr>
            </w:pPr>
            <w:r w:rsidRPr="00B13240">
              <w:rPr>
                <w:rFonts w:ascii="Arial Narrow" w:hAnsi="Arial Narrow"/>
                <w:color w:val="000000"/>
                <w:sz w:val="20"/>
                <w:szCs w:val="20"/>
              </w:rPr>
              <w:t>0,4</w:t>
            </w:r>
          </w:p>
        </w:tc>
      </w:tr>
      <w:tr w:rsidR="00F702C0" w:rsidRPr="00130274" w:rsidTr="0013027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Pr>
                <w:rFonts w:ascii="Arial Narrow" w:eastAsia="Times New Roman" w:hAnsi="Arial Narrow" w:cs="Times New Roman"/>
                <w:sz w:val="20"/>
                <w:szCs w:val="20"/>
                <w:lang w:eastAsia="ru-RU"/>
              </w:rPr>
              <w:t>35</w:t>
            </w:r>
          </w:p>
        </w:tc>
        <w:tc>
          <w:tcPr>
            <w:tcW w:w="44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rPr>
                <w:rFonts w:ascii="Arial Narrow" w:eastAsia="Times New Roman" w:hAnsi="Arial Narrow" w:cs="Times New Roman"/>
                <w:sz w:val="20"/>
                <w:szCs w:val="20"/>
                <w:lang w:eastAsia="ru-RU"/>
              </w:rPr>
            </w:pPr>
            <w:r>
              <w:rPr>
                <w:rFonts w:ascii="Arial Narrow" w:eastAsia="Times New Roman" w:hAnsi="Arial Narrow" w:cs="Times New Roman"/>
                <w:sz w:val="20"/>
                <w:szCs w:val="20"/>
                <w:lang w:eastAsia="ru-RU"/>
              </w:rPr>
              <w:t>г. Обь</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Pr>
                <w:rFonts w:ascii="Arial Narrow" w:eastAsia="Times New Roman" w:hAnsi="Arial Narrow" w:cs="Times New Roman"/>
                <w:sz w:val="20"/>
                <w:szCs w:val="20"/>
                <w:lang w:eastAsia="ru-RU"/>
              </w:rPr>
              <w:t>10</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702C0" w:rsidRPr="00130274" w:rsidRDefault="00B13240" w:rsidP="00281482">
            <w:pPr>
              <w:spacing w:after="0" w:line="240" w:lineRule="auto"/>
              <w:jc w:val="center"/>
              <w:rPr>
                <w:rFonts w:ascii="Arial Narrow" w:hAnsi="Arial Narrow"/>
                <w:color w:val="000000"/>
                <w:sz w:val="20"/>
                <w:szCs w:val="20"/>
              </w:rPr>
            </w:pPr>
            <w:r w:rsidRPr="00B13240">
              <w:rPr>
                <w:rFonts w:ascii="Arial Narrow" w:hAnsi="Arial Narrow"/>
                <w:color w:val="000000"/>
                <w:sz w:val="20"/>
                <w:szCs w:val="20"/>
              </w:rPr>
              <w:t>0,3</w:t>
            </w:r>
          </w:p>
        </w:tc>
      </w:tr>
      <w:tr w:rsidR="00F702C0" w:rsidRPr="00130274" w:rsidTr="0013027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Pr>
                <w:rFonts w:ascii="Arial Narrow" w:eastAsia="Times New Roman" w:hAnsi="Arial Narrow" w:cs="Times New Roman"/>
                <w:sz w:val="20"/>
                <w:szCs w:val="20"/>
                <w:lang w:eastAsia="ru-RU"/>
              </w:rPr>
              <w:t> </w:t>
            </w:r>
          </w:p>
        </w:tc>
        <w:tc>
          <w:tcPr>
            <w:tcW w:w="44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rPr>
                <w:rFonts w:ascii="Arial Narrow" w:eastAsia="Times New Roman" w:hAnsi="Arial Narrow" w:cs="Times New Roman"/>
                <w:sz w:val="20"/>
                <w:szCs w:val="20"/>
                <w:lang w:eastAsia="ru-RU"/>
              </w:rPr>
            </w:pPr>
            <w:r>
              <w:rPr>
                <w:rFonts w:ascii="Arial Narrow" w:eastAsia="Times New Roman" w:hAnsi="Arial Narrow" w:cs="Times New Roman"/>
                <w:sz w:val="20"/>
                <w:szCs w:val="20"/>
                <w:lang w:eastAsia="ru-RU"/>
              </w:rPr>
              <w:t>Нет данных</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02C0" w:rsidRPr="00130274" w:rsidRDefault="00B13240" w:rsidP="00281482">
            <w:pPr>
              <w:spacing w:after="0" w:line="240" w:lineRule="auto"/>
              <w:jc w:val="center"/>
              <w:rPr>
                <w:rFonts w:ascii="Arial Narrow" w:eastAsia="Times New Roman" w:hAnsi="Arial Narrow" w:cs="Times New Roman"/>
                <w:sz w:val="20"/>
                <w:szCs w:val="20"/>
                <w:lang w:eastAsia="ru-RU"/>
              </w:rPr>
            </w:pPr>
            <w:r>
              <w:rPr>
                <w:rFonts w:ascii="Arial Narrow" w:eastAsia="Times New Roman" w:hAnsi="Arial Narrow" w:cs="Times New Roman"/>
                <w:sz w:val="20"/>
                <w:szCs w:val="20"/>
                <w:lang w:eastAsia="ru-RU"/>
              </w:rPr>
              <w:t>190</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702C0" w:rsidRPr="00130274" w:rsidRDefault="00B13240" w:rsidP="00281482">
            <w:pPr>
              <w:spacing w:after="0" w:line="240" w:lineRule="auto"/>
              <w:jc w:val="center"/>
              <w:rPr>
                <w:rFonts w:ascii="Arial Narrow" w:hAnsi="Arial Narrow"/>
                <w:color w:val="000000"/>
                <w:sz w:val="20"/>
                <w:szCs w:val="20"/>
              </w:rPr>
            </w:pPr>
            <w:r w:rsidRPr="00B13240">
              <w:rPr>
                <w:rFonts w:ascii="Arial Narrow" w:hAnsi="Arial Narrow"/>
                <w:color w:val="000000"/>
                <w:sz w:val="20"/>
                <w:szCs w:val="20"/>
              </w:rPr>
              <w:t>6,2</w:t>
            </w:r>
          </w:p>
        </w:tc>
      </w:tr>
      <w:tr w:rsidR="00281482" w:rsidRPr="00130274" w:rsidTr="0013027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81482" w:rsidRPr="00130274" w:rsidRDefault="00B13240" w:rsidP="00281482">
            <w:pPr>
              <w:spacing w:after="0" w:line="240" w:lineRule="auto"/>
              <w:jc w:val="center"/>
              <w:rPr>
                <w:rFonts w:ascii="Arial Narrow" w:eastAsia="Times New Roman" w:hAnsi="Arial Narrow" w:cs="Times New Roman"/>
                <w:sz w:val="20"/>
                <w:szCs w:val="20"/>
                <w:lang w:eastAsia="ru-RU"/>
              </w:rPr>
            </w:pPr>
            <w:r>
              <w:rPr>
                <w:rFonts w:ascii="Arial Narrow" w:eastAsia="Times New Roman" w:hAnsi="Arial Narrow" w:cs="Times New Roman"/>
                <w:sz w:val="20"/>
                <w:szCs w:val="20"/>
                <w:lang w:eastAsia="ru-RU"/>
              </w:rPr>
              <w:t> </w:t>
            </w:r>
          </w:p>
        </w:tc>
        <w:tc>
          <w:tcPr>
            <w:tcW w:w="44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81482" w:rsidRPr="00130274" w:rsidRDefault="00B13240" w:rsidP="00281482">
            <w:pPr>
              <w:spacing w:after="0" w:line="240" w:lineRule="auto"/>
              <w:rPr>
                <w:rFonts w:ascii="Arial Narrow" w:eastAsia="Times New Roman" w:hAnsi="Arial Narrow" w:cs="Times New Roman"/>
                <w:sz w:val="20"/>
                <w:szCs w:val="20"/>
                <w:lang w:eastAsia="ru-RU"/>
              </w:rPr>
            </w:pPr>
            <w:r>
              <w:rPr>
                <w:rFonts w:ascii="Arial Narrow" w:eastAsia="Times New Roman" w:hAnsi="Arial Narrow" w:cs="Times New Roman"/>
                <w:sz w:val="20"/>
                <w:szCs w:val="20"/>
                <w:lang w:eastAsia="ru-RU"/>
              </w:rPr>
              <w:t>ИТОГО</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81482" w:rsidRPr="00130274" w:rsidRDefault="00B13240" w:rsidP="00281482">
            <w:pPr>
              <w:spacing w:after="0" w:line="240" w:lineRule="auto"/>
              <w:jc w:val="center"/>
              <w:rPr>
                <w:rFonts w:ascii="Arial Narrow" w:eastAsia="Times New Roman" w:hAnsi="Arial Narrow" w:cs="Times New Roman"/>
                <w:sz w:val="20"/>
                <w:szCs w:val="20"/>
                <w:lang w:eastAsia="ru-RU"/>
              </w:rPr>
            </w:pPr>
            <w:r>
              <w:rPr>
                <w:rFonts w:ascii="Arial Narrow" w:eastAsia="Times New Roman" w:hAnsi="Arial Narrow" w:cs="Times New Roman"/>
                <w:sz w:val="20"/>
                <w:szCs w:val="20"/>
                <w:lang w:eastAsia="ru-RU"/>
              </w:rPr>
              <w:t>3067</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81482" w:rsidRPr="00130274" w:rsidRDefault="00B13240" w:rsidP="00281482">
            <w:pPr>
              <w:spacing w:after="0" w:line="240" w:lineRule="auto"/>
              <w:jc w:val="center"/>
              <w:rPr>
                <w:rFonts w:ascii="Arial Narrow" w:hAnsi="Arial Narrow"/>
                <w:color w:val="000000"/>
                <w:sz w:val="20"/>
                <w:szCs w:val="20"/>
              </w:rPr>
            </w:pPr>
            <w:r>
              <w:rPr>
                <w:rFonts w:ascii="Arial Narrow" w:hAnsi="Arial Narrow"/>
                <w:color w:val="000000"/>
                <w:sz w:val="20"/>
                <w:szCs w:val="20"/>
              </w:rPr>
              <w:t>100,0%</w:t>
            </w:r>
          </w:p>
        </w:tc>
      </w:tr>
    </w:tbl>
    <w:p w:rsidR="004D5720" w:rsidRPr="00130274" w:rsidRDefault="00B13240" w:rsidP="00103148">
      <w:pPr>
        <w:shd w:val="clear" w:color="auto" w:fill="FFFFFF"/>
        <w:spacing w:after="0" w:line="360" w:lineRule="auto"/>
        <w:ind w:firstLine="284"/>
        <w:jc w:val="both"/>
        <w:rPr>
          <w:rFonts w:ascii="Arial Narrow" w:eastAsia="SimSun" w:hAnsi="Arial Narrow"/>
          <w:sz w:val="24"/>
          <w:szCs w:val="24"/>
        </w:rPr>
      </w:pPr>
      <w:r w:rsidRPr="00B13240">
        <w:rPr>
          <w:rFonts w:ascii="Arial Narrow" w:eastAsia="SimSun" w:hAnsi="Arial Narrow"/>
          <w:b/>
          <w:sz w:val="24"/>
          <w:szCs w:val="24"/>
        </w:rPr>
        <w:lastRenderedPageBreak/>
        <w:t xml:space="preserve">Отраслевая структура </w:t>
      </w:r>
      <w:r w:rsidRPr="00B13240">
        <w:rPr>
          <w:rFonts w:ascii="Arial Narrow" w:eastAsia="SimSun" w:hAnsi="Arial Narrow"/>
          <w:sz w:val="24"/>
          <w:szCs w:val="24"/>
        </w:rPr>
        <w:t>с количеством организаций представлена в таблице 6.2. Учитывая, что один хозяйствующий субъект может заниматься несколькими видами деятельности, суммы по узким сегментам рынка (пример: дополнительное образование, плюс среднее (полное) общее, основное общее образование, плюс дошкольное образование), составляют более 100 % от количества организаций на рынке в целом (пример: образование). Также в таблице представлены максимальные и минимальные доли рынка организаций в натуральном и стоимостном выражении.</w:t>
      </w:r>
    </w:p>
    <w:p w:rsidR="004D5720" w:rsidRPr="00130274" w:rsidRDefault="00B13240" w:rsidP="00103148">
      <w:pPr>
        <w:shd w:val="clear" w:color="auto" w:fill="FFFFFF"/>
        <w:spacing w:after="0" w:line="360" w:lineRule="auto"/>
        <w:ind w:firstLine="284"/>
        <w:jc w:val="both"/>
        <w:rPr>
          <w:rFonts w:ascii="Arial Narrow" w:eastAsia="SimSun" w:hAnsi="Arial Narrow"/>
          <w:sz w:val="24"/>
          <w:szCs w:val="24"/>
        </w:rPr>
      </w:pPr>
      <w:r w:rsidRPr="00B13240">
        <w:rPr>
          <w:rFonts w:ascii="Arial Narrow" w:eastAsia="SimSun" w:hAnsi="Arial Narrow"/>
          <w:sz w:val="24"/>
          <w:szCs w:val="24"/>
        </w:rPr>
        <w:t xml:space="preserve">Наибольшее количество предприятий с долей государственной/муниципальной собственности 50 % и более – среднего (полного) общего образования, основного общего образования (31,69 % от общего количества хозяйствующих субъектов, 972 организации) и дошкольного образования (24,85 %, 762 организации). Услугами в сфере культуры занимается 540 организаций (17,61 %), услугами ЖКУ – 321 организация (10,47 %), дополнительным образованием детей – 235 организаций (7,66 %). В медицинской сфере работает 111 организаций (3,62 %), в сфере спорта – 104 организации (3,39 %). Остальные организации работают на более узких рынках и представлены в основном в г. Новосибирске и других городских округах. </w:t>
      </w:r>
    </w:p>
    <w:p w:rsidR="004D5720" w:rsidRPr="00130274" w:rsidRDefault="00B13240" w:rsidP="00103148">
      <w:pPr>
        <w:shd w:val="clear" w:color="auto" w:fill="FFFFFF"/>
        <w:spacing w:after="0" w:line="360" w:lineRule="auto"/>
        <w:ind w:firstLine="284"/>
        <w:jc w:val="both"/>
        <w:rPr>
          <w:rFonts w:ascii="Arial Narrow" w:eastAsia="SimSun" w:hAnsi="Arial Narrow"/>
          <w:sz w:val="24"/>
          <w:szCs w:val="24"/>
        </w:rPr>
      </w:pPr>
      <w:r w:rsidRPr="00B13240">
        <w:rPr>
          <w:rFonts w:ascii="Arial Narrow" w:eastAsia="SimSun" w:hAnsi="Arial Narrow"/>
          <w:sz w:val="24"/>
          <w:szCs w:val="24"/>
        </w:rPr>
        <w:t>Крупнейшие из предприятий данных рынков, как правило, расположены в г. Новосибирске и обслуживают большое количество населения (крупные образовательные, спортивные, медицинские организации, учреждения культуры, а также предприятия ЖКХ).</w:t>
      </w:r>
    </w:p>
    <w:p w:rsidR="004D5720" w:rsidRPr="00130274" w:rsidRDefault="00B13240" w:rsidP="00103148">
      <w:pPr>
        <w:shd w:val="clear" w:color="auto" w:fill="FFFFFF"/>
        <w:spacing w:after="0" w:line="360" w:lineRule="auto"/>
        <w:ind w:firstLine="284"/>
        <w:jc w:val="both"/>
        <w:rPr>
          <w:rFonts w:ascii="Arial Narrow" w:hAnsi="Arial Narrow"/>
          <w:sz w:val="24"/>
          <w:szCs w:val="24"/>
        </w:rPr>
      </w:pPr>
      <w:r w:rsidRPr="00B13240">
        <w:rPr>
          <w:rFonts w:ascii="Arial Narrow" w:eastAsia="SimSun" w:hAnsi="Arial Narrow"/>
          <w:sz w:val="24"/>
          <w:szCs w:val="24"/>
        </w:rPr>
        <w:t>Ряд специализированных организаций, обслуживающих потребности органов власти регионального уровня, работает на узких рынках (у</w:t>
      </w:r>
      <w:r w:rsidRPr="00B13240">
        <w:rPr>
          <w:rFonts w:ascii="Arial Narrow" w:hAnsi="Arial Narrow"/>
          <w:sz w:val="24"/>
          <w:szCs w:val="24"/>
        </w:rPr>
        <w:t>правление недвижимым имуществом за вознаграждение или на договорной основе, аренда и управление собственным или арендованным недвижимым имуществом; деятельность по созданию и использованию баз данных и информационных ресурсов; оказание услуг, выполнение работ в сфере молодежной политики; регулирование и содействие эффективному ведению экономической деятельности; деятельность в области региональной, национальной и молодежной политики; выполнение работ по организации мероприятий на территории НСО; проведение обследования состояния делопроизводства и ведомственного хранения документов, упорядочение документов организаций; проведение экспертизы ценности с организациями и описание документов; услуги по содействию росту регионального высокотехнологичного бизнеса).</w:t>
      </w:r>
    </w:p>
    <w:p w:rsidR="004D5720" w:rsidRPr="00130274" w:rsidRDefault="00B13240" w:rsidP="00103148">
      <w:pPr>
        <w:shd w:val="clear" w:color="auto" w:fill="FFFFFF"/>
        <w:spacing w:after="0" w:line="360" w:lineRule="auto"/>
        <w:ind w:firstLine="284"/>
        <w:jc w:val="both"/>
        <w:rPr>
          <w:rFonts w:ascii="Arial Narrow" w:eastAsia="SimSun" w:hAnsi="Arial Narrow"/>
          <w:sz w:val="24"/>
          <w:szCs w:val="24"/>
        </w:rPr>
      </w:pPr>
      <w:r w:rsidRPr="00B13240">
        <w:rPr>
          <w:rFonts w:ascii="Arial Narrow" w:eastAsia="SimSun" w:hAnsi="Arial Narrow"/>
          <w:sz w:val="24"/>
          <w:szCs w:val="24"/>
        </w:rPr>
        <w:t xml:space="preserve">Также выделяется ряд предприятий, работающих на узких рынках и представленных в своей сфере деятельности в малом количестве (что говорит о централизованном управлении по всему региону): </w:t>
      </w:r>
      <w:r w:rsidRPr="00B13240">
        <w:rPr>
          <w:rFonts w:ascii="Arial Narrow" w:hAnsi="Arial Narrow"/>
          <w:sz w:val="24"/>
          <w:szCs w:val="24"/>
        </w:rPr>
        <w:t xml:space="preserve">рынок заготовки, производства и реализации лесоматериалов; обработка неметаллических отходов и лома, обработка отходов бумаги и картона, отходов и лома стекла, обработка отходов и лома пластмасс; распределение газообразного топлива; рынок ипотечного кредитования; финансовое посредничество; аренда собственности; строительство; научные исследования и разработки в области естественных и </w:t>
      </w:r>
      <w:r w:rsidRPr="00B13240">
        <w:rPr>
          <w:rFonts w:ascii="Arial Narrow" w:hAnsi="Arial Narrow"/>
          <w:sz w:val="24"/>
          <w:szCs w:val="24"/>
        </w:rPr>
        <w:lastRenderedPageBreak/>
        <w:t>технических наук; исполнение запросов (генеалогических, тематических, социально-правовых); ксерокопирование, сканирование документов по заявкам пользователей и сотрудников для подготовки информационных мероприятий; эксплуатация гаражей, стоянок для автотранспортных средств, велосипедов и т. д.; предоставление в аренду транспортных средств; мониторинг пожарной опасности в лесах и лесных пожаров. Организации, относящиеся к данным рынкам, обслуживают потребности населения, бизнеса или являются производственными предприятиями, при этом напрямую не обеспечивают потребности органов власти. Ввиду этого возможна их деятельность в качестве негосударственных организаций и участие в свободной рыночной конкуренции. При этом их деятельность в текущей форме собственности может негативно сказываться на деятельности негосударственных организаций, работающих на данных рынках.</w:t>
      </w:r>
    </w:p>
    <w:p w:rsidR="00BF6DC4" w:rsidRPr="00130274" w:rsidRDefault="00BF6DC4" w:rsidP="004D5720">
      <w:pPr>
        <w:shd w:val="clear" w:color="auto" w:fill="FFFFFF"/>
        <w:rPr>
          <w:rFonts w:ascii="Arial Narrow" w:eastAsia="SimSun" w:hAnsi="Arial Narrow"/>
          <w:sz w:val="24"/>
          <w:szCs w:val="24"/>
        </w:rPr>
      </w:pPr>
    </w:p>
    <w:p w:rsidR="004D5720" w:rsidRPr="00130274" w:rsidRDefault="00B13240" w:rsidP="004865F9">
      <w:pPr>
        <w:shd w:val="clear" w:color="auto" w:fill="FFFFFF"/>
        <w:spacing w:after="0" w:line="240" w:lineRule="auto"/>
        <w:rPr>
          <w:rFonts w:ascii="Arial Narrow" w:eastAsia="SimSun" w:hAnsi="Arial Narrow"/>
          <w:sz w:val="24"/>
          <w:szCs w:val="24"/>
        </w:rPr>
      </w:pPr>
      <w:r w:rsidRPr="00B13240">
        <w:rPr>
          <w:rFonts w:ascii="Arial Narrow" w:eastAsia="SimSun" w:hAnsi="Arial Narrow"/>
          <w:sz w:val="24"/>
          <w:szCs w:val="24"/>
        </w:rPr>
        <w:t xml:space="preserve">Таблица 6.2 – </w:t>
      </w:r>
      <w:r w:rsidRPr="00B13240">
        <w:rPr>
          <w:rFonts w:ascii="Arial Narrow" w:eastAsia="SimSun" w:hAnsi="Arial Narrow"/>
          <w:b/>
          <w:sz w:val="24"/>
          <w:szCs w:val="24"/>
        </w:rPr>
        <w:t xml:space="preserve">Отраслевая структура предприятий, </w:t>
      </w:r>
      <w:r w:rsidRPr="00B13240">
        <w:rPr>
          <w:rFonts w:ascii="Arial Narrow" w:hAnsi="Arial Narrow"/>
          <w:b/>
          <w:sz w:val="24"/>
          <w:szCs w:val="24"/>
        </w:rPr>
        <w:t>доли участия субъекта Российской Федерации или муниципального образования в которых составляет 50 и более процентов,</w:t>
      </w:r>
      <w:r w:rsidRPr="00B13240">
        <w:rPr>
          <w:rFonts w:ascii="Arial Narrow" w:eastAsia="SimSun" w:hAnsi="Arial Narrow"/>
          <w:b/>
          <w:sz w:val="24"/>
          <w:szCs w:val="24"/>
        </w:rPr>
        <w:t xml:space="preserve"> максимальные и минимальные значения долей рынка предприятий в натуральном и стоимостном выражении</w:t>
      </w:r>
    </w:p>
    <w:tbl>
      <w:tblPr>
        <w:tblW w:w="9887" w:type="dxa"/>
        <w:tblInd w:w="108" w:type="dxa"/>
        <w:tblLook w:val="04A0"/>
      </w:tblPr>
      <w:tblGrid>
        <w:gridCol w:w="4253"/>
        <w:gridCol w:w="1202"/>
        <w:gridCol w:w="960"/>
        <w:gridCol w:w="1714"/>
        <w:gridCol w:w="1758"/>
      </w:tblGrid>
      <w:tr w:rsidR="00281482" w:rsidRPr="00130274" w:rsidTr="00281482">
        <w:tc>
          <w:tcPr>
            <w:tcW w:w="42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81482"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Наименование рынка</w:t>
            </w:r>
          </w:p>
        </w:tc>
        <w:tc>
          <w:tcPr>
            <w:tcW w:w="1202" w:type="dxa"/>
            <w:tcBorders>
              <w:top w:val="single" w:sz="4" w:space="0" w:color="auto"/>
              <w:left w:val="nil"/>
              <w:bottom w:val="single" w:sz="4" w:space="0" w:color="auto"/>
              <w:right w:val="single" w:sz="4" w:space="0" w:color="auto"/>
            </w:tcBorders>
            <w:shd w:val="clear" w:color="auto" w:fill="auto"/>
            <w:noWrap/>
            <w:vAlign w:val="center"/>
            <w:hideMark/>
          </w:tcPr>
          <w:p w:rsidR="00281482"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Количество предприятий</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281482"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 к итогу</w:t>
            </w:r>
          </w:p>
        </w:tc>
        <w:tc>
          <w:tcPr>
            <w:tcW w:w="1714" w:type="dxa"/>
            <w:tcBorders>
              <w:top w:val="single" w:sz="4" w:space="0" w:color="auto"/>
              <w:left w:val="nil"/>
              <w:bottom w:val="single" w:sz="4" w:space="0" w:color="auto"/>
              <w:right w:val="single" w:sz="4" w:space="0" w:color="auto"/>
            </w:tcBorders>
            <w:shd w:val="clear" w:color="auto" w:fill="auto"/>
            <w:vAlign w:val="center"/>
            <w:hideMark/>
          </w:tcPr>
          <w:p w:rsidR="00281482"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Максимальные и минимальные значения долей рынка предприятия в натуральном выражении, %</w:t>
            </w:r>
          </w:p>
        </w:tc>
        <w:tc>
          <w:tcPr>
            <w:tcW w:w="1758" w:type="dxa"/>
            <w:tcBorders>
              <w:top w:val="single" w:sz="4" w:space="0" w:color="auto"/>
              <w:left w:val="nil"/>
              <w:bottom w:val="single" w:sz="4" w:space="0" w:color="auto"/>
              <w:right w:val="single" w:sz="4" w:space="0" w:color="auto"/>
            </w:tcBorders>
            <w:shd w:val="clear" w:color="auto" w:fill="auto"/>
            <w:vAlign w:val="center"/>
            <w:hideMark/>
          </w:tcPr>
          <w:p w:rsidR="00281482"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Максимальные и минимальные значения долей рынка предприятия в стоимостном выражении, %</w:t>
            </w:r>
          </w:p>
        </w:tc>
      </w:tr>
      <w:tr w:rsidR="00D914A8" w:rsidRPr="00130274" w:rsidTr="00796DD7">
        <w:tc>
          <w:tcPr>
            <w:tcW w:w="4253" w:type="dxa"/>
            <w:tcBorders>
              <w:top w:val="nil"/>
              <w:left w:val="single" w:sz="4" w:space="0" w:color="auto"/>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rPr>
                <w:rFonts w:ascii="Arial Narrow" w:eastAsia="Times New Roman" w:hAnsi="Arial Narrow" w:cs="Times New Roman"/>
                <w:sz w:val="20"/>
                <w:szCs w:val="20"/>
                <w:lang w:eastAsia="ru-RU"/>
              </w:rPr>
            </w:pPr>
            <w:bookmarkStart w:id="74" w:name="RANGE!N3"/>
            <w:r w:rsidRPr="00B13240">
              <w:rPr>
                <w:rFonts w:ascii="Arial Narrow" w:eastAsia="Times New Roman" w:hAnsi="Arial Narrow" w:cs="Times New Roman"/>
                <w:sz w:val="20"/>
                <w:szCs w:val="20"/>
                <w:lang w:eastAsia="ru-RU"/>
              </w:rPr>
              <w:t>Среднее (полное) общее образование, основное общее образование</w:t>
            </w:r>
            <w:bookmarkEnd w:id="74"/>
          </w:p>
        </w:tc>
        <w:tc>
          <w:tcPr>
            <w:tcW w:w="1202" w:type="dxa"/>
            <w:tcBorders>
              <w:top w:val="nil"/>
              <w:left w:val="nil"/>
              <w:bottom w:val="single" w:sz="4" w:space="0" w:color="auto"/>
              <w:right w:val="single" w:sz="4" w:space="0" w:color="auto"/>
            </w:tcBorders>
            <w:shd w:val="clear" w:color="auto" w:fill="auto"/>
            <w:noWrap/>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972</w:t>
            </w:r>
          </w:p>
        </w:tc>
        <w:tc>
          <w:tcPr>
            <w:tcW w:w="960" w:type="dxa"/>
            <w:tcBorders>
              <w:top w:val="nil"/>
              <w:left w:val="nil"/>
              <w:bottom w:val="single" w:sz="4" w:space="0" w:color="auto"/>
              <w:right w:val="single" w:sz="4" w:space="0" w:color="auto"/>
            </w:tcBorders>
            <w:shd w:val="clear" w:color="auto" w:fill="auto"/>
            <w:noWrap/>
            <w:vAlign w:val="bottom"/>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hAnsi="Arial Narrow"/>
                <w:color w:val="000000"/>
                <w:sz w:val="20"/>
                <w:szCs w:val="20"/>
              </w:rPr>
              <w:t>31,69</w:t>
            </w:r>
          </w:p>
        </w:tc>
        <w:tc>
          <w:tcPr>
            <w:tcW w:w="1714"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0,001-0,7%</w:t>
            </w:r>
          </w:p>
        </w:tc>
        <w:tc>
          <w:tcPr>
            <w:tcW w:w="1758"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w:t>
            </w:r>
          </w:p>
        </w:tc>
      </w:tr>
      <w:tr w:rsidR="00D914A8" w:rsidRPr="00130274" w:rsidTr="00796DD7">
        <w:tc>
          <w:tcPr>
            <w:tcW w:w="4253" w:type="dxa"/>
            <w:tcBorders>
              <w:top w:val="nil"/>
              <w:left w:val="single" w:sz="4" w:space="0" w:color="auto"/>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Дошкольное образование</w:t>
            </w:r>
          </w:p>
        </w:tc>
        <w:tc>
          <w:tcPr>
            <w:tcW w:w="1202"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762</w:t>
            </w:r>
          </w:p>
        </w:tc>
        <w:tc>
          <w:tcPr>
            <w:tcW w:w="960" w:type="dxa"/>
            <w:tcBorders>
              <w:top w:val="nil"/>
              <w:left w:val="nil"/>
              <w:bottom w:val="single" w:sz="4" w:space="0" w:color="auto"/>
              <w:right w:val="single" w:sz="4" w:space="0" w:color="auto"/>
            </w:tcBorders>
            <w:shd w:val="clear" w:color="auto" w:fill="auto"/>
            <w:noWrap/>
            <w:vAlign w:val="bottom"/>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hAnsi="Arial Narrow"/>
                <w:color w:val="000000"/>
                <w:sz w:val="20"/>
                <w:szCs w:val="20"/>
              </w:rPr>
              <w:t>24,85</w:t>
            </w:r>
          </w:p>
        </w:tc>
        <w:tc>
          <w:tcPr>
            <w:tcW w:w="1714"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0,0001-1,7%</w:t>
            </w:r>
          </w:p>
        </w:tc>
        <w:tc>
          <w:tcPr>
            <w:tcW w:w="1758"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w:t>
            </w:r>
          </w:p>
        </w:tc>
      </w:tr>
      <w:tr w:rsidR="00D914A8" w:rsidRPr="00130274" w:rsidTr="00796DD7">
        <w:tc>
          <w:tcPr>
            <w:tcW w:w="4253" w:type="dxa"/>
            <w:tcBorders>
              <w:top w:val="nil"/>
              <w:left w:val="single" w:sz="4" w:space="0" w:color="auto"/>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Услуги в сфере культуры</w:t>
            </w:r>
          </w:p>
        </w:tc>
        <w:tc>
          <w:tcPr>
            <w:tcW w:w="1202"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540</w:t>
            </w:r>
          </w:p>
        </w:tc>
        <w:tc>
          <w:tcPr>
            <w:tcW w:w="960" w:type="dxa"/>
            <w:tcBorders>
              <w:top w:val="nil"/>
              <w:left w:val="nil"/>
              <w:bottom w:val="single" w:sz="4" w:space="0" w:color="auto"/>
              <w:right w:val="single" w:sz="4" w:space="0" w:color="auto"/>
            </w:tcBorders>
            <w:shd w:val="clear" w:color="auto" w:fill="auto"/>
            <w:noWrap/>
            <w:vAlign w:val="bottom"/>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hAnsi="Arial Narrow"/>
                <w:color w:val="000000"/>
                <w:sz w:val="20"/>
                <w:szCs w:val="20"/>
              </w:rPr>
              <w:t>17,61</w:t>
            </w:r>
          </w:p>
        </w:tc>
        <w:tc>
          <w:tcPr>
            <w:tcW w:w="1714"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0,0003-4,7%</w:t>
            </w:r>
          </w:p>
        </w:tc>
        <w:tc>
          <w:tcPr>
            <w:tcW w:w="1758"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0,0002-18,3%</w:t>
            </w:r>
          </w:p>
        </w:tc>
      </w:tr>
      <w:tr w:rsidR="00D914A8" w:rsidRPr="00130274" w:rsidTr="00796DD7">
        <w:tc>
          <w:tcPr>
            <w:tcW w:w="4253" w:type="dxa"/>
            <w:tcBorders>
              <w:top w:val="nil"/>
              <w:left w:val="single" w:sz="4" w:space="0" w:color="auto"/>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Рынок ЖКУ</w:t>
            </w:r>
          </w:p>
        </w:tc>
        <w:tc>
          <w:tcPr>
            <w:tcW w:w="1202"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321</w:t>
            </w:r>
          </w:p>
        </w:tc>
        <w:tc>
          <w:tcPr>
            <w:tcW w:w="960" w:type="dxa"/>
            <w:tcBorders>
              <w:top w:val="nil"/>
              <w:left w:val="nil"/>
              <w:bottom w:val="single" w:sz="4" w:space="0" w:color="auto"/>
              <w:right w:val="single" w:sz="4" w:space="0" w:color="auto"/>
            </w:tcBorders>
            <w:shd w:val="clear" w:color="auto" w:fill="auto"/>
            <w:noWrap/>
            <w:vAlign w:val="bottom"/>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hAnsi="Arial Narrow"/>
                <w:color w:val="000000"/>
                <w:sz w:val="20"/>
                <w:szCs w:val="20"/>
              </w:rPr>
              <w:t>10,47</w:t>
            </w:r>
          </w:p>
        </w:tc>
        <w:tc>
          <w:tcPr>
            <w:tcW w:w="1714"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0,001-44,3%</w:t>
            </w:r>
          </w:p>
        </w:tc>
        <w:tc>
          <w:tcPr>
            <w:tcW w:w="1758"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0,001-32,6%</w:t>
            </w:r>
          </w:p>
        </w:tc>
      </w:tr>
      <w:tr w:rsidR="00D914A8" w:rsidRPr="00130274" w:rsidTr="00796DD7">
        <w:tc>
          <w:tcPr>
            <w:tcW w:w="4253" w:type="dxa"/>
            <w:tcBorders>
              <w:top w:val="nil"/>
              <w:left w:val="single" w:sz="4" w:space="0" w:color="auto"/>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Дополнительное образование детей</w:t>
            </w:r>
          </w:p>
        </w:tc>
        <w:tc>
          <w:tcPr>
            <w:tcW w:w="1202" w:type="dxa"/>
            <w:tcBorders>
              <w:top w:val="nil"/>
              <w:left w:val="nil"/>
              <w:bottom w:val="single" w:sz="4" w:space="0" w:color="auto"/>
              <w:right w:val="single" w:sz="4" w:space="0" w:color="auto"/>
            </w:tcBorders>
            <w:shd w:val="clear" w:color="auto" w:fill="auto"/>
            <w:noWrap/>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235</w:t>
            </w:r>
          </w:p>
        </w:tc>
        <w:tc>
          <w:tcPr>
            <w:tcW w:w="960" w:type="dxa"/>
            <w:tcBorders>
              <w:top w:val="nil"/>
              <w:left w:val="nil"/>
              <w:bottom w:val="single" w:sz="4" w:space="0" w:color="auto"/>
              <w:right w:val="single" w:sz="4" w:space="0" w:color="auto"/>
            </w:tcBorders>
            <w:shd w:val="clear" w:color="auto" w:fill="auto"/>
            <w:noWrap/>
            <w:vAlign w:val="bottom"/>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hAnsi="Arial Narrow"/>
                <w:color w:val="000000"/>
                <w:sz w:val="20"/>
                <w:szCs w:val="20"/>
              </w:rPr>
              <w:t>7,66</w:t>
            </w:r>
          </w:p>
        </w:tc>
        <w:tc>
          <w:tcPr>
            <w:tcW w:w="1714"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0,001-26,6%</w:t>
            </w:r>
          </w:p>
        </w:tc>
        <w:tc>
          <w:tcPr>
            <w:tcW w:w="1758"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0,01-10,1%</w:t>
            </w:r>
          </w:p>
        </w:tc>
      </w:tr>
      <w:tr w:rsidR="00D914A8" w:rsidRPr="00130274" w:rsidTr="00796DD7">
        <w:tc>
          <w:tcPr>
            <w:tcW w:w="4253" w:type="dxa"/>
            <w:tcBorders>
              <w:top w:val="nil"/>
              <w:left w:val="single" w:sz="4" w:space="0" w:color="auto"/>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Рынок медицинских услуг</w:t>
            </w:r>
          </w:p>
        </w:tc>
        <w:tc>
          <w:tcPr>
            <w:tcW w:w="1202"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111</w:t>
            </w:r>
          </w:p>
        </w:tc>
        <w:tc>
          <w:tcPr>
            <w:tcW w:w="960" w:type="dxa"/>
            <w:tcBorders>
              <w:top w:val="nil"/>
              <w:left w:val="nil"/>
              <w:bottom w:val="single" w:sz="4" w:space="0" w:color="auto"/>
              <w:right w:val="single" w:sz="4" w:space="0" w:color="auto"/>
            </w:tcBorders>
            <w:shd w:val="clear" w:color="auto" w:fill="auto"/>
            <w:noWrap/>
            <w:vAlign w:val="bottom"/>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hAnsi="Arial Narrow"/>
                <w:color w:val="000000"/>
                <w:sz w:val="20"/>
                <w:szCs w:val="20"/>
              </w:rPr>
              <w:t>3,62</w:t>
            </w:r>
          </w:p>
        </w:tc>
        <w:tc>
          <w:tcPr>
            <w:tcW w:w="1714"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0,008%-10,1%</w:t>
            </w:r>
          </w:p>
        </w:tc>
        <w:tc>
          <w:tcPr>
            <w:tcW w:w="1758"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w:t>
            </w:r>
          </w:p>
        </w:tc>
      </w:tr>
      <w:tr w:rsidR="00D914A8" w:rsidRPr="00130274" w:rsidTr="00796DD7">
        <w:tc>
          <w:tcPr>
            <w:tcW w:w="4253" w:type="dxa"/>
            <w:tcBorders>
              <w:top w:val="nil"/>
              <w:left w:val="single" w:sz="4" w:space="0" w:color="auto"/>
              <w:bottom w:val="single" w:sz="4" w:space="0" w:color="auto"/>
              <w:right w:val="single" w:sz="4" w:space="0" w:color="auto"/>
            </w:tcBorders>
            <w:shd w:val="clear" w:color="auto" w:fill="auto"/>
            <w:noWrap/>
            <w:vAlign w:val="center"/>
            <w:hideMark/>
          </w:tcPr>
          <w:p w:rsidR="00D914A8" w:rsidRPr="00130274" w:rsidRDefault="00B13240" w:rsidP="00281482">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Услуги в сфере спорта</w:t>
            </w:r>
          </w:p>
        </w:tc>
        <w:tc>
          <w:tcPr>
            <w:tcW w:w="1202" w:type="dxa"/>
            <w:tcBorders>
              <w:top w:val="nil"/>
              <w:left w:val="nil"/>
              <w:bottom w:val="single" w:sz="4" w:space="0" w:color="auto"/>
              <w:right w:val="single" w:sz="4" w:space="0" w:color="auto"/>
            </w:tcBorders>
            <w:shd w:val="clear" w:color="auto" w:fill="auto"/>
            <w:noWrap/>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104</w:t>
            </w:r>
          </w:p>
        </w:tc>
        <w:tc>
          <w:tcPr>
            <w:tcW w:w="960" w:type="dxa"/>
            <w:tcBorders>
              <w:top w:val="nil"/>
              <w:left w:val="nil"/>
              <w:bottom w:val="single" w:sz="4" w:space="0" w:color="auto"/>
              <w:right w:val="single" w:sz="4" w:space="0" w:color="auto"/>
            </w:tcBorders>
            <w:shd w:val="clear" w:color="auto" w:fill="auto"/>
            <w:noWrap/>
            <w:vAlign w:val="bottom"/>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hAnsi="Arial Narrow"/>
                <w:color w:val="000000"/>
                <w:sz w:val="20"/>
                <w:szCs w:val="20"/>
              </w:rPr>
              <w:t>3,39</w:t>
            </w:r>
          </w:p>
        </w:tc>
        <w:tc>
          <w:tcPr>
            <w:tcW w:w="1714"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0,02-35,7%</w:t>
            </w:r>
          </w:p>
        </w:tc>
        <w:tc>
          <w:tcPr>
            <w:tcW w:w="1758"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0,002-16,0%</w:t>
            </w:r>
          </w:p>
        </w:tc>
      </w:tr>
      <w:tr w:rsidR="00D914A8" w:rsidRPr="00130274" w:rsidTr="00796DD7">
        <w:tc>
          <w:tcPr>
            <w:tcW w:w="4253" w:type="dxa"/>
            <w:tcBorders>
              <w:top w:val="nil"/>
              <w:left w:val="single" w:sz="4" w:space="0" w:color="auto"/>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Среднее специальное и профессиональное образование</w:t>
            </w:r>
          </w:p>
        </w:tc>
        <w:tc>
          <w:tcPr>
            <w:tcW w:w="1202"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74</w:t>
            </w:r>
          </w:p>
        </w:tc>
        <w:tc>
          <w:tcPr>
            <w:tcW w:w="960" w:type="dxa"/>
            <w:tcBorders>
              <w:top w:val="nil"/>
              <w:left w:val="nil"/>
              <w:bottom w:val="single" w:sz="4" w:space="0" w:color="auto"/>
              <w:right w:val="single" w:sz="4" w:space="0" w:color="auto"/>
            </w:tcBorders>
            <w:shd w:val="clear" w:color="auto" w:fill="auto"/>
            <w:noWrap/>
            <w:vAlign w:val="bottom"/>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hAnsi="Arial Narrow"/>
                <w:color w:val="000000"/>
                <w:sz w:val="20"/>
                <w:szCs w:val="20"/>
              </w:rPr>
              <w:t>2,41</w:t>
            </w:r>
          </w:p>
        </w:tc>
        <w:tc>
          <w:tcPr>
            <w:tcW w:w="1714"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0,1-31,8%</w:t>
            </w:r>
          </w:p>
        </w:tc>
        <w:tc>
          <w:tcPr>
            <w:tcW w:w="1758"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0,041-16,3%</w:t>
            </w:r>
          </w:p>
        </w:tc>
      </w:tr>
      <w:tr w:rsidR="00D914A8" w:rsidRPr="00130274" w:rsidTr="00796DD7">
        <w:tc>
          <w:tcPr>
            <w:tcW w:w="4253" w:type="dxa"/>
            <w:tcBorders>
              <w:top w:val="nil"/>
              <w:left w:val="single" w:sz="4" w:space="0" w:color="auto"/>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Рынок детского отдыха и оздоровления</w:t>
            </w:r>
            <w:r w:rsidRPr="00B13240">
              <w:rPr>
                <w:rStyle w:val="af2"/>
                <w:rFonts w:ascii="Arial Narrow" w:eastAsia="Times New Roman" w:hAnsi="Arial Narrow" w:cs="Times New Roman"/>
                <w:sz w:val="20"/>
                <w:szCs w:val="20"/>
                <w:lang w:eastAsia="ru-RU"/>
              </w:rPr>
              <w:footnoteReference w:id="3"/>
            </w:r>
          </w:p>
        </w:tc>
        <w:tc>
          <w:tcPr>
            <w:tcW w:w="1202"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55</w:t>
            </w:r>
          </w:p>
        </w:tc>
        <w:tc>
          <w:tcPr>
            <w:tcW w:w="960" w:type="dxa"/>
            <w:tcBorders>
              <w:top w:val="nil"/>
              <w:left w:val="nil"/>
              <w:bottom w:val="single" w:sz="4" w:space="0" w:color="auto"/>
              <w:right w:val="single" w:sz="4" w:space="0" w:color="auto"/>
            </w:tcBorders>
            <w:shd w:val="clear" w:color="auto" w:fill="auto"/>
            <w:noWrap/>
            <w:vAlign w:val="bottom"/>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hAnsi="Arial Narrow"/>
                <w:color w:val="000000"/>
                <w:sz w:val="20"/>
                <w:szCs w:val="20"/>
              </w:rPr>
              <w:t>1,79</w:t>
            </w:r>
          </w:p>
        </w:tc>
        <w:tc>
          <w:tcPr>
            <w:tcW w:w="1714"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0,06-16,4%</w:t>
            </w:r>
          </w:p>
        </w:tc>
        <w:tc>
          <w:tcPr>
            <w:tcW w:w="1758"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0-8,3%</w:t>
            </w:r>
          </w:p>
        </w:tc>
      </w:tr>
      <w:tr w:rsidR="00D914A8" w:rsidRPr="00130274" w:rsidTr="00796DD7">
        <w:tc>
          <w:tcPr>
            <w:tcW w:w="4253" w:type="dxa"/>
            <w:tcBorders>
              <w:top w:val="nil"/>
              <w:left w:val="single" w:sz="4" w:space="0" w:color="auto"/>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Рынок заготовки, производства и реализации лесоматериалов</w:t>
            </w:r>
          </w:p>
        </w:tc>
        <w:tc>
          <w:tcPr>
            <w:tcW w:w="1202"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22</w:t>
            </w:r>
          </w:p>
        </w:tc>
        <w:tc>
          <w:tcPr>
            <w:tcW w:w="960" w:type="dxa"/>
            <w:tcBorders>
              <w:top w:val="nil"/>
              <w:left w:val="nil"/>
              <w:bottom w:val="single" w:sz="4" w:space="0" w:color="auto"/>
              <w:right w:val="single" w:sz="4" w:space="0" w:color="auto"/>
            </w:tcBorders>
            <w:shd w:val="clear" w:color="auto" w:fill="auto"/>
            <w:noWrap/>
            <w:vAlign w:val="bottom"/>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hAnsi="Arial Narrow"/>
                <w:color w:val="000000"/>
                <w:sz w:val="20"/>
                <w:szCs w:val="20"/>
              </w:rPr>
              <w:t>0,72</w:t>
            </w:r>
          </w:p>
        </w:tc>
        <w:tc>
          <w:tcPr>
            <w:tcW w:w="1714"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0,3-36,4%</w:t>
            </w:r>
          </w:p>
        </w:tc>
        <w:tc>
          <w:tcPr>
            <w:tcW w:w="1758"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0,1-13,5%</w:t>
            </w:r>
          </w:p>
        </w:tc>
      </w:tr>
      <w:tr w:rsidR="00D914A8" w:rsidRPr="00130274" w:rsidTr="00796DD7">
        <w:tc>
          <w:tcPr>
            <w:tcW w:w="4253" w:type="dxa"/>
            <w:tcBorders>
              <w:top w:val="nil"/>
              <w:left w:val="single" w:sz="4" w:space="0" w:color="auto"/>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Строительство</w:t>
            </w:r>
          </w:p>
        </w:tc>
        <w:tc>
          <w:tcPr>
            <w:tcW w:w="1202"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4</w:t>
            </w:r>
          </w:p>
        </w:tc>
        <w:tc>
          <w:tcPr>
            <w:tcW w:w="960" w:type="dxa"/>
            <w:tcBorders>
              <w:top w:val="nil"/>
              <w:left w:val="nil"/>
              <w:bottom w:val="single" w:sz="4" w:space="0" w:color="auto"/>
              <w:right w:val="single" w:sz="4" w:space="0" w:color="auto"/>
            </w:tcBorders>
            <w:shd w:val="clear" w:color="auto" w:fill="auto"/>
            <w:noWrap/>
            <w:vAlign w:val="bottom"/>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hAnsi="Arial Narrow"/>
                <w:color w:val="000000"/>
                <w:sz w:val="20"/>
                <w:szCs w:val="20"/>
              </w:rPr>
              <w:t>0,13</w:t>
            </w:r>
          </w:p>
        </w:tc>
        <w:tc>
          <w:tcPr>
            <w:tcW w:w="1714"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Нет данных</w:t>
            </w:r>
          </w:p>
        </w:tc>
        <w:tc>
          <w:tcPr>
            <w:tcW w:w="1758"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Нет данных</w:t>
            </w:r>
          </w:p>
        </w:tc>
      </w:tr>
      <w:tr w:rsidR="00D914A8" w:rsidRPr="00130274" w:rsidTr="00796DD7">
        <w:tc>
          <w:tcPr>
            <w:tcW w:w="4253" w:type="dxa"/>
            <w:tcBorders>
              <w:top w:val="nil"/>
              <w:left w:val="single" w:sz="4" w:space="0" w:color="auto"/>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Финансовое посредничество</w:t>
            </w:r>
          </w:p>
        </w:tc>
        <w:tc>
          <w:tcPr>
            <w:tcW w:w="1202"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4</w:t>
            </w:r>
          </w:p>
        </w:tc>
        <w:tc>
          <w:tcPr>
            <w:tcW w:w="960" w:type="dxa"/>
            <w:tcBorders>
              <w:top w:val="nil"/>
              <w:left w:val="nil"/>
              <w:bottom w:val="single" w:sz="4" w:space="0" w:color="auto"/>
              <w:right w:val="single" w:sz="4" w:space="0" w:color="auto"/>
            </w:tcBorders>
            <w:shd w:val="clear" w:color="auto" w:fill="auto"/>
            <w:noWrap/>
            <w:vAlign w:val="bottom"/>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hAnsi="Arial Narrow"/>
                <w:color w:val="000000"/>
                <w:sz w:val="20"/>
                <w:szCs w:val="20"/>
              </w:rPr>
              <w:t>0,13</w:t>
            </w:r>
          </w:p>
        </w:tc>
        <w:tc>
          <w:tcPr>
            <w:tcW w:w="1714"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Нет данных</w:t>
            </w:r>
          </w:p>
        </w:tc>
        <w:tc>
          <w:tcPr>
            <w:tcW w:w="1758"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Нет данных</w:t>
            </w:r>
          </w:p>
        </w:tc>
      </w:tr>
      <w:tr w:rsidR="00D914A8" w:rsidRPr="00130274" w:rsidTr="00796DD7">
        <w:tc>
          <w:tcPr>
            <w:tcW w:w="425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Деятельность в области архитектуры; инженерно-техническое проектирование; геологоразведочные и геофизические работы; геодезическая деятельность в области стандартизации и метрологии; деятельности в области гидрометеорологии и смежных с ней областях; виды деятельности, связанные с решением технических задач, не включенные в другие группировки</w:t>
            </w:r>
          </w:p>
        </w:tc>
        <w:tc>
          <w:tcPr>
            <w:tcW w:w="1202" w:type="dxa"/>
            <w:tcBorders>
              <w:top w:val="single" w:sz="4" w:space="0" w:color="auto"/>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3</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hAnsi="Arial Narrow"/>
                <w:color w:val="000000"/>
                <w:sz w:val="20"/>
                <w:szCs w:val="20"/>
              </w:rPr>
              <w:t>0,10</w:t>
            </w:r>
          </w:p>
        </w:tc>
        <w:tc>
          <w:tcPr>
            <w:tcW w:w="1714" w:type="dxa"/>
            <w:tcBorders>
              <w:top w:val="single" w:sz="4" w:space="0" w:color="auto"/>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Нет данных</w:t>
            </w:r>
          </w:p>
        </w:tc>
        <w:tc>
          <w:tcPr>
            <w:tcW w:w="1758" w:type="dxa"/>
            <w:tcBorders>
              <w:top w:val="single" w:sz="4" w:space="0" w:color="auto"/>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1-99%</w:t>
            </w:r>
          </w:p>
        </w:tc>
      </w:tr>
      <w:tr w:rsidR="00D914A8" w:rsidRPr="00130274" w:rsidTr="00796DD7">
        <w:tc>
          <w:tcPr>
            <w:tcW w:w="4253" w:type="dxa"/>
            <w:tcBorders>
              <w:top w:val="nil"/>
              <w:left w:val="single" w:sz="4" w:space="0" w:color="auto"/>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Аренда собственности</w:t>
            </w:r>
          </w:p>
        </w:tc>
        <w:tc>
          <w:tcPr>
            <w:tcW w:w="1202"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2</w:t>
            </w:r>
          </w:p>
        </w:tc>
        <w:tc>
          <w:tcPr>
            <w:tcW w:w="960" w:type="dxa"/>
            <w:tcBorders>
              <w:top w:val="nil"/>
              <w:left w:val="nil"/>
              <w:bottom w:val="single" w:sz="4" w:space="0" w:color="auto"/>
              <w:right w:val="single" w:sz="4" w:space="0" w:color="auto"/>
            </w:tcBorders>
            <w:shd w:val="clear" w:color="auto" w:fill="auto"/>
            <w:noWrap/>
            <w:vAlign w:val="bottom"/>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hAnsi="Arial Narrow"/>
                <w:color w:val="000000"/>
                <w:sz w:val="20"/>
                <w:szCs w:val="20"/>
              </w:rPr>
              <w:t>0,07</w:t>
            </w:r>
          </w:p>
        </w:tc>
        <w:tc>
          <w:tcPr>
            <w:tcW w:w="1714"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Нет данных</w:t>
            </w:r>
          </w:p>
        </w:tc>
        <w:tc>
          <w:tcPr>
            <w:tcW w:w="1758"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1,0-99,0%</w:t>
            </w:r>
          </w:p>
        </w:tc>
      </w:tr>
    </w:tbl>
    <w:p w:rsidR="006A7039" w:rsidRPr="00130274" w:rsidRDefault="00B13240" w:rsidP="006A7039">
      <w:pPr>
        <w:spacing w:after="0" w:line="240" w:lineRule="auto"/>
        <w:jc w:val="right"/>
        <w:rPr>
          <w:rFonts w:ascii="Arial Narrow" w:hAnsi="Arial Narrow"/>
          <w:sz w:val="20"/>
          <w:szCs w:val="20"/>
        </w:rPr>
      </w:pPr>
      <w:r w:rsidRPr="00B13240">
        <w:rPr>
          <w:rFonts w:ascii="Arial Narrow" w:hAnsi="Arial Narrow"/>
          <w:sz w:val="20"/>
          <w:szCs w:val="20"/>
        </w:rPr>
        <w:lastRenderedPageBreak/>
        <w:t>Продолжение Таблицы 6.2</w:t>
      </w:r>
    </w:p>
    <w:tbl>
      <w:tblPr>
        <w:tblW w:w="9887" w:type="dxa"/>
        <w:tblInd w:w="108" w:type="dxa"/>
        <w:tblLook w:val="04A0"/>
      </w:tblPr>
      <w:tblGrid>
        <w:gridCol w:w="4253"/>
        <w:gridCol w:w="1202"/>
        <w:gridCol w:w="980"/>
        <w:gridCol w:w="1704"/>
        <w:gridCol w:w="1748"/>
      </w:tblGrid>
      <w:tr w:rsidR="00D914A8" w:rsidRPr="00130274" w:rsidTr="00796DD7">
        <w:tc>
          <w:tcPr>
            <w:tcW w:w="425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Деятельность по созданию и использованию баз данных и информационных ресурсов</w:t>
            </w:r>
          </w:p>
        </w:tc>
        <w:tc>
          <w:tcPr>
            <w:tcW w:w="1202" w:type="dxa"/>
            <w:tcBorders>
              <w:top w:val="single" w:sz="4" w:space="0" w:color="auto"/>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2</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hAnsi="Arial Narrow"/>
                <w:color w:val="000000"/>
                <w:sz w:val="20"/>
                <w:szCs w:val="20"/>
              </w:rPr>
              <w:t>0,07</w:t>
            </w:r>
          </w:p>
        </w:tc>
        <w:tc>
          <w:tcPr>
            <w:tcW w:w="1704" w:type="dxa"/>
            <w:tcBorders>
              <w:top w:val="single" w:sz="4" w:space="0" w:color="auto"/>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Нет данных</w:t>
            </w:r>
          </w:p>
        </w:tc>
        <w:tc>
          <w:tcPr>
            <w:tcW w:w="1748" w:type="dxa"/>
            <w:tcBorders>
              <w:top w:val="single" w:sz="4" w:space="0" w:color="auto"/>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10,1-89,9%</w:t>
            </w:r>
          </w:p>
        </w:tc>
      </w:tr>
      <w:tr w:rsidR="00D914A8" w:rsidRPr="00130274" w:rsidTr="00796DD7">
        <w:tc>
          <w:tcPr>
            <w:tcW w:w="4253" w:type="dxa"/>
            <w:tcBorders>
              <w:top w:val="nil"/>
              <w:left w:val="single" w:sz="4" w:space="0" w:color="auto"/>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Научные исследования и разработки в области естественных и технических наук</w:t>
            </w:r>
          </w:p>
        </w:tc>
        <w:tc>
          <w:tcPr>
            <w:tcW w:w="1202"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2</w:t>
            </w:r>
          </w:p>
        </w:tc>
        <w:tc>
          <w:tcPr>
            <w:tcW w:w="980" w:type="dxa"/>
            <w:tcBorders>
              <w:top w:val="nil"/>
              <w:left w:val="nil"/>
              <w:bottom w:val="single" w:sz="4" w:space="0" w:color="auto"/>
              <w:right w:val="single" w:sz="4" w:space="0" w:color="auto"/>
            </w:tcBorders>
            <w:shd w:val="clear" w:color="auto" w:fill="auto"/>
            <w:noWrap/>
            <w:vAlign w:val="bottom"/>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hAnsi="Arial Narrow"/>
                <w:color w:val="000000"/>
                <w:sz w:val="20"/>
                <w:szCs w:val="20"/>
              </w:rPr>
              <w:t>0,07</w:t>
            </w:r>
          </w:p>
        </w:tc>
        <w:tc>
          <w:tcPr>
            <w:tcW w:w="1704"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Нет данных</w:t>
            </w:r>
          </w:p>
        </w:tc>
        <w:tc>
          <w:tcPr>
            <w:tcW w:w="1748"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Нет данных</w:t>
            </w:r>
          </w:p>
        </w:tc>
      </w:tr>
      <w:tr w:rsidR="00D914A8" w:rsidRPr="00130274" w:rsidTr="00796DD7">
        <w:tc>
          <w:tcPr>
            <w:tcW w:w="4253" w:type="dxa"/>
            <w:tcBorders>
              <w:top w:val="nil"/>
              <w:left w:val="single" w:sz="4" w:space="0" w:color="auto"/>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Оказание услуг, выполнение работ в сфере молодежной политики</w:t>
            </w:r>
          </w:p>
        </w:tc>
        <w:tc>
          <w:tcPr>
            <w:tcW w:w="1202"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2</w:t>
            </w:r>
          </w:p>
        </w:tc>
        <w:tc>
          <w:tcPr>
            <w:tcW w:w="980" w:type="dxa"/>
            <w:tcBorders>
              <w:top w:val="nil"/>
              <w:left w:val="nil"/>
              <w:bottom w:val="single" w:sz="4" w:space="0" w:color="auto"/>
              <w:right w:val="single" w:sz="4" w:space="0" w:color="auto"/>
            </w:tcBorders>
            <w:shd w:val="clear" w:color="auto" w:fill="auto"/>
            <w:noWrap/>
            <w:vAlign w:val="bottom"/>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hAnsi="Arial Narrow"/>
                <w:color w:val="000000"/>
                <w:sz w:val="20"/>
                <w:szCs w:val="20"/>
              </w:rPr>
              <w:t>0,07</w:t>
            </w:r>
          </w:p>
        </w:tc>
        <w:tc>
          <w:tcPr>
            <w:tcW w:w="1704"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Нет данных</w:t>
            </w:r>
          </w:p>
        </w:tc>
        <w:tc>
          <w:tcPr>
            <w:tcW w:w="1748"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26,6-73,3%</w:t>
            </w:r>
          </w:p>
        </w:tc>
      </w:tr>
      <w:tr w:rsidR="00D914A8" w:rsidRPr="00130274" w:rsidTr="00796DD7">
        <w:tc>
          <w:tcPr>
            <w:tcW w:w="4253" w:type="dxa"/>
            <w:tcBorders>
              <w:top w:val="nil"/>
              <w:left w:val="single" w:sz="4" w:space="0" w:color="auto"/>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Регулирование и содействие эффективному ведению экономической деятельности, деятельность в области региональной, национальной и молодежной политики</w:t>
            </w:r>
          </w:p>
        </w:tc>
        <w:tc>
          <w:tcPr>
            <w:tcW w:w="1202"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2</w:t>
            </w:r>
          </w:p>
        </w:tc>
        <w:tc>
          <w:tcPr>
            <w:tcW w:w="980" w:type="dxa"/>
            <w:tcBorders>
              <w:top w:val="nil"/>
              <w:left w:val="nil"/>
              <w:bottom w:val="single" w:sz="4" w:space="0" w:color="auto"/>
              <w:right w:val="single" w:sz="4" w:space="0" w:color="auto"/>
            </w:tcBorders>
            <w:shd w:val="clear" w:color="auto" w:fill="auto"/>
            <w:noWrap/>
            <w:vAlign w:val="bottom"/>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hAnsi="Arial Narrow"/>
                <w:color w:val="000000"/>
                <w:sz w:val="20"/>
                <w:szCs w:val="20"/>
              </w:rPr>
              <w:t>0,07</w:t>
            </w:r>
          </w:p>
        </w:tc>
        <w:tc>
          <w:tcPr>
            <w:tcW w:w="1704"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Нет данных</w:t>
            </w:r>
          </w:p>
        </w:tc>
        <w:tc>
          <w:tcPr>
            <w:tcW w:w="1748"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Нет данных</w:t>
            </w:r>
          </w:p>
        </w:tc>
      </w:tr>
      <w:tr w:rsidR="00D914A8" w:rsidRPr="00130274" w:rsidTr="00796DD7">
        <w:tc>
          <w:tcPr>
            <w:tcW w:w="4253" w:type="dxa"/>
            <w:tcBorders>
              <w:top w:val="nil"/>
              <w:left w:val="single" w:sz="4" w:space="0" w:color="auto"/>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Управление недвижимым имуществом за вознаграждение или на договорной основе, аренда и управление собственным или арендованным недвижимым имуществом</w:t>
            </w:r>
          </w:p>
        </w:tc>
        <w:tc>
          <w:tcPr>
            <w:tcW w:w="1202"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2</w:t>
            </w:r>
          </w:p>
        </w:tc>
        <w:tc>
          <w:tcPr>
            <w:tcW w:w="980" w:type="dxa"/>
            <w:tcBorders>
              <w:top w:val="nil"/>
              <w:left w:val="nil"/>
              <w:bottom w:val="single" w:sz="4" w:space="0" w:color="auto"/>
              <w:right w:val="single" w:sz="4" w:space="0" w:color="auto"/>
            </w:tcBorders>
            <w:shd w:val="clear" w:color="auto" w:fill="auto"/>
            <w:noWrap/>
            <w:vAlign w:val="bottom"/>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hAnsi="Arial Narrow"/>
                <w:color w:val="000000"/>
                <w:sz w:val="20"/>
                <w:szCs w:val="20"/>
              </w:rPr>
              <w:t>0,07</w:t>
            </w:r>
          </w:p>
        </w:tc>
        <w:tc>
          <w:tcPr>
            <w:tcW w:w="1704"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Нет данных</w:t>
            </w:r>
          </w:p>
        </w:tc>
        <w:tc>
          <w:tcPr>
            <w:tcW w:w="1748"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Нет данных</w:t>
            </w:r>
          </w:p>
        </w:tc>
      </w:tr>
      <w:tr w:rsidR="00D914A8" w:rsidRPr="00130274" w:rsidTr="00796DD7">
        <w:tc>
          <w:tcPr>
            <w:tcW w:w="4253" w:type="dxa"/>
            <w:tcBorders>
              <w:top w:val="nil"/>
              <w:left w:val="single" w:sz="4" w:space="0" w:color="auto"/>
              <w:bottom w:val="single" w:sz="4" w:space="0" w:color="auto"/>
              <w:right w:val="single" w:sz="4" w:space="0" w:color="auto"/>
            </w:tcBorders>
            <w:shd w:val="clear" w:color="auto" w:fill="auto"/>
            <w:noWrap/>
            <w:vAlign w:val="center"/>
            <w:hideMark/>
          </w:tcPr>
          <w:p w:rsidR="00D914A8" w:rsidRPr="00130274" w:rsidRDefault="00B13240" w:rsidP="00281482">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Выполнение работ по организации мероприятий на территории НСО</w:t>
            </w:r>
          </w:p>
        </w:tc>
        <w:tc>
          <w:tcPr>
            <w:tcW w:w="1202"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w:t>
            </w:r>
          </w:p>
        </w:tc>
        <w:tc>
          <w:tcPr>
            <w:tcW w:w="980" w:type="dxa"/>
            <w:tcBorders>
              <w:top w:val="nil"/>
              <w:left w:val="nil"/>
              <w:bottom w:val="single" w:sz="4" w:space="0" w:color="auto"/>
              <w:right w:val="single" w:sz="4" w:space="0" w:color="auto"/>
            </w:tcBorders>
            <w:shd w:val="clear" w:color="auto" w:fill="auto"/>
            <w:noWrap/>
            <w:vAlign w:val="bottom"/>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hAnsi="Arial Narrow"/>
                <w:color w:val="000000"/>
                <w:sz w:val="20"/>
                <w:szCs w:val="20"/>
              </w:rPr>
              <w:t>0,03</w:t>
            </w:r>
          </w:p>
        </w:tc>
        <w:tc>
          <w:tcPr>
            <w:tcW w:w="1704"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100,0%</w:t>
            </w:r>
          </w:p>
        </w:tc>
        <w:tc>
          <w:tcPr>
            <w:tcW w:w="1748"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100,0%</w:t>
            </w:r>
          </w:p>
        </w:tc>
      </w:tr>
      <w:tr w:rsidR="00D914A8" w:rsidRPr="00130274" w:rsidTr="00796DD7">
        <w:tc>
          <w:tcPr>
            <w:tcW w:w="4253" w:type="dxa"/>
            <w:tcBorders>
              <w:top w:val="nil"/>
              <w:left w:val="single" w:sz="4" w:space="0" w:color="auto"/>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Высшее образование</w:t>
            </w:r>
          </w:p>
        </w:tc>
        <w:tc>
          <w:tcPr>
            <w:tcW w:w="1202"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w:t>
            </w:r>
          </w:p>
        </w:tc>
        <w:tc>
          <w:tcPr>
            <w:tcW w:w="980" w:type="dxa"/>
            <w:tcBorders>
              <w:top w:val="nil"/>
              <w:left w:val="nil"/>
              <w:bottom w:val="single" w:sz="4" w:space="0" w:color="auto"/>
              <w:right w:val="single" w:sz="4" w:space="0" w:color="auto"/>
            </w:tcBorders>
            <w:shd w:val="clear" w:color="auto" w:fill="auto"/>
            <w:noWrap/>
            <w:vAlign w:val="bottom"/>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hAnsi="Arial Narrow"/>
                <w:color w:val="000000"/>
                <w:sz w:val="20"/>
                <w:szCs w:val="20"/>
              </w:rPr>
              <w:t>0,03</w:t>
            </w:r>
          </w:p>
        </w:tc>
        <w:tc>
          <w:tcPr>
            <w:tcW w:w="1704"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100,0%</w:t>
            </w:r>
          </w:p>
        </w:tc>
        <w:tc>
          <w:tcPr>
            <w:tcW w:w="1748"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100,0%</w:t>
            </w:r>
          </w:p>
        </w:tc>
      </w:tr>
      <w:tr w:rsidR="00D914A8" w:rsidRPr="00130274" w:rsidTr="00796DD7">
        <w:tc>
          <w:tcPr>
            <w:tcW w:w="4253" w:type="dxa"/>
            <w:tcBorders>
              <w:top w:val="nil"/>
              <w:left w:val="single" w:sz="4" w:space="0" w:color="auto"/>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Исполнение запросов (генеалогических, тематических, социально-правовых)</w:t>
            </w:r>
          </w:p>
        </w:tc>
        <w:tc>
          <w:tcPr>
            <w:tcW w:w="1202"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w:t>
            </w:r>
          </w:p>
        </w:tc>
        <w:tc>
          <w:tcPr>
            <w:tcW w:w="980" w:type="dxa"/>
            <w:tcBorders>
              <w:top w:val="nil"/>
              <w:left w:val="nil"/>
              <w:bottom w:val="single" w:sz="4" w:space="0" w:color="auto"/>
              <w:right w:val="single" w:sz="4" w:space="0" w:color="auto"/>
            </w:tcBorders>
            <w:shd w:val="clear" w:color="auto" w:fill="auto"/>
            <w:noWrap/>
            <w:vAlign w:val="bottom"/>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hAnsi="Arial Narrow"/>
                <w:color w:val="000000"/>
                <w:sz w:val="20"/>
                <w:szCs w:val="20"/>
              </w:rPr>
              <w:t>0,03</w:t>
            </w:r>
          </w:p>
        </w:tc>
        <w:tc>
          <w:tcPr>
            <w:tcW w:w="1704"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100,0%</w:t>
            </w:r>
          </w:p>
        </w:tc>
        <w:tc>
          <w:tcPr>
            <w:tcW w:w="1748"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100,0%</w:t>
            </w:r>
          </w:p>
        </w:tc>
      </w:tr>
      <w:tr w:rsidR="00D914A8" w:rsidRPr="00130274" w:rsidTr="00796DD7">
        <w:tc>
          <w:tcPr>
            <w:tcW w:w="4253" w:type="dxa"/>
            <w:tcBorders>
              <w:top w:val="nil"/>
              <w:left w:val="single" w:sz="4" w:space="0" w:color="auto"/>
              <w:bottom w:val="single" w:sz="4" w:space="0" w:color="auto"/>
              <w:right w:val="single" w:sz="4" w:space="0" w:color="auto"/>
            </w:tcBorders>
            <w:shd w:val="clear" w:color="auto" w:fill="auto"/>
            <w:noWrap/>
            <w:vAlign w:val="center"/>
            <w:hideMark/>
          </w:tcPr>
          <w:p w:rsidR="00D914A8" w:rsidRPr="00130274" w:rsidRDefault="00B13240" w:rsidP="00281482">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Ксерокопирование, сканирование документов по заявкам пользователей и сотрудников для подготовки информационных мероприятий</w:t>
            </w:r>
          </w:p>
        </w:tc>
        <w:tc>
          <w:tcPr>
            <w:tcW w:w="1202"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w:t>
            </w:r>
          </w:p>
        </w:tc>
        <w:tc>
          <w:tcPr>
            <w:tcW w:w="980" w:type="dxa"/>
            <w:tcBorders>
              <w:top w:val="nil"/>
              <w:left w:val="nil"/>
              <w:bottom w:val="single" w:sz="4" w:space="0" w:color="auto"/>
              <w:right w:val="single" w:sz="4" w:space="0" w:color="auto"/>
            </w:tcBorders>
            <w:shd w:val="clear" w:color="auto" w:fill="auto"/>
            <w:noWrap/>
            <w:vAlign w:val="bottom"/>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hAnsi="Arial Narrow"/>
                <w:color w:val="000000"/>
                <w:sz w:val="20"/>
                <w:szCs w:val="20"/>
              </w:rPr>
              <w:t>0,03</w:t>
            </w:r>
          </w:p>
        </w:tc>
        <w:tc>
          <w:tcPr>
            <w:tcW w:w="1704"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100,0%</w:t>
            </w:r>
          </w:p>
        </w:tc>
        <w:tc>
          <w:tcPr>
            <w:tcW w:w="1748"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100,0%</w:t>
            </w:r>
          </w:p>
        </w:tc>
      </w:tr>
      <w:tr w:rsidR="00D914A8" w:rsidRPr="00130274" w:rsidTr="00796DD7">
        <w:tc>
          <w:tcPr>
            <w:tcW w:w="4253" w:type="dxa"/>
            <w:tcBorders>
              <w:top w:val="nil"/>
              <w:left w:val="single" w:sz="4" w:space="0" w:color="auto"/>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Мониторинг пожарной опасности в лесах и лесных пожаров</w:t>
            </w:r>
          </w:p>
        </w:tc>
        <w:tc>
          <w:tcPr>
            <w:tcW w:w="1202"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w:t>
            </w:r>
          </w:p>
        </w:tc>
        <w:tc>
          <w:tcPr>
            <w:tcW w:w="980" w:type="dxa"/>
            <w:tcBorders>
              <w:top w:val="nil"/>
              <w:left w:val="nil"/>
              <w:bottom w:val="single" w:sz="4" w:space="0" w:color="auto"/>
              <w:right w:val="single" w:sz="4" w:space="0" w:color="auto"/>
            </w:tcBorders>
            <w:shd w:val="clear" w:color="auto" w:fill="auto"/>
            <w:noWrap/>
            <w:vAlign w:val="bottom"/>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hAnsi="Arial Narrow"/>
                <w:color w:val="000000"/>
                <w:sz w:val="20"/>
                <w:szCs w:val="20"/>
              </w:rPr>
              <w:t>0,03</w:t>
            </w:r>
          </w:p>
        </w:tc>
        <w:tc>
          <w:tcPr>
            <w:tcW w:w="1704"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100,0%</w:t>
            </w:r>
          </w:p>
        </w:tc>
        <w:tc>
          <w:tcPr>
            <w:tcW w:w="1748"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100,0%</w:t>
            </w:r>
          </w:p>
        </w:tc>
      </w:tr>
      <w:tr w:rsidR="00D914A8" w:rsidRPr="00130274" w:rsidTr="00796DD7">
        <w:tc>
          <w:tcPr>
            <w:tcW w:w="4253" w:type="dxa"/>
            <w:tcBorders>
              <w:top w:val="nil"/>
              <w:left w:val="single" w:sz="4" w:space="0" w:color="auto"/>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Обработка неметаллических отходов и лома, обработка отходов бумаги и картона, отходов и лома стекла, обработка отходов и лома пластмасс</w:t>
            </w:r>
          </w:p>
        </w:tc>
        <w:tc>
          <w:tcPr>
            <w:tcW w:w="1202"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w:t>
            </w:r>
          </w:p>
        </w:tc>
        <w:tc>
          <w:tcPr>
            <w:tcW w:w="980" w:type="dxa"/>
            <w:tcBorders>
              <w:top w:val="nil"/>
              <w:left w:val="nil"/>
              <w:bottom w:val="single" w:sz="4" w:space="0" w:color="auto"/>
              <w:right w:val="single" w:sz="4" w:space="0" w:color="auto"/>
            </w:tcBorders>
            <w:shd w:val="clear" w:color="auto" w:fill="auto"/>
            <w:noWrap/>
            <w:vAlign w:val="bottom"/>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hAnsi="Arial Narrow"/>
                <w:color w:val="000000"/>
                <w:sz w:val="20"/>
                <w:szCs w:val="20"/>
              </w:rPr>
              <w:t>0,03</w:t>
            </w:r>
          </w:p>
        </w:tc>
        <w:tc>
          <w:tcPr>
            <w:tcW w:w="1704"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100,0%</w:t>
            </w:r>
          </w:p>
        </w:tc>
        <w:tc>
          <w:tcPr>
            <w:tcW w:w="1748"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100,0%</w:t>
            </w:r>
          </w:p>
        </w:tc>
      </w:tr>
      <w:tr w:rsidR="00D914A8" w:rsidRPr="00130274" w:rsidTr="00796DD7">
        <w:tc>
          <w:tcPr>
            <w:tcW w:w="4253" w:type="dxa"/>
            <w:tcBorders>
              <w:top w:val="nil"/>
              <w:left w:val="single" w:sz="4" w:space="0" w:color="auto"/>
              <w:bottom w:val="single" w:sz="4" w:space="0" w:color="auto"/>
              <w:right w:val="single" w:sz="4" w:space="0" w:color="auto"/>
            </w:tcBorders>
            <w:shd w:val="clear" w:color="auto" w:fill="auto"/>
            <w:noWrap/>
            <w:vAlign w:val="center"/>
            <w:hideMark/>
          </w:tcPr>
          <w:p w:rsidR="00D914A8" w:rsidRPr="00130274" w:rsidRDefault="00B13240" w:rsidP="00281482">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Предоставление в аренду транспортных средств</w:t>
            </w:r>
          </w:p>
        </w:tc>
        <w:tc>
          <w:tcPr>
            <w:tcW w:w="1202"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w:t>
            </w:r>
          </w:p>
        </w:tc>
        <w:tc>
          <w:tcPr>
            <w:tcW w:w="980" w:type="dxa"/>
            <w:tcBorders>
              <w:top w:val="nil"/>
              <w:left w:val="nil"/>
              <w:bottom w:val="single" w:sz="4" w:space="0" w:color="auto"/>
              <w:right w:val="single" w:sz="4" w:space="0" w:color="auto"/>
            </w:tcBorders>
            <w:shd w:val="clear" w:color="auto" w:fill="auto"/>
            <w:noWrap/>
            <w:vAlign w:val="bottom"/>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hAnsi="Arial Narrow"/>
                <w:color w:val="000000"/>
                <w:sz w:val="20"/>
                <w:szCs w:val="20"/>
              </w:rPr>
              <w:t>0,03</w:t>
            </w:r>
          </w:p>
        </w:tc>
        <w:tc>
          <w:tcPr>
            <w:tcW w:w="1704"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100,0%</w:t>
            </w:r>
          </w:p>
        </w:tc>
        <w:tc>
          <w:tcPr>
            <w:tcW w:w="1748"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100,0%</w:t>
            </w:r>
          </w:p>
        </w:tc>
      </w:tr>
      <w:tr w:rsidR="00D914A8" w:rsidRPr="00130274" w:rsidTr="00796DD7">
        <w:tc>
          <w:tcPr>
            <w:tcW w:w="4253" w:type="dxa"/>
            <w:tcBorders>
              <w:top w:val="nil"/>
              <w:left w:val="single" w:sz="4" w:space="0" w:color="auto"/>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Проведение обследования состояния делопроизводства и ведомственного хранения документов, упорядочение документов организаций</w:t>
            </w:r>
          </w:p>
        </w:tc>
        <w:tc>
          <w:tcPr>
            <w:tcW w:w="1202"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w:t>
            </w:r>
          </w:p>
        </w:tc>
        <w:tc>
          <w:tcPr>
            <w:tcW w:w="980" w:type="dxa"/>
            <w:tcBorders>
              <w:top w:val="nil"/>
              <w:left w:val="nil"/>
              <w:bottom w:val="single" w:sz="4" w:space="0" w:color="auto"/>
              <w:right w:val="single" w:sz="4" w:space="0" w:color="auto"/>
            </w:tcBorders>
            <w:shd w:val="clear" w:color="auto" w:fill="auto"/>
            <w:noWrap/>
            <w:vAlign w:val="bottom"/>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hAnsi="Arial Narrow"/>
                <w:color w:val="000000"/>
                <w:sz w:val="20"/>
                <w:szCs w:val="20"/>
              </w:rPr>
              <w:t>0,03</w:t>
            </w:r>
          </w:p>
        </w:tc>
        <w:tc>
          <w:tcPr>
            <w:tcW w:w="1704"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100,0%</w:t>
            </w:r>
          </w:p>
        </w:tc>
        <w:tc>
          <w:tcPr>
            <w:tcW w:w="1748"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100,0%</w:t>
            </w:r>
          </w:p>
        </w:tc>
      </w:tr>
      <w:tr w:rsidR="00D914A8" w:rsidRPr="00130274" w:rsidTr="00796DD7">
        <w:tc>
          <w:tcPr>
            <w:tcW w:w="4253" w:type="dxa"/>
            <w:tcBorders>
              <w:top w:val="nil"/>
              <w:left w:val="single" w:sz="4" w:space="0" w:color="auto"/>
              <w:bottom w:val="single" w:sz="4" w:space="0" w:color="auto"/>
              <w:right w:val="single" w:sz="4" w:space="0" w:color="auto"/>
            </w:tcBorders>
            <w:shd w:val="clear" w:color="auto" w:fill="auto"/>
            <w:noWrap/>
            <w:vAlign w:val="center"/>
            <w:hideMark/>
          </w:tcPr>
          <w:p w:rsidR="00D914A8" w:rsidRPr="00130274" w:rsidRDefault="00B13240" w:rsidP="00281482">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Проведение экспертизы ценности с организациями и описание документов</w:t>
            </w:r>
          </w:p>
        </w:tc>
        <w:tc>
          <w:tcPr>
            <w:tcW w:w="1202"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w:t>
            </w:r>
          </w:p>
        </w:tc>
        <w:tc>
          <w:tcPr>
            <w:tcW w:w="980" w:type="dxa"/>
            <w:tcBorders>
              <w:top w:val="nil"/>
              <w:left w:val="nil"/>
              <w:bottom w:val="single" w:sz="4" w:space="0" w:color="auto"/>
              <w:right w:val="single" w:sz="4" w:space="0" w:color="auto"/>
            </w:tcBorders>
            <w:shd w:val="clear" w:color="auto" w:fill="auto"/>
            <w:noWrap/>
            <w:vAlign w:val="bottom"/>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hAnsi="Arial Narrow"/>
                <w:color w:val="000000"/>
                <w:sz w:val="20"/>
                <w:szCs w:val="20"/>
              </w:rPr>
              <w:t>0,03</w:t>
            </w:r>
          </w:p>
        </w:tc>
        <w:tc>
          <w:tcPr>
            <w:tcW w:w="1704"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100,0%</w:t>
            </w:r>
          </w:p>
        </w:tc>
        <w:tc>
          <w:tcPr>
            <w:tcW w:w="1748"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100,0%</w:t>
            </w:r>
          </w:p>
        </w:tc>
      </w:tr>
      <w:tr w:rsidR="00D914A8" w:rsidRPr="00130274" w:rsidTr="00796DD7">
        <w:tc>
          <w:tcPr>
            <w:tcW w:w="4253" w:type="dxa"/>
            <w:tcBorders>
              <w:top w:val="nil"/>
              <w:left w:val="single" w:sz="4" w:space="0" w:color="auto"/>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Распределение газообразного топлива</w:t>
            </w:r>
          </w:p>
        </w:tc>
        <w:tc>
          <w:tcPr>
            <w:tcW w:w="1202"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w:t>
            </w:r>
          </w:p>
        </w:tc>
        <w:tc>
          <w:tcPr>
            <w:tcW w:w="980" w:type="dxa"/>
            <w:tcBorders>
              <w:top w:val="nil"/>
              <w:left w:val="nil"/>
              <w:bottom w:val="single" w:sz="4" w:space="0" w:color="auto"/>
              <w:right w:val="single" w:sz="4" w:space="0" w:color="auto"/>
            </w:tcBorders>
            <w:shd w:val="clear" w:color="auto" w:fill="auto"/>
            <w:noWrap/>
            <w:vAlign w:val="bottom"/>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hAnsi="Arial Narrow"/>
                <w:color w:val="000000"/>
                <w:sz w:val="20"/>
                <w:szCs w:val="20"/>
              </w:rPr>
              <w:t>0,03</w:t>
            </w:r>
          </w:p>
        </w:tc>
        <w:tc>
          <w:tcPr>
            <w:tcW w:w="1704"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100,0%</w:t>
            </w:r>
          </w:p>
        </w:tc>
        <w:tc>
          <w:tcPr>
            <w:tcW w:w="1748"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100,0%</w:t>
            </w:r>
          </w:p>
        </w:tc>
      </w:tr>
      <w:tr w:rsidR="00D914A8" w:rsidRPr="00130274" w:rsidTr="00796DD7">
        <w:tc>
          <w:tcPr>
            <w:tcW w:w="4253" w:type="dxa"/>
            <w:tcBorders>
              <w:top w:val="nil"/>
              <w:left w:val="single" w:sz="4" w:space="0" w:color="auto"/>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Рынок ипотечного кредитования</w:t>
            </w:r>
          </w:p>
        </w:tc>
        <w:tc>
          <w:tcPr>
            <w:tcW w:w="1202"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w:t>
            </w:r>
          </w:p>
        </w:tc>
        <w:tc>
          <w:tcPr>
            <w:tcW w:w="980" w:type="dxa"/>
            <w:tcBorders>
              <w:top w:val="nil"/>
              <w:left w:val="nil"/>
              <w:bottom w:val="single" w:sz="4" w:space="0" w:color="auto"/>
              <w:right w:val="single" w:sz="4" w:space="0" w:color="auto"/>
            </w:tcBorders>
            <w:shd w:val="clear" w:color="auto" w:fill="auto"/>
            <w:noWrap/>
            <w:vAlign w:val="bottom"/>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hAnsi="Arial Narrow"/>
                <w:color w:val="000000"/>
                <w:sz w:val="20"/>
                <w:szCs w:val="20"/>
              </w:rPr>
              <w:t>0,03</w:t>
            </w:r>
          </w:p>
        </w:tc>
        <w:tc>
          <w:tcPr>
            <w:tcW w:w="1704"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100,0%</w:t>
            </w:r>
          </w:p>
        </w:tc>
        <w:tc>
          <w:tcPr>
            <w:tcW w:w="1748"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100,0%</w:t>
            </w:r>
          </w:p>
        </w:tc>
      </w:tr>
      <w:tr w:rsidR="00D914A8" w:rsidRPr="00130274" w:rsidTr="00796DD7">
        <w:tc>
          <w:tcPr>
            <w:tcW w:w="4253" w:type="dxa"/>
            <w:tcBorders>
              <w:top w:val="nil"/>
              <w:left w:val="single" w:sz="4" w:space="0" w:color="auto"/>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Услуги по содействию росту регионального высокотехнологичного бизнеса</w:t>
            </w:r>
          </w:p>
        </w:tc>
        <w:tc>
          <w:tcPr>
            <w:tcW w:w="1202"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w:t>
            </w:r>
          </w:p>
        </w:tc>
        <w:tc>
          <w:tcPr>
            <w:tcW w:w="980" w:type="dxa"/>
            <w:tcBorders>
              <w:top w:val="nil"/>
              <w:left w:val="nil"/>
              <w:bottom w:val="single" w:sz="4" w:space="0" w:color="auto"/>
              <w:right w:val="single" w:sz="4" w:space="0" w:color="auto"/>
            </w:tcBorders>
            <w:shd w:val="clear" w:color="auto" w:fill="auto"/>
            <w:noWrap/>
            <w:vAlign w:val="bottom"/>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hAnsi="Arial Narrow"/>
                <w:color w:val="000000"/>
                <w:sz w:val="20"/>
                <w:szCs w:val="20"/>
              </w:rPr>
              <w:t>0,03</w:t>
            </w:r>
          </w:p>
        </w:tc>
        <w:tc>
          <w:tcPr>
            <w:tcW w:w="1704"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100,0%</w:t>
            </w:r>
          </w:p>
        </w:tc>
        <w:tc>
          <w:tcPr>
            <w:tcW w:w="1748"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100,0%</w:t>
            </w:r>
          </w:p>
        </w:tc>
      </w:tr>
      <w:tr w:rsidR="00D914A8" w:rsidRPr="00130274" w:rsidTr="00796DD7">
        <w:tc>
          <w:tcPr>
            <w:tcW w:w="4253" w:type="dxa"/>
            <w:tcBorders>
              <w:top w:val="nil"/>
              <w:left w:val="single" w:sz="4" w:space="0" w:color="auto"/>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Эксплуатация гаражей, стоянок для автотранспортных средств, велосипедов и т. д.</w:t>
            </w:r>
          </w:p>
        </w:tc>
        <w:tc>
          <w:tcPr>
            <w:tcW w:w="1202"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w:t>
            </w:r>
          </w:p>
        </w:tc>
        <w:tc>
          <w:tcPr>
            <w:tcW w:w="980" w:type="dxa"/>
            <w:tcBorders>
              <w:top w:val="nil"/>
              <w:left w:val="nil"/>
              <w:bottom w:val="single" w:sz="4" w:space="0" w:color="auto"/>
              <w:right w:val="single" w:sz="4" w:space="0" w:color="auto"/>
            </w:tcBorders>
            <w:shd w:val="clear" w:color="auto" w:fill="auto"/>
            <w:noWrap/>
            <w:vAlign w:val="bottom"/>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hAnsi="Arial Narrow"/>
                <w:color w:val="000000"/>
                <w:sz w:val="20"/>
                <w:szCs w:val="20"/>
              </w:rPr>
              <w:t>0,03</w:t>
            </w:r>
          </w:p>
        </w:tc>
        <w:tc>
          <w:tcPr>
            <w:tcW w:w="1704"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100,0%</w:t>
            </w:r>
          </w:p>
        </w:tc>
        <w:tc>
          <w:tcPr>
            <w:tcW w:w="1748" w:type="dxa"/>
            <w:tcBorders>
              <w:top w:val="nil"/>
              <w:left w:val="nil"/>
              <w:bottom w:val="single" w:sz="4" w:space="0" w:color="auto"/>
              <w:right w:val="single" w:sz="4" w:space="0" w:color="auto"/>
            </w:tcBorders>
            <w:shd w:val="clear" w:color="auto" w:fill="auto"/>
            <w:vAlign w:val="center"/>
            <w:hideMark/>
          </w:tcPr>
          <w:p w:rsidR="00D914A8" w:rsidRPr="00130274" w:rsidRDefault="00B13240" w:rsidP="00281482">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100,0%</w:t>
            </w:r>
          </w:p>
        </w:tc>
      </w:tr>
    </w:tbl>
    <w:p w:rsidR="00281482" w:rsidRPr="00130274" w:rsidRDefault="00281482" w:rsidP="00103148">
      <w:pPr>
        <w:shd w:val="clear" w:color="auto" w:fill="FFFFFF"/>
        <w:spacing w:after="0" w:line="360" w:lineRule="auto"/>
        <w:ind w:firstLine="284"/>
        <w:jc w:val="both"/>
        <w:rPr>
          <w:rFonts w:ascii="Arial Narrow" w:eastAsia="SimSun" w:hAnsi="Arial Narrow"/>
          <w:b/>
          <w:sz w:val="24"/>
          <w:szCs w:val="24"/>
        </w:rPr>
      </w:pPr>
    </w:p>
    <w:p w:rsidR="004D5720" w:rsidRPr="00EF2D4E" w:rsidRDefault="00B13240" w:rsidP="00103148">
      <w:pPr>
        <w:shd w:val="clear" w:color="auto" w:fill="FFFFFF"/>
        <w:spacing w:after="0" w:line="360" w:lineRule="auto"/>
        <w:ind w:firstLine="284"/>
        <w:jc w:val="both"/>
        <w:rPr>
          <w:rFonts w:ascii="Arial Narrow" w:eastAsia="SimSun" w:hAnsi="Arial Narrow"/>
          <w:b/>
          <w:sz w:val="24"/>
          <w:szCs w:val="24"/>
        </w:rPr>
      </w:pPr>
      <w:r w:rsidRPr="00B13240">
        <w:rPr>
          <w:rFonts w:ascii="Arial Narrow" w:eastAsia="SimSun" w:hAnsi="Arial Narrow"/>
          <w:b/>
          <w:sz w:val="24"/>
          <w:szCs w:val="24"/>
        </w:rPr>
        <w:t>Методические рекомендации по проведению мониторинга деятельности хозяйствующих субъектов, доля участия Новосибирской области или муниципального образования в которых составляет 50 и более процентов в последующие отчетные периоды</w:t>
      </w:r>
    </w:p>
    <w:p w:rsidR="004D5720" w:rsidRDefault="004D5720" w:rsidP="00103148">
      <w:pPr>
        <w:shd w:val="clear" w:color="auto" w:fill="FFFFFF"/>
        <w:spacing w:after="0" w:line="360" w:lineRule="auto"/>
        <w:ind w:firstLine="284"/>
        <w:jc w:val="both"/>
        <w:rPr>
          <w:rFonts w:ascii="Arial Narrow" w:eastAsia="SimSun" w:hAnsi="Arial Narrow"/>
          <w:sz w:val="24"/>
          <w:szCs w:val="24"/>
        </w:rPr>
      </w:pPr>
      <w:r w:rsidRPr="00EF2D4E">
        <w:rPr>
          <w:rFonts w:ascii="Arial Narrow" w:eastAsia="SimSun" w:hAnsi="Arial Narrow"/>
          <w:sz w:val="24"/>
          <w:szCs w:val="24"/>
        </w:rPr>
        <w:t xml:space="preserve">1. Для органов власти, предоставляющих исходную информацию по организациям, доля участия Новосибирской области или муниципального образования в которых составляет 50 и более процентов, необходимо разработать единую систему предоставляемых показателей. Расчет показателей рекомендуется производить органами власти, поскольку они обладают компетенциями для создания и расчета показателей. Проект системы показателей см. в </w:t>
      </w:r>
      <w:r w:rsidR="00EB3EA8">
        <w:rPr>
          <w:rFonts w:ascii="Arial Narrow" w:eastAsia="SimSun" w:hAnsi="Arial Narrow"/>
          <w:sz w:val="24"/>
          <w:szCs w:val="24"/>
        </w:rPr>
        <w:t>Т</w:t>
      </w:r>
      <w:r w:rsidRPr="00EF2D4E">
        <w:rPr>
          <w:rFonts w:ascii="Arial Narrow" w:eastAsia="SimSun" w:hAnsi="Arial Narrow"/>
          <w:sz w:val="24"/>
          <w:szCs w:val="24"/>
        </w:rPr>
        <w:t xml:space="preserve">аблице </w:t>
      </w:r>
      <w:r>
        <w:rPr>
          <w:rFonts w:ascii="Arial Narrow" w:eastAsia="SimSun" w:hAnsi="Arial Narrow"/>
          <w:sz w:val="24"/>
          <w:szCs w:val="24"/>
        </w:rPr>
        <w:t>6.3</w:t>
      </w:r>
      <w:r w:rsidRPr="00EF2D4E">
        <w:rPr>
          <w:rFonts w:ascii="Arial Narrow" w:eastAsia="SimSun" w:hAnsi="Arial Narrow"/>
          <w:sz w:val="24"/>
          <w:szCs w:val="24"/>
        </w:rPr>
        <w:t xml:space="preserve">. </w:t>
      </w:r>
    </w:p>
    <w:p w:rsidR="00103148" w:rsidRDefault="00103148" w:rsidP="00103148">
      <w:pPr>
        <w:shd w:val="clear" w:color="auto" w:fill="FFFFFF"/>
        <w:spacing w:after="0"/>
        <w:rPr>
          <w:rFonts w:ascii="Arial Narrow" w:eastAsia="SimSun" w:hAnsi="Arial Narrow"/>
          <w:sz w:val="24"/>
          <w:szCs w:val="24"/>
        </w:rPr>
      </w:pPr>
    </w:p>
    <w:p w:rsidR="004D5720" w:rsidRPr="00163F09" w:rsidRDefault="004D5720" w:rsidP="00103148">
      <w:pPr>
        <w:shd w:val="clear" w:color="auto" w:fill="FFFFFF"/>
        <w:spacing w:after="0"/>
        <w:rPr>
          <w:rFonts w:ascii="Arial Narrow" w:eastAsia="SimSun" w:hAnsi="Arial Narrow"/>
          <w:sz w:val="24"/>
          <w:szCs w:val="24"/>
        </w:rPr>
      </w:pPr>
      <w:r w:rsidRPr="00163F09">
        <w:rPr>
          <w:rFonts w:ascii="Arial Narrow" w:eastAsia="SimSun" w:hAnsi="Arial Narrow"/>
          <w:sz w:val="24"/>
          <w:szCs w:val="24"/>
        </w:rPr>
        <w:lastRenderedPageBreak/>
        <w:t>Таблица 6.3</w:t>
      </w:r>
      <w:r w:rsidR="00EB3EA8">
        <w:rPr>
          <w:rFonts w:ascii="Arial Narrow" w:eastAsia="SimSun" w:hAnsi="Arial Narrow"/>
          <w:sz w:val="24"/>
          <w:szCs w:val="24"/>
        </w:rPr>
        <w:t>.</w:t>
      </w:r>
      <w:r w:rsidRPr="00163F09">
        <w:rPr>
          <w:rFonts w:ascii="Arial Narrow" w:eastAsia="SimSun" w:hAnsi="Arial Narrow"/>
          <w:sz w:val="24"/>
          <w:szCs w:val="24"/>
        </w:rPr>
        <w:t xml:space="preserve"> – </w:t>
      </w:r>
      <w:r w:rsidRPr="00163F09">
        <w:rPr>
          <w:rFonts w:ascii="Arial Narrow" w:eastAsia="SimSun" w:hAnsi="Arial Narrow"/>
          <w:b/>
          <w:sz w:val="24"/>
          <w:szCs w:val="24"/>
        </w:rPr>
        <w:t>Проект системы исходных данных для проведения мониторинга деятельности хозяйствующих субъектов, доля участия Новосибирской области или муниципального образования в которых составляет 50 и более процентов</w:t>
      </w:r>
    </w:p>
    <w:tbl>
      <w:tblPr>
        <w:tblW w:w="9838" w:type="dxa"/>
        <w:tblInd w:w="5" w:type="dxa"/>
        <w:tblLayout w:type="fixed"/>
        <w:tblCellMar>
          <w:left w:w="0" w:type="dxa"/>
          <w:right w:w="0" w:type="dxa"/>
        </w:tblCellMar>
        <w:tblLook w:val="04A0"/>
      </w:tblPr>
      <w:tblGrid>
        <w:gridCol w:w="4253"/>
        <w:gridCol w:w="1843"/>
        <w:gridCol w:w="2126"/>
        <w:gridCol w:w="1616"/>
      </w:tblGrid>
      <w:tr w:rsidR="004D5720" w:rsidRPr="004D5720" w:rsidTr="00281482">
        <w:tc>
          <w:tcPr>
            <w:tcW w:w="4253" w:type="dxa"/>
            <w:tcBorders>
              <w:top w:val="single" w:sz="4" w:space="0" w:color="auto"/>
              <w:left w:val="single" w:sz="4" w:space="0" w:color="auto"/>
              <w:bottom w:val="single" w:sz="4" w:space="0" w:color="auto"/>
              <w:right w:val="single" w:sz="4" w:space="0" w:color="auto"/>
              <w:tl2br w:val="single" w:sz="4" w:space="0" w:color="auto"/>
            </w:tcBorders>
            <w:shd w:val="clear" w:color="auto" w:fill="auto"/>
            <w:hideMark/>
          </w:tcPr>
          <w:p w:rsidR="004D5720" w:rsidRPr="004D5720" w:rsidRDefault="004D5720" w:rsidP="00103148">
            <w:pPr>
              <w:spacing w:after="0" w:line="240" w:lineRule="auto"/>
              <w:ind w:right="137"/>
              <w:jc w:val="right"/>
              <w:rPr>
                <w:rFonts w:ascii="Arial Narrow" w:hAnsi="Arial Narrow"/>
                <w:b/>
                <w:bCs/>
                <w:sz w:val="20"/>
                <w:szCs w:val="20"/>
              </w:rPr>
            </w:pPr>
          </w:p>
          <w:p w:rsidR="004D5720" w:rsidRPr="004D5720" w:rsidRDefault="004D5720" w:rsidP="00103148">
            <w:pPr>
              <w:spacing w:after="0" w:line="240" w:lineRule="auto"/>
              <w:ind w:right="137"/>
              <w:jc w:val="right"/>
              <w:rPr>
                <w:rFonts w:ascii="Arial Narrow" w:hAnsi="Arial Narrow"/>
                <w:b/>
                <w:bCs/>
                <w:sz w:val="20"/>
                <w:szCs w:val="20"/>
              </w:rPr>
            </w:pPr>
            <w:r w:rsidRPr="004D5720">
              <w:rPr>
                <w:rFonts w:ascii="Arial Narrow" w:hAnsi="Arial Narrow"/>
                <w:b/>
                <w:bCs/>
                <w:sz w:val="20"/>
                <w:szCs w:val="20"/>
              </w:rPr>
              <w:t>Показатель</w:t>
            </w:r>
          </w:p>
          <w:p w:rsidR="004D5720" w:rsidRPr="004D5720" w:rsidRDefault="004D5720" w:rsidP="00103148">
            <w:pPr>
              <w:spacing w:after="0" w:line="240" w:lineRule="auto"/>
              <w:ind w:left="142" w:right="137"/>
              <w:rPr>
                <w:rFonts w:ascii="Arial Narrow" w:hAnsi="Arial Narrow"/>
                <w:b/>
                <w:bCs/>
                <w:sz w:val="20"/>
                <w:szCs w:val="20"/>
              </w:rPr>
            </w:pPr>
          </w:p>
          <w:p w:rsidR="004D5720" w:rsidRPr="004D5720" w:rsidRDefault="004D5720" w:rsidP="00103148">
            <w:pPr>
              <w:spacing w:after="0" w:line="240" w:lineRule="auto"/>
              <w:ind w:left="142" w:right="137"/>
              <w:rPr>
                <w:rFonts w:ascii="Arial Narrow" w:hAnsi="Arial Narrow"/>
                <w:b/>
                <w:bCs/>
                <w:sz w:val="20"/>
                <w:szCs w:val="20"/>
              </w:rPr>
            </w:pPr>
            <w:r w:rsidRPr="004D5720">
              <w:rPr>
                <w:rFonts w:ascii="Arial Narrow" w:hAnsi="Arial Narrow"/>
                <w:b/>
                <w:bCs/>
                <w:sz w:val="20"/>
                <w:szCs w:val="20"/>
              </w:rPr>
              <w:t>Рынок</w:t>
            </w:r>
          </w:p>
        </w:tc>
        <w:tc>
          <w:tcPr>
            <w:tcW w:w="1843" w:type="dxa"/>
            <w:tcBorders>
              <w:top w:val="single" w:sz="4" w:space="0" w:color="auto"/>
              <w:left w:val="single" w:sz="4" w:space="0" w:color="auto"/>
              <w:bottom w:val="single" w:sz="4" w:space="0" w:color="auto"/>
              <w:right w:val="single" w:sz="4" w:space="0" w:color="auto"/>
            </w:tcBorders>
          </w:tcPr>
          <w:p w:rsidR="004D5720" w:rsidRPr="004D5720" w:rsidRDefault="004D5720" w:rsidP="006A7039">
            <w:pPr>
              <w:spacing w:after="0" w:line="240" w:lineRule="auto"/>
              <w:ind w:left="147" w:right="137"/>
              <w:jc w:val="center"/>
              <w:rPr>
                <w:rFonts w:ascii="Arial Narrow" w:hAnsi="Arial Narrow"/>
                <w:b/>
                <w:bCs/>
                <w:sz w:val="20"/>
                <w:szCs w:val="20"/>
              </w:rPr>
            </w:pPr>
            <w:r w:rsidRPr="004D5720">
              <w:rPr>
                <w:rFonts w:ascii="Arial Narrow" w:hAnsi="Arial Narrow"/>
                <w:b/>
                <w:bCs/>
                <w:sz w:val="20"/>
                <w:szCs w:val="20"/>
              </w:rPr>
              <w:t>Суммарная доля участия (собственности) государства (субъекта РФ и муниципалитетов) в хозяйствующем субъекте</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bottom"/>
          </w:tcPr>
          <w:p w:rsidR="004D5720" w:rsidRPr="004D5720" w:rsidRDefault="004D5720" w:rsidP="00F702C0">
            <w:pPr>
              <w:spacing w:after="0" w:line="240" w:lineRule="auto"/>
              <w:ind w:left="147" w:right="137"/>
              <w:jc w:val="center"/>
              <w:rPr>
                <w:rFonts w:ascii="Arial Narrow" w:hAnsi="Arial Narrow"/>
                <w:b/>
                <w:bCs/>
                <w:sz w:val="20"/>
                <w:szCs w:val="20"/>
              </w:rPr>
            </w:pPr>
            <w:r w:rsidRPr="004D5720">
              <w:rPr>
                <w:rFonts w:ascii="Arial Narrow" w:hAnsi="Arial Narrow"/>
                <w:b/>
                <w:bCs/>
                <w:sz w:val="20"/>
                <w:szCs w:val="20"/>
              </w:rPr>
              <w:t xml:space="preserve">Объем оказанных услуг </w:t>
            </w:r>
            <w:r w:rsidR="00F702C0">
              <w:rPr>
                <w:rFonts w:ascii="Arial Narrow" w:hAnsi="Arial Narrow"/>
                <w:b/>
                <w:bCs/>
                <w:sz w:val="20"/>
                <w:szCs w:val="20"/>
              </w:rPr>
              <w:t xml:space="preserve">в </w:t>
            </w:r>
            <w:r w:rsidRPr="004D5720">
              <w:rPr>
                <w:rFonts w:ascii="Arial Narrow" w:hAnsi="Arial Narrow"/>
                <w:b/>
                <w:bCs/>
                <w:sz w:val="20"/>
                <w:szCs w:val="20"/>
              </w:rPr>
              <w:t>нат. выражени</w:t>
            </w:r>
            <w:r w:rsidR="00F702C0">
              <w:rPr>
                <w:rFonts w:ascii="Arial Narrow" w:hAnsi="Arial Narrow"/>
                <w:b/>
                <w:bCs/>
                <w:sz w:val="20"/>
                <w:szCs w:val="20"/>
              </w:rPr>
              <w:t>и</w:t>
            </w:r>
          </w:p>
        </w:tc>
        <w:tc>
          <w:tcPr>
            <w:tcW w:w="1616" w:type="dxa"/>
            <w:tcBorders>
              <w:top w:val="single" w:sz="4" w:space="0" w:color="auto"/>
              <w:left w:val="single" w:sz="4" w:space="0" w:color="auto"/>
              <w:bottom w:val="single" w:sz="4" w:space="0" w:color="auto"/>
              <w:right w:val="single" w:sz="4" w:space="0" w:color="auto"/>
            </w:tcBorders>
            <w:shd w:val="clear" w:color="auto" w:fill="auto"/>
          </w:tcPr>
          <w:p w:rsidR="004D5720" w:rsidRPr="004D5720" w:rsidRDefault="004D5720" w:rsidP="006A7039">
            <w:pPr>
              <w:spacing w:after="0" w:line="240" w:lineRule="auto"/>
              <w:ind w:left="147" w:right="137"/>
              <w:jc w:val="center"/>
              <w:rPr>
                <w:rFonts w:ascii="Arial Narrow" w:hAnsi="Arial Narrow"/>
                <w:b/>
                <w:bCs/>
                <w:sz w:val="20"/>
                <w:szCs w:val="20"/>
              </w:rPr>
            </w:pPr>
            <w:r w:rsidRPr="004D5720">
              <w:rPr>
                <w:rFonts w:ascii="Arial Narrow" w:hAnsi="Arial Narrow"/>
                <w:b/>
                <w:bCs/>
                <w:sz w:val="20"/>
                <w:szCs w:val="20"/>
              </w:rPr>
              <w:t>Объем оказанных услуг в стоимостном выражении</w:t>
            </w:r>
          </w:p>
        </w:tc>
      </w:tr>
      <w:tr w:rsidR="004D5720" w:rsidRPr="004D5720" w:rsidTr="00281482">
        <w:tc>
          <w:tcPr>
            <w:tcW w:w="425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Аренда собственности</w:t>
            </w:r>
          </w:p>
        </w:tc>
        <w:tc>
          <w:tcPr>
            <w:tcW w:w="1843" w:type="dxa"/>
            <w:tcBorders>
              <w:top w:val="single" w:sz="4" w:space="0" w:color="auto"/>
              <w:left w:val="single" w:sz="4" w:space="0" w:color="auto"/>
              <w:bottom w:val="single" w:sz="4" w:space="0" w:color="auto"/>
              <w:right w:val="single" w:sz="4" w:space="0" w:color="auto"/>
            </w:tcBorders>
            <w:vAlign w:val="center"/>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Процент</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Кв. м.</w:t>
            </w:r>
          </w:p>
        </w:tc>
        <w:tc>
          <w:tcPr>
            <w:tcW w:w="1616"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Рублей за отчетный период</w:t>
            </w:r>
          </w:p>
        </w:tc>
      </w:tr>
      <w:tr w:rsidR="004D5720" w:rsidRPr="004D5720" w:rsidTr="00281482">
        <w:tc>
          <w:tcPr>
            <w:tcW w:w="425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Высшее образование</w:t>
            </w:r>
          </w:p>
        </w:tc>
        <w:tc>
          <w:tcPr>
            <w:tcW w:w="1843" w:type="dxa"/>
            <w:tcBorders>
              <w:top w:val="single" w:sz="4" w:space="0" w:color="auto"/>
              <w:left w:val="single" w:sz="4" w:space="0" w:color="auto"/>
              <w:bottom w:val="single" w:sz="4" w:space="0" w:color="auto"/>
              <w:right w:val="single" w:sz="4" w:space="0" w:color="auto"/>
            </w:tcBorders>
            <w:vAlign w:val="center"/>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Процент</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Количество обучающихся в отчетный период</w:t>
            </w:r>
          </w:p>
        </w:tc>
        <w:tc>
          <w:tcPr>
            <w:tcW w:w="1616"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Рублей за отчетный период</w:t>
            </w:r>
          </w:p>
        </w:tc>
      </w:tr>
      <w:tr w:rsidR="004D5720" w:rsidRPr="004D5720" w:rsidTr="00281482">
        <w:tc>
          <w:tcPr>
            <w:tcW w:w="425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Деятельность по созданию и использованию баз данных и информационных ресурсов</w:t>
            </w:r>
          </w:p>
        </w:tc>
        <w:tc>
          <w:tcPr>
            <w:tcW w:w="1843" w:type="dxa"/>
            <w:tcBorders>
              <w:top w:val="single" w:sz="4" w:space="0" w:color="auto"/>
              <w:left w:val="single" w:sz="4" w:space="0" w:color="auto"/>
              <w:bottom w:val="single" w:sz="4" w:space="0" w:color="auto"/>
              <w:right w:val="single" w:sz="4" w:space="0" w:color="auto"/>
            </w:tcBorders>
            <w:vAlign w:val="center"/>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Процент</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На усмотрение ответственного органа власти</w:t>
            </w:r>
          </w:p>
        </w:tc>
        <w:tc>
          <w:tcPr>
            <w:tcW w:w="1616"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Рублей за отчетный период</w:t>
            </w:r>
          </w:p>
        </w:tc>
      </w:tr>
      <w:tr w:rsidR="004D5720" w:rsidRPr="004D5720" w:rsidTr="00281482">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Дошкольное образование</w:t>
            </w:r>
          </w:p>
        </w:tc>
        <w:tc>
          <w:tcPr>
            <w:tcW w:w="1843" w:type="dxa"/>
            <w:tcBorders>
              <w:top w:val="single" w:sz="4" w:space="0" w:color="auto"/>
              <w:left w:val="single" w:sz="4" w:space="0" w:color="auto"/>
              <w:bottom w:val="single" w:sz="4" w:space="0" w:color="auto"/>
              <w:right w:val="single" w:sz="4" w:space="0" w:color="auto"/>
            </w:tcBorders>
            <w:vAlign w:val="center"/>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Процент</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Количество обучающихся в отчетный период</w:t>
            </w:r>
          </w:p>
        </w:tc>
        <w:tc>
          <w:tcPr>
            <w:tcW w:w="1616"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Рублей за отчетный период</w:t>
            </w:r>
          </w:p>
        </w:tc>
      </w:tr>
      <w:tr w:rsidR="004D5720" w:rsidRPr="004D5720" w:rsidTr="00281482">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Среднее (полное) образование, основное общее образование</w:t>
            </w:r>
          </w:p>
        </w:tc>
        <w:tc>
          <w:tcPr>
            <w:tcW w:w="1843" w:type="dxa"/>
            <w:tcBorders>
              <w:top w:val="single" w:sz="4" w:space="0" w:color="auto"/>
              <w:left w:val="single" w:sz="4" w:space="0" w:color="auto"/>
              <w:bottom w:val="single" w:sz="4" w:space="0" w:color="auto"/>
              <w:right w:val="single" w:sz="4" w:space="0" w:color="auto"/>
            </w:tcBorders>
            <w:vAlign w:val="center"/>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Процент</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Количество обучающихся в отчетный период</w:t>
            </w:r>
          </w:p>
        </w:tc>
        <w:tc>
          <w:tcPr>
            <w:tcW w:w="1616"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Рублей за отчетный период</w:t>
            </w:r>
          </w:p>
        </w:tc>
      </w:tr>
      <w:tr w:rsidR="004D5720" w:rsidRPr="004D5720" w:rsidTr="00281482">
        <w:tc>
          <w:tcPr>
            <w:tcW w:w="425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Дополнительное образование детей</w:t>
            </w:r>
          </w:p>
        </w:tc>
        <w:tc>
          <w:tcPr>
            <w:tcW w:w="1843" w:type="dxa"/>
            <w:tcBorders>
              <w:top w:val="single" w:sz="4" w:space="0" w:color="auto"/>
              <w:left w:val="single" w:sz="4" w:space="0" w:color="auto"/>
              <w:bottom w:val="single" w:sz="4" w:space="0" w:color="auto"/>
              <w:right w:val="single" w:sz="4" w:space="0" w:color="auto"/>
            </w:tcBorders>
            <w:vAlign w:val="center"/>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Процент</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Количество обучающихся в отчетный период</w:t>
            </w:r>
          </w:p>
        </w:tc>
        <w:tc>
          <w:tcPr>
            <w:tcW w:w="1616"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Рублей за отчетный период</w:t>
            </w:r>
          </w:p>
        </w:tc>
      </w:tr>
      <w:tr w:rsidR="004D5720" w:rsidRPr="004D5720" w:rsidTr="00281482">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Среднее специальное (профессиональное) образование</w:t>
            </w:r>
          </w:p>
        </w:tc>
        <w:tc>
          <w:tcPr>
            <w:tcW w:w="1843" w:type="dxa"/>
            <w:tcBorders>
              <w:top w:val="single" w:sz="4" w:space="0" w:color="auto"/>
              <w:left w:val="single" w:sz="4" w:space="0" w:color="auto"/>
              <w:bottom w:val="single" w:sz="4" w:space="0" w:color="auto"/>
              <w:right w:val="single" w:sz="4" w:space="0" w:color="auto"/>
            </w:tcBorders>
            <w:vAlign w:val="center"/>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Процент</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Количество обучающихся в отчетный период</w:t>
            </w:r>
          </w:p>
        </w:tc>
        <w:tc>
          <w:tcPr>
            <w:tcW w:w="1616"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Рублей за отчетный период</w:t>
            </w:r>
          </w:p>
        </w:tc>
      </w:tr>
      <w:tr w:rsidR="004D5720" w:rsidRPr="004D5720" w:rsidTr="00281482">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Высшее образование</w:t>
            </w:r>
          </w:p>
        </w:tc>
        <w:tc>
          <w:tcPr>
            <w:tcW w:w="1843" w:type="dxa"/>
            <w:tcBorders>
              <w:top w:val="single" w:sz="4" w:space="0" w:color="auto"/>
              <w:left w:val="single" w:sz="4" w:space="0" w:color="auto"/>
              <w:bottom w:val="single" w:sz="4" w:space="0" w:color="auto"/>
              <w:right w:val="single" w:sz="4" w:space="0" w:color="auto"/>
            </w:tcBorders>
            <w:vAlign w:val="center"/>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Процент</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Количество обучающихся в отчетный период</w:t>
            </w:r>
          </w:p>
        </w:tc>
        <w:tc>
          <w:tcPr>
            <w:tcW w:w="1616"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Рублей за отчетный период</w:t>
            </w:r>
          </w:p>
        </w:tc>
      </w:tr>
      <w:tr w:rsidR="004D5720" w:rsidRPr="004D5720" w:rsidTr="00281482">
        <w:tc>
          <w:tcPr>
            <w:tcW w:w="425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Исполнение запросов (генеалогических, тематических, социально-правовых)</w:t>
            </w:r>
          </w:p>
        </w:tc>
        <w:tc>
          <w:tcPr>
            <w:tcW w:w="1843" w:type="dxa"/>
            <w:tcBorders>
              <w:top w:val="single" w:sz="4" w:space="0" w:color="auto"/>
              <w:left w:val="single" w:sz="4" w:space="0" w:color="auto"/>
              <w:bottom w:val="single" w:sz="4" w:space="0" w:color="auto"/>
              <w:right w:val="single" w:sz="4" w:space="0" w:color="auto"/>
            </w:tcBorders>
            <w:vAlign w:val="center"/>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Процент</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Кол-во единиц</w:t>
            </w:r>
          </w:p>
        </w:tc>
        <w:tc>
          <w:tcPr>
            <w:tcW w:w="1616"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Рублей за отчетный период</w:t>
            </w:r>
          </w:p>
        </w:tc>
      </w:tr>
      <w:tr w:rsidR="004D5720" w:rsidRPr="004D5720" w:rsidTr="00281482">
        <w:tc>
          <w:tcPr>
            <w:tcW w:w="42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Ксерокопирование, сканирование документов по заявкам пользователей и сотрудников для подготовки информационных мероприятий</w:t>
            </w:r>
          </w:p>
        </w:tc>
        <w:tc>
          <w:tcPr>
            <w:tcW w:w="1843" w:type="dxa"/>
            <w:tcBorders>
              <w:top w:val="single" w:sz="4" w:space="0" w:color="auto"/>
              <w:left w:val="single" w:sz="4" w:space="0" w:color="auto"/>
              <w:bottom w:val="single" w:sz="4" w:space="0" w:color="auto"/>
              <w:right w:val="single" w:sz="4" w:space="0" w:color="auto"/>
            </w:tcBorders>
            <w:vAlign w:val="center"/>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Процент</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Кол-во единиц</w:t>
            </w:r>
          </w:p>
        </w:tc>
        <w:tc>
          <w:tcPr>
            <w:tcW w:w="1616"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Рублей за отчетный период</w:t>
            </w:r>
          </w:p>
        </w:tc>
      </w:tr>
      <w:tr w:rsidR="004D5720" w:rsidRPr="004D5720" w:rsidTr="00281482">
        <w:tc>
          <w:tcPr>
            <w:tcW w:w="425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Мониторинг пожарной опасности в лесах и лесных пожаров</w:t>
            </w:r>
          </w:p>
        </w:tc>
        <w:tc>
          <w:tcPr>
            <w:tcW w:w="1843" w:type="dxa"/>
            <w:tcBorders>
              <w:top w:val="single" w:sz="4" w:space="0" w:color="auto"/>
              <w:left w:val="single" w:sz="4" w:space="0" w:color="auto"/>
              <w:bottom w:val="single" w:sz="4" w:space="0" w:color="auto"/>
              <w:right w:val="single" w:sz="4" w:space="0" w:color="auto"/>
            </w:tcBorders>
            <w:vAlign w:val="center"/>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Процент</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Кол-во проведенных мероприятий</w:t>
            </w:r>
          </w:p>
        </w:tc>
        <w:tc>
          <w:tcPr>
            <w:tcW w:w="1616"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Рублей за отчетный период</w:t>
            </w:r>
          </w:p>
        </w:tc>
      </w:tr>
      <w:tr w:rsidR="004D5720" w:rsidRPr="004D5720" w:rsidTr="00281482">
        <w:tc>
          <w:tcPr>
            <w:tcW w:w="425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Научные исследования и разработки в области естественных и технических наук</w:t>
            </w:r>
          </w:p>
        </w:tc>
        <w:tc>
          <w:tcPr>
            <w:tcW w:w="1843" w:type="dxa"/>
            <w:tcBorders>
              <w:top w:val="single" w:sz="4" w:space="0" w:color="auto"/>
              <w:left w:val="single" w:sz="4" w:space="0" w:color="auto"/>
              <w:bottom w:val="single" w:sz="4" w:space="0" w:color="auto"/>
              <w:right w:val="single" w:sz="4" w:space="0" w:color="auto"/>
            </w:tcBorders>
            <w:vAlign w:val="center"/>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Процент</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Кол-во выполненных работ</w:t>
            </w:r>
          </w:p>
        </w:tc>
        <w:tc>
          <w:tcPr>
            <w:tcW w:w="1616"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Рублей за отчетный период</w:t>
            </w:r>
          </w:p>
        </w:tc>
      </w:tr>
      <w:tr w:rsidR="004D5720" w:rsidRPr="004D5720" w:rsidTr="00281482">
        <w:tc>
          <w:tcPr>
            <w:tcW w:w="425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Обработка неметаллических отходов и лома, обработка отходов бумаги и картона, отходов и лома стекла, обработка отходов и лома пластмасс</w:t>
            </w:r>
          </w:p>
        </w:tc>
        <w:tc>
          <w:tcPr>
            <w:tcW w:w="1843" w:type="dxa"/>
            <w:tcBorders>
              <w:top w:val="single" w:sz="4" w:space="0" w:color="auto"/>
              <w:left w:val="single" w:sz="4" w:space="0" w:color="auto"/>
              <w:bottom w:val="single" w:sz="4" w:space="0" w:color="auto"/>
              <w:right w:val="single" w:sz="4" w:space="0" w:color="auto"/>
            </w:tcBorders>
            <w:vAlign w:val="center"/>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Процент</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Тонн</w:t>
            </w:r>
          </w:p>
        </w:tc>
        <w:tc>
          <w:tcPr>
            <w:tcW w:w="1616"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Рублей за отчетный период</w:t>
            </w:r>
          </w:p>
        </w:tc>
      </w:tr>
      <w:tr w:rsidR="004D5720" w:rsidRPr="004D5720" w:rsidTr="00281482">
        <w:tc>
          <w:tcPr>
            <w:tcW w:w="425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Оказание услуг, выполнение работ в сфере молодежной политики</w:t>
            </w:r>
          </w:p>
        </w:tc>
        <w:tc>
          <w:tcPr>
            <w:tcW w:w="1843" w:type="dxa"/>
            <w:tcBorders>
              <w:top w:val="single" w:sz="4" w:space="0" w:color="auto"/>
              <w:left w:val="single" w:sz="4" w:space="0" w:color="auto"/>
              <w:bottom w:val="single" w:sz="4" w:space="0" w:color="auto"/>
              <w:right w:val="single" w:sz="4" w:space="0" w:color="auto"/>
            </w:tcBorders>
            <w:vAlign w:val="center"/>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Процент</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Кол-во выполненных работ</w:t>
            </w:r>
          </w:p>
        </w:tc>
        <w:tc>
          <w:tcPr>
            <w:tcW w:w="1616"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Рублей за отчетный период</w:t>
            </w:r>
          </w:p>
        </w:tc>
      </w:tr>
      <w:tr w:rsidR="004D5720" w:rsidRPr="004D5720" w:rsidTr="00130274">
        <w:tc>
          <w:tcPr>
            <w:tcW w:w="425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Организация проведения физкультурно-оздоровительных и спортивных мероприятий</w:t>
            </w:r>
          </w:p>
        </w:tc>
        <w:tc>
          <w:tcPr>
            <w:tcW w:w="1843" w:type="dxa"/>
            <w:tcBorders>
              <w:top w:val="single" w:sz="4" w:space="0" w:color="auto"/>
              <w:left w:val="single" w:sz="4" w:space="0" w:color="auto"/>
              <w:bottom w:val="single" w:sz="4" w:space="0" w:color="auto"/>
              <w:right w:val="single" w:sz="4" w:space="0" w:color="auto"/>
            </w:tcBorders>
            <w:vAlign w:val="center"/>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Процент</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F702C0">
            <w:pPr>
              <w:spacing w:after="0" w:line="240" w:lineRule="auto"/>
              <w:ind w:left="142" w:right="137"/>
              <w:rPr>
                <w:rFonts w:ascii="Arial Narrow" w:hAnsi="Arial Narrow"/>
                <w:sz w:val="19"/>
                <w:szCs w:val="19"/>
              </w:rPr>
            </w:pPr>
            <w:r w:rsidRPr="006A7039">
              <w:rPr>
                <w:rFonts w:ascii="Arial Narrow" w:hAnsi="Arial Narrow"/>
                <w:sz w:val="19"/>
                <w:szCs w:val="19"/>
              </w:rPr>
              <w:t>Количество участников (</w:t>
            </w:r>
          </w:p>
        </w:tc>
        <w:tc>
          <w:tcPr>
            <w:tcW w:w="1616"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Рублей за отчетный период</w:t>
            </w:r>
          </w:p>
        </w:tc>
      </w:tr>
      <w:tr w:rsidR="004D5720" w:rsidRPr="004D5720" w:rsidTr="00130274">
        <w:tc>
          <w:tcPr>
            <w:tcW w:w="42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Предоставление в аренду транспортных средств</w:t>
            </w:r>
          </w:p>
        </w:tc>
        <w:tc>
          <w:tcPr>
            <w:tcW w:w="1843" w:type="dxa"/>
            <w:tcBorders>
              <w:top w:val="single" w:sz="4" w:space="0" w:color="auto"/>
              <w:left w:val="single" w:sz="4" w:space="0" w:color="auto"/>
              <w:bottom w:val="single" w:sz="4" w:space="0" w:color="auto"/>
              <w:right w:val="single" w:sz="4" w:space="0" w:color="auto"/>
            </w:tcBorders>
            <w:vAlign w:val="center"/>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Процент</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Кол-во единиц</w:t>
            </w:r>
          </w:p>
        </w:tc>
        <w:tc>
          <w:tcPr>
            <w:tcW w:w="1616"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Рублей за отчетный период</w:t>
            </w:r>
          </w:p>
        </w:tc>
      </w:tr>
      <w:tr w:rsidR="004D5720" w:rsidRPr="004D5720" w:rsidTr="00130274">
        <w:tc>
          <w:tcPr>
            <w:tcW w:w="42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Предоставление доступа к спортивному объекту, прокат инвентаря</w:t>
            </w:r>
          </w:p>
        </w:tc>
        <w:tc>
          <w:tcPr>
            <w:tcW w:w="1843" w:type="dxa"/>
            <w:tcBorders>
              <w:top w:val="single" w:sz="4" w:space="0" w:color="auto"/>
              <w:left w:val="single" w:sz="4" w:space="0" w:color="auto"/>
              <w:bottom w:val="single" w:sz="4" w:space="0" w:color="auto"/>
              <w:right w:val="single" w:sz="4" w:space="0" w:color="auto"/>
            </w:tcBorders>
            <w:vAlign w:val="center"/>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Процент</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Количество получателей услуг в отчетный период</w:t>
            </w:r>
          </w:p>
        </w:tc>
        <w:tc>
          <w:tcPr>
            <w:tcW w:w="1616"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Рублей за отчетный период</w:t>
            </w:r>
          </w:p>
        </w:tc>
      </w:tr>
      <w:tr w:rsidR="004D5720" w:rsidRPr="004D5720" w:rsidTr="00281482">
        <w:tc>
          <w:tcPr>
            <w:tcW w:w="425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Проведение обследования состояния делопроизводства и ведомственного хранения документов, упорядочение документов организаций</w:t>
            </w:r>
          </w:p>
        </w:tc>
        <w:tc>
          <w:tcPr>
            <w:tcW w:w="1843" w:type="dxa"/>
            <w:tcBorders>
              <w:top w:val="single" w:sz="4" w:space="0" w:color="auto"/>
              <w:left w:val="single" w:sz="4" w:space="0" w:color="auto"/>
              <w:bottom w:val="single" w:sz="4" w:space="0" w:color="auto"/>
              <w:right w:val="single" w:sz="4" w:space="0" w:color="auto"/>
            </w:tcBorders>
            <w:vAlign w:val="center"/>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Процент</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Кол-во выполненных работ</w:t>
            </w:r>
          </w:p>
        </w:tc>
        <w:tc>
          <w:tcPr>
            <w:tcW w:w="1616"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line="240" w:lineRule="auto"/>
              <w:ind w:left="142" w:right="137"/>
              <w:rPr>
                <w:rFonts w:ascii="Arial Narrow" w:hAnsi="Arial Narrow"/>
                <w:sz w:val="19"/>
                <w:szCs w:val="19"/>
              </w:rPr>
            </w:pPr>
            <w:r w:rsidRPr="006A7039">
              <w:rPr>
                <w:rFonts w:ascii="Arial Narrow" w:hAnsi="Arial Narrow"/>
                <w:sz w:val="19"/>
                <w:szCs w:val="19"/>
              </w:rPr>
              <w:t>Рублей за отчетный период</w:t>
            </w:r>
          </w:p>
        </w:tc>
      </w:tr>
      <w:tr w:rsidR="004D5720" w:rsidRPr="00EF2D4E" w:rsidTr="00281482">
        <w:tc>
          <w:tcPr>
            <w:tcW w:w="42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D5720" w:rsidRPr="006A7039" w:rsidRDefault="004D5720" w:rsidP="00103148">
            <w:pPr>
              <w:spacing w:after="0"/>
              <w:ind w:left="142" w:right="137"/>
              <w:rPr>
                <w:rFonts w:ascii="Arial Narrow" w:hAnsi="Arial Narrow"/>
                <w:sz w:val="19"/>
                <w:szCs w:val="19"/>
              </w:rPr>
            </w:pPr>
            <w:r w:rsidRPr="006A7039">
              <w:rPr>
                <w:rFonts w:ascii="Arial Narrow" w:hAnsi="Arial Narrow"/>
                <w:sz w:val="19"/>
                <w:szCs w:val="19"/>
              </w:rPr>
              <w:t>Проведение экспертизы ценности с организациями и описание документов</w:t>
            </w:r>
          </w:p>
        </w:tc>
        <w:tc>
          <w:tcPr>
            <w:tcW w:w="1843" w:type="dxa"/>
            <w:tcBorders>
              <w:top w:val="single" w:sz="4" w:space="0" w:color="auto"/>
              <w:left w:val="single" w:sz="4" w:space="0" w:color="auto"/>
              <w:bottom w:val="single" w:sz="4" w:space="0" w:color="auto"/>
              <w:right w:val="single" w:sz="4" w:space="0" w:color="auto"/>
            </w:tcBorders>
            <w:vAlign w:val="center"/>
          </w:tcPr>
          <w:p w:rsidR="004D5720" w:rsidRPr="006A7039" w:rsidRDefault="004D5720" w:rsidP="00103148">
            <w:pPr>
              <w:spacing w:after="0"/>
              <w:ind w:left="142" w:right="137"/>
              <w:rPr>
                <w:rFonts w:ascii="Arial Narrow" w:hAnsi="Arial Narrow"/>
                <w:sz w:val="19"/>
                <w:szCs w:val="19"/>
              </w:rPr>
            </w:pPr>
            <w:r w:rsidRPr="006A7039">
              <w:rPr>
                <w:rFonts w:ascii="Arial Narrow" w:hAnsi="Arial Narrow"/>
                <w:sz w:val="19"/>
                <w:szCs w:val="19"/>
              </w:rPr>
              <w:t>Процент</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ind w:left="142" w:right="137"/>
              <w:rPr>
                <w:rFonts w:ascii="Arial Narrow" w:hAnsi="Arial Narrow"/>
                <w:sz w:val="19"/>
                <w:szCs w:val="19"/>
              </w:rPr>
            </w:pPr>
            <w:r w:rsidRPr="006A7039">
              <w:rPr>
                <w:rFonts w:ascii="Arial Narrow" w:hAnsi="Arial Narrow"/>
                <w:sz w:val="19"/>
                <w:szCs w:val="19"/>
              </w:rPr>
              <w:t>Кол-во выполненных работ</w:t>
            </w:r>
          </w:p>
        </w:tc>
        <w:tc>
          <w:tcPr>
            <w:tcW w:w="1616"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ind w:left="142" w:right="137"/>
              <w:rPr>
                <w:rFonts w:ascii="Arial Narrow" w:hAnsi="Arial Narrow"/>
                <w:sz w:val="19"/>
                <w:szCs w:val="19"/>
              </w:rPr>
            </w:pPr>
            <w:r w:rsidRPr="006A7039">
              <w:rPr>
                <w:rFonts w:ascii="Arial Narrow" w:hAnsi="Arial Narrow"/>
                <w:sz w:val="19"/>
                <w:szCs w:val="19"/>
              </w:rPr>
              <w:t>Рублей за отчетный период</w:t>
            </w:r>
          </w:p>
        </w:tc>
      </w:tr>
      <w:tr w:rsidR="004D5720" w:rsidRPr="00EF2D4E" w:rsidTr="00281482">
        <w:trPr>
          <w:trHeight w:val="1088"/>
        </w:trPr>
        <w:tc>
          <w:tcPr>
            <w:tcW w:w="425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20" w:rsidRPr="006A7039" w:rsidRDefault="004D5720" w:rsidP="00103148">
            <w:pPr>
              <w:spacing w:after="0"/>
              <w:ind w:left="142" w:right="137"/>
              <w:rPr>
                <w:rFonts w:ascii="Arial Narrow" w:hAnsi="Arial Narrow"/>
                <w:sz w:val="19"/>
                <w:szCs w:val="19"/>
              </w:rPr>
            </w:pPr>
            <w:r w:rsidRPr="006A7039">
              <w:rPr>
                <w:rFonts w:ascii="Arial Narrow" w:hAnsi="Arial Narrow"/>
                <w:sz w:val="19"/>
                <w:szCs w:val="19"/>
              </w:rPr>
              <w:lastRenderedPageBreak/>
              <w:t>Распределение газообразного топлива</w:t>
            </w:r>
          </w:p>
        </w:tc>
        <w:tc>
          <w:tcPr>
            <w:tcW w:w="1843" w:type="dxa"/>
            <w:tcBorders>
              <w:top w:val="single" w:sz="4" w:space="0" w:color="auto"/>
              <w:left w:val="single" w:sz="4" w:space="0" w:color="auto"/>
              <w:bottom w:val="single" w:sz="4" w:space="0" w:color="auto"/>
              <w:right w:val="single" w:sz="4" w:space="0" w:color="auto"/>
            </w:tcBorders>
            <w:vAlign w:val="center"/>
          </w:tcPr>
          <w:p w:rsidR="004D5720" w:rsidRPr="006A7039" w:rsidRDefault="004D5720" w:rsidP="00103148">
            <w:pPr>
              <w:spacing w:after="0"/>
              <w:ind w:left="142" w:right="137"/>
              <w:rPr>
                <w:rFonts w:ascii="Arial Narrow" w:hAnsi="Arial Narrow"/>
                <w:sz w:val="19"/>
                <w:szCs w:val="19"/>
              </w:rPr>
            </w:pPr>
            <w:r w:rsidRPr="006A7039">
              <w:rPr>
                <w:rFonts w:ascii="Arial Narrow" w:hAnsi="Arial Narrow"/>
                <w:sz w:val="19"/>
                <w:szCs w:val="19"/>
              </w:rPr>
              <w:t>Процент</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F702C0">
            <w:pPr>
              <w:spacing w:after="0"/>
              <w:ind w:left="142" w:right="137"/>
              <w:rPr>
                <w:rFonts w:ascii="Arial Narrow" w:hAnsi="Arial Narrow"/>
                <w:sz w:val="19"/>
                <w:szCs w:val="19"/>
              </w:rPr>
            </w:pPr>
            <w:r w:rsidRPr="006A7039">
              <w:rPr>
                <w:rFonts w:ascii="Arial Narrow" w:hAnsi="Arial Narrow"/>
                <w:sz w:val="19"/>
                <w:szCs w:val="19"/>
              </w:rPr>
              <w:t xml:space="preserve">Куб. м. </w:t>
            </w:r>
          </w:p>
        </w:tc>
        <w:tc>
          <w:tcPr>
            <w:tcW w:w="1616"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ind w:left="142" w:right="137"/>
              <w:rPr>
                <w:rFonts w:ascii="Arial Narrow" w:hAnsi="Arial Narrow"/>
                <w:sz w:val="19"/>
                <w:szCs w:val="19"/>
              </w:rPr>
            </w:pPr>
            <w:r w:rsidRPr="006A7039">
              <w:rPr>
                <w:rFonts w:ascii="Arial Narrow" w:hAnsi="Arial Narrow"/>
                <w:sz w:val="19"/>
                <w:szCs w:val="19"/>
              </w:rPr>
              <w:t>Рублей за отчетный период</w:t>
            </w:r>
          </w:p>
        </w:tc>
      </w:tr>
      <w:tr w:rsidR="004D5720" w:rsidRPr="00EF2D4E" w:rsidTr="00281482">
        <w:tc>
          <w:tcPr>
            <w:tcW w:w="425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20" w:rsidRPr="006A7039" w:rsidRDefault="004D5720" w:rsidP="00103148">
            <w:pPr>
              <w:spacing w:after="0"/>
              <w:ind w:left="142" w:right="137"/>
              <w:rPr>
                <w:rFonts w:ascii="Arial Narrow" w:hAnsi="Arial Narrow"/>
                <w:sz w:val="19"/>
                <w:szCs w:val="19"/>
              </w:rPr>
            </w:pPr>
            <w:r w:rsidRPr="006A7039">
              <w:rPr>
                <w:rFonts w:ascii="Arial Narrow" w:hAnsi="Arial Narrow"/>
                <w:sz w:val="19"/>
                <w:szCs w:val="19"/>
              </w:rPr>
              <w:t>Регулирование и содействие эффективному ведению экономической деятельности, деятельность в области региональной, национальной и молодежной политики</w:t>
            </w:r>
          </w:p>
        </w:tc>
        <w:tc>
          <w:tcPr>
            <w:tcW w:w="1843" w:type="dxa"/>
            <w:tcBorders>
              <w:top w:val="single" w:sz="4" w:space="0" w:color="auto"/>
              <w:left w:val="single" w:sz="4" w:space="0" w:color="auto"/>
              <w:bottom w:val="single" w:sz="4" w:space="0" w:color="auto"/>
              <w:right w:val="single" w:sz="4" w:space="0" w:color="auto"/>
            </w:tcBorders>
            <w:vAlign w:val="center"/>
          </w:tcPr>
          <w:p w:rsidR="004D5720" w:rsidRPr="006A7039" w:rsidRDefault="004D5720" w:rsidP="00103148">
            <w:pPr>
              <w:spacing w:after="0"/>
              <w:ind w:left="142" w:right="137"/>
              <w:rPr>
                <w:rFonts w:ascii="Arial Narrow" w:hAnsi="Arial Narrow"/>
                <w:sz w:val="19"/>
                <w:szCs w:val="19"/>
              </w:rPr>
            </w:pPr>
            <w:r w:rsidRPr="006A7039">
              <w:rPr>
                <w:rFonts w:ascii="Arial Narrow" w:hAnsi="Arial Narrow"/>
                <w:sz w:val="19"/>
                <w:szCs w:val="19"/>
              </w:rPr>
              <w:t>Процент</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ind w:left="142" w:right="137"/>
              <w:rPr>
                <w:rFonts w:ascii="Arial Narrow" w:hAnsi="Arial Narrow"/>
                <w:sz w:val="19"/>
                <w:szCs w:val="19"/>
              </w:rPr>
            </w:pPr>
            <w:r w:rsidRPr="006A7039">
              <w:rPr>
                <w:rFonts w:ascii="Arial Narrow" w:hAnsi="Arial Narrow"/>
                <w:sz w:val="19"/>
                <w:szCs w:val="19"/>
              </w:rPr>
              <w:t>Кол-во выполненных работ</w:t>
            </w:r>
          </w:p>
        </w:tc>
        <w:tc>
          <w:tcPr>
            <w:tcW w:w="1616"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ind w:left="142" w:right="137"/>
              <w:rPr>
                <w:rFonts w:ascii="Arial Narrow" w:hAnsi="Arial Narrow"/>
                <w:sz w:val="19"/>
                <w:szCs w:val="19"/>
              </w:rPr>
            </w:pPr>
            <w:r w:rsidRPr="006A7039">
              <w:rPr>
                <w:rFonts w:ascii="Arial Narrow" w:hAnsi="Arial Narrow"/>
                <w:sz w:val="19"/>
                <w:szCs w:val="19"/>
              </w:rPr>
              <w:t>Рублей за отчетный период</w:t>
            </w:r>
          </w:p>
        </w:tc>
      </w:tr>
      <w:tr w:rsidR="004D5720" w:rsidRPr="00EF2D4E" w:rsidTr="00281482">
        <w:tc>
          <w:tcPr>
            <w:tcW w:w="425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20" w:rsidRPr="006A7039" w:rsidRDefault="004D5720" w:rsidP="00103148">
            <w:pPr>
              <w:spacing w:after="0"/>
              <w:ind w:left="142" w:right="137"/>
              <w:rPr>
                <w:rFonts w:ascii="Arial Narrow" w:hAnsi="Arial Narrow"/>
                <w:sz w:val="19"/>
                <w:szCs w:val="19"/>
              </w:rPr>
            </w:pPr>
            <w:r w:rsidRPr="006A7039">
              <w:rPr>
                <w:rFonts w:ascii="Arial Narrow" w:hAnsi="Arial Narrow"/>
                <w:sz w:val="19"/>
                <w:szCs w:val="19"/>
              </w:rPr>
              <w:t>Рынок детского отдыха и оздоровления</w:t>
            </w:r>
          </w:p>
        </w:tc>
        <w:tc>
          <w:tcPr>
            <w:tcW w:w="1843" w:type="dxa"/>
            <w:tcBorders>
              <w:top w:val="single" w:sz="4" w:space="0" w:color="auto"/>
              <w:left w:val="single" w:sz="4" w:space="0" w:color="auto"/>
              <w:bottom w:val="single" w:sz="4" w:space="0" w:color="auto"/>
              <w:right w:val="single" w:sz="4" w:space="0" w:color="auto"/>
            </w:tcBorders>
            <w:vAlign w:val="center"/>
          </w:tcPr>
          <w:p w:rsidR="004D5720" w:rsidRPr="006A7039" w:rsidRDefault="004D5720" w:rsidP="00103148">
            <w:pPr>
              <w:spacing w:after="0"/>
              <w:ind w:left="142" w:right="137"/>
              <w:rPr>
                <w:rFonts w:ascii="Arial Narrow" w:hAnsi="Arial Narrow"/>
                <w:sz w:val="19"/>
                <w:szCs w:val="19"/>
              </w:rPr>
            </w:pPr>
            <w:r w:rsidRPr="006A7039">
              <w:rPr>
                <w:rFonts w:ascii="Arial Narrow" w:hAnsi="Arial Narrow"/>
                <w:sz w:val="19"/>
                <w:szCs w:val="19"/>
              </w:rPr>
              <w:t>Процент</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ind w:left="142" w:right="137"/>
              <w:rPr>
                <w:rFonts w:ascii="Arial Narrow" w:hAnsi="Arial Narrow"/>
                <w:sz w:val="19"/>
                <w:szCs w:val="19"/>
              </w:rPr>
            </w:pPr>
            <w:r w:rsidRPr="006A7039">
              <w:rPr>
                <w:rFonts w:ascii="Arial Narrow" w:hAnsi="Arial Narrow"/>
                <w:sz w:val="19"/>
                <w:szCs w:val="19"/>
              </w:rPr>
              <w:t>Количество получателей услуг в отчетный период</w:t>
            </w:r>
          </w:p>
        </w:tc>
        <w:tc>
          <w:tcPr>
            <w:tcW w:w="1616"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ind w:left="142" w:right="137"/>
              <w:rPr>
                <w:rFonts w:ascii="Arial Narrow" w:hAnsi="Arial Narrow"/>
                <w:sz w:val="19"/>
                <w:szCs w:val="19"/>
              </w:rPr>
            </w:pPr>
            <w:r w:rsidRPr="006A7039">
              <w:rPr>
                <w:rFonts w:ascii="Arial Narrow" w:hAnsi="Arial Narrow"/>
                <w:sz w:val="19"/>
                <w:szCs w:val="19"/>
              </w:rPr>
              <w:t>Рублей за отчетный период</w:t>
            </w:r>
          </w:p>
        </w:tc>
      </w:tr>
      <w:tr w:rsidR="004D5720" w:rsidRPr="00EF2D4E" w:rsidTr="00281482">
        <w:tc>
          <w:tcPr>
            <w:tcW w:w="425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20" w:rsidRPr="006A7039" w:rsidRDefault="004D5720" w:rsidP="00103148">
            <w:pPr>
              <w:spacing w:after="0"/>
              <w:ind w:left="142" w:right="137"/>
              <w:rPr>
                <w:rFonts w:ascii="Arial Narrow" w:hAnsi="Arial Narrow"/>
                <w:sz w:val="19"/>
                <w:szCs w:val="19"/>
              </w:rPr>
            </w:pPr>
            <w:r w:rsidRPr="006A7039">
              <w:rPr>
                <w:rFonts w:ascii="Arial Narrow" w:hAnsi="Arial Narrow"/>
                <w:sz w:val="19"/>
                <w:szCs w:val="19"/>
              </w:rPr>
              <w:t>Рынок ЖКУ (управление недвижимостью)</w:t>
            </w:r>
          </w:p>
        </w:tc>
        <w:tc>
          <w:tcPr>
            <w:tcW w:w="1843" w:type="dxa"/>
            <w:tcBorders>
              <w:top w:val="single" w:sz="4" w:space="0" w:color="auto"/>
              <w:left w:val="single" w:sz="4" w:space="0" w:color="auto"/>
              <w:bottom w:val="single" w:sz="4" w:space="0" w:color="auto"/>
              <w:right w:val="single" w:sz="4" w:space="0" w:color="auto"/>
            </w:tcBorders>
            <w:vAlign w:val="center"/>
          </w:tcPr>
          <w:p w:rsidR="004D5720" w:rsidRPr="006A7039" w:rsidRDefault="004D5720" w:rsidP="00103148">
            <w:pPr>
              <w:spacing w:after="0"/>
              <w:ind w:left="142" w:right="137"/>
              <w:rPr>
                <w:rFonts w:ascii="Arial Narrow" w:hAnsi="Arial Narrow"/>
                <w:sz w:val="19"/>
                <w:szCs w:val="19"/>
              </w:rPr>
            </w:pPr>
            <w:r w:rsidRPr="006A7039">
              <w:rPr>
                <w:rFonts w:ascii="Arial Narrow" w:hAnsi="Arial Narrow"/>
                <w:sz w:val="19"/>
                <w:szCs w:val="19"/>
              </w:rPr>
              <w:t>Процент</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ind w:left="142" w:right="137"/>
              <w:rPr>
                <w:rFonts w:ascii="Arial Narrow" w:hAnsi="Arial Narrow"/>
                <w:sz w:val="19"/>
                <w:szCs w:val="19"/>
              </w:rPr>
            </w:pPr>
            <w:r w:rsidRPr="006A7039">
              <w:rPr>
                <w:rFonts w:ascii="Arial Narrow" w:hAnsi="Arial Narrow"/>
                <w:sz w:val="19"/>
                <w:szCs w:val="19"/>
              </w:rPr>
              <w:t>Кв. м. (или количество домов, на усмотрение ответственного органа власти)</w:t>
            </w:r>
          </w:p>
        </w:tc>
        <w:tc>
          <w:tcPr>
            <w:tcW w:w="1616"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ind w:left="142" w:right="137"/>
              <w:rPr>
                <w:rFonts w:ascii="Arial Narrow" w:hAnsi="Arial Narrow"/>
                <w:sz w:val="19"/>
                <w:szCs w:val="19"/>
              </w:rPr>
            </w:pPr>
            <w:r w:rsidRPr="006A7039">
              <w:rPr>
                <w:rFonts w:ascii="Arial Narrow" w:hAnsi="Arial Narrow"/>
                <w:sz w:val="19"/>
                <w:szCs w:val="19"/>
              </w:rPr>
              <w:t>Рублей за отчетный период</w:t>
            </w:r>
          </w:p>
        </w:tc>
      </w:tr>
      <w:tr w:rsidR="004D5720" w:rsidRPr="00EF2D4E" w:rsidTr="00281482">
        <w:tc>
          <w:tcPr>
            <w:tcW w:w="425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20" w:rsidRPr="006A7039" w:rsidRDefault="004D5720" w:rsidP="00103148">
            <w:pPr>
              <w:spacing w:after="0"/>
              <w:ind w:left="142" w:right="137"/>
              <w:rPr>
                <w:rFonts w:ascii="Arial Narrow" w:hAnsi="Arial Narrow"/>
                <w:sz w:val="19"/>
                <w:szCs w:val="19"/>
              </w:rPr>
            </w:pPr>
            <w:r w:rsidRPr="006A7039">
              <w:rPr>
                <w:rFonts w:ascii="Arial Narrow" w:hAnsi="Arial Narrow"/>
                <w:sz w:val="19"/>
                <w:szCs w:val="19"/>
              </w:rPr>
              <w:t>Рынок заготовки, производства и реализации лесоматериалов</w:t>
            </w:r>
          </w:p>
        </w:tc>
        <w:tc>
          <w:tcPr>
            <w:tcW w:w="1843" w:type="dxa"/>
            <w:tcBorders>
              <w:top w:val="single" w:sz="4" w:space="0" w:color="auto"/>
              <w:left w:val="single" w:sz="4" w:space="0" w:color="auto"/>
              <w:bottom w:val="single" w:sz="4" w:space="0" w:color="auto"/>
              <w:right w:val="single" w:sz="4" w:space="0" w:color="auto"/>
            </w:tcBorders>
            <w:vAlign w:val="center"/>
          </w:tcPr>
          <w:p w:rsidR="004D5720" w:rsidRPr="006A7039" w:rsidRDefault="004D5720" w:rsidP="00103148">
            <w:pPr>
              <w:spacing w:after="0"/>
              <w:ind w:left="142" w:right="137"/>
              <w:rPr>
                <w:rFonts w:ascii="Arial Narrow" w:hAnsi="Arial Narrow"/>
                <w:sz w:val="19"/>
                <w:szCs w:val="19"/>
              </w:rPr>
            </w:pPr>
            <w:r w:rsidRPr="006A7039">
              <w:rPr>
                <w:rFonts w:ascii="Arial Narrow" w:hAnsi="Arial Narrow"/>
                <w:sz w:val="19"/>
                <w:szCs w:val="19"/>
              </w:rPr>
              <w:t>Процент</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F702C0" w:rsidP="00103148">
            <w:pPr>
              <w:spacing w:after="0"/>
              <w:ind w:left="142" w:right="137"/>
              <w:rPr>
                <w:rFonts w:ascii="Arial Narrow" w:hAnsi="Arial Narrow"/>
                <w:sz w:val="19"/>
                <w:szCs w:val="19"/>
              </w:rPr>
            </w:pPr>
            <w:r w:rsidRPr="006A7039">
              <w:rPr>
                <w:rFonts w:ascii="Arial Narrow" w:hAnsi="Arial Narrow"/>
                <w:sz w:val="19"/>
                <w:szCs w:val="19"/>
              </w:rPr>
              <w:t>Куб. м.</w:t>
            </w:r>
          </w:p>
        </w:tc>
        <w:tc>
          <w:tcPr>
            <w:tcW w:w="1616"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ind w:left="142" w:right="137"/>
              <w:rPr>
                <w:rFonts w:ascii="Arial Narrow" w:hAnsi="Arial Narrow"/>
                <w:sz w:val="19"/>
                <w:szCs w:val="19"/>
              </w:rPr>
            </w:pPr>
            <w:r w:rsidRPr="006A7039">
              <w:rPr>
                <w:rFonts w:ascii="Arial Narrow" w:hAnsi="Arial Narrow"/>
                <w:sz w:val="19"/>
                <w:szCs w:val="19"/>
              </w:rPr>
              <w:t>Рублей за отчетный период</w:t>
            </w:r>
          </w:p>
        </w:tc>
      </w:tr>
      <w:tr w:rsidR="004D5720" w:rsidRPr="00EF2D4E" w:rsidTr="00281482">
        <w:tc>
          <w:tcPr>
            <w:tcW w:w="425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20" w:rsidRPr="006A7039" w:rsidRDefault="004D5720" w:rsidP="00103148">
            <w:pPr>
              <w:spacing w:after="0"/>
              <w:ind w:left="142" w:right="137"/>
              <w:rPr>
                <w:rFonts w:ascii="Arial Narrow" w:hAnsi="Arial Narrow"/>
                <w:sz w:val="19"/>
                <w:szCs w:val="19"/>
              </w:rPr>
            </w:pPr>
            <w:r w:rsidRPr="006A7039">
              <w:rPr>
                <w:rFonts w:ascii="Arial Narrow" w:hAnsi="Arial Narrow"/>
                <w:sz w:val="19"/>
                <w:szCs w:val="19"/>
              </w:rPr>
              <w:t>Рынок ипотечного кредитования</w:t>
            </w:r>
          </w:p>
        </w:tc>
        <w:tc>
          <w:tcPr>
            <w:tcW w:w="1843" w:type="dxa"/>
            <w:tcBorders>
              <w:top w:val="single" w:sz="4" w:space="0" w:color="auto"/>
              <w:left w:val="single" w:sz="4" w:space="0" w:color="auto"/>
              <w:bottom w:val="single" w:sz="4" w:space="0" w:color="auto"/>
              <w:right w:val="single" w:sz="4" w:space="0" w:color="auto"/>
            </w:tcBorders>
            <w:vAlign w:val="center"/>
          </w:tcPr>
          <w:p w:rsidR="004D5720" w:rsidRPr="006A7039" w:rsidRDefault="004D5720" w:rsidP="00103148">
            <w:pPr>
              <w:spacing w:after="0"/>
              <w:ind w:left="142" w:right="137"/>
              <w:rPr>
                <w:rFonts w:ascii="Arial Narrow" w:hAnsi="Arial Narrow"/>
                <w:sz w:val="19"/>
                <w:szCs w:val="19"/>
              </w:rPr>
            </w:pPr>
            <w:r w:rsidRPr="006A7039">
              <w:rPr>
                <w:rFonts w:ascii="Arial Narrow" w:hAnsi="Arial Narrow"/>
                <w:sz w:val="19"/>
                <w:szCs w:val="19"/>
              </w:rPr>
              <w:t>Процент</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ind w:left="142" w:right="137"/>
              <w:rPr>
                <w:rFonts w:ascii="Arial Narrow" w:hAnsi="Arial Narrow"/>
                <w:sz w:val="19"/>
                <w:szCs w:val="19"/>
              </w:rPr>
            </w:pPr>
            <w:r w:rsidRPr="006A7039">
              <w:rPr>
                <w:rFonts w:ascii="Arial Narrow" w:hAnsi="Arial Narrow"/>
                <w:sz w:val="19"/>
                <w:szCs w:val="19"/>
              </w:rPr>
              <w:t>Количество получателей услуг</w:t>
            </w:r>
          </w:p>
        </w:tc>
        <w:tc>
          <w:tcPr>
            <w:tcW w:w="1616"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ind w:left="142" w:right="137"/>
              <w:rPr>
                <w:rFonts w:ascii="Arial Narrow" w:hAnsi="Arial Narrow"/>
                <w:sz w:val="19"/>
                <w:szCs w:val="19"/>
              </w:rPr>
            </w:pPr>
            <w:r w:rsidRPr="006A7039">
              <w:rPr>
                <w:rFonts w:ascii="Arial Narrow" w:hAnsi="Arial Narrow"/>
                <w:sz w:val="19"/>
                <w:szCs w:val="19"/>
              </w:rPr>
              <w:t>Рублей за отчетный период</w:t>
            </w:r>
          </w:p>
        </w:tc>
      </w:tr>
      <w:tr w:rsidR="004D5720" w:rsidRPr="00EF2D4E" w:rsidTr="00281482">
        <w:tc>
          <w:tcPr>
            <w:tcW w:w="425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20" w:rsidRPr="006A7039" w:rsidRDefault="004D5720" w:rsidP="00103148">
            <w:pPr>
              <w:spacing w:after="0"/>
              <w:ind w:left="142" w:right="137"/>
              <w:rPr>
                <w:rFonts w:ascii="Arial Narrow" w:hAnsi="Arial Narrow"/>
                <w:sz w:val="19"/>
                <w:szCs w:val="19"/>
              </w:rPr>
            </w:pPr>
            <w:r w:rsidRPr="006A7039">
              <w:rPr>
                <w:rFonts w:ascii="Arial Narrow" w:hAnsi="Arial Narrow"/>
                <w:sz w:val="19"/>
                <w:szCs w:val="19"/>
              </w:rPr>
              <w:t>Рынок медицинских услуг</w:t>
            </w:r>
          </w:p>
        </w:tc>
        <w:tc>
          <w:tcPr>
            <w:tcW w:w="1843" w:type="dxa"/>
            <w:tcBorders>
              <w:top w:val="single" w:sz="4" w:space="0" w:color="auto"/>
              <w:left w:val="single" w:sz="4" w:space="0" w:color="auto"/>
              <w:bottom w:val="single" w:sz="4" w:space="0" w:color="auto"/>
              <w:right w:val="single" w:sz="4" w:space="0" w:color="auto"/>
            </w:tcBorders>
            <w:vAlign w:val="center"/>
          </w:tcPr>
          <w:p w:rsidR="004D5720" w:rsidRPr="006A7039" w:rsidRDefault="004D5720" w:rsidP="00103148">
            <w:pPr>
              <w:spacing w:after="0"/>
              <w:ind w:left="142" w:right="137"/>
              <w:rPr>
                <w:rFonts w:ascii="Arial Narrow" w:hAnsi="Arial Narrow"/>
                <w:sz w:val="19"/>
                <w:szCs w:val="19"/>
              </w:rPr>
            </w:pPr>
            <w:r w:rsidRPr="006A7039">
              <w:rPr>
                <w:rFonts w:ascii="Arial Narrow" w:hAnsi="Arial Narrow"/>
                <w:sz w:val="19"/>
                <w:szCs w:val="19"/>
              </w:rPr>
              <w:t>Процент</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ind w:left="142" w:right="137"/>
              <w:rPr>
                <w:rFonts w:ascii="Arial Narrow" w:hAnsi="Arial Narrow"/>
                <w:sz w:val="19"/>
                <w:szCs w:val="19"/>
              </w:rPr>
            </w:pPr>
            <w:r w:rsidRPr="006A7039">
              <w:rPr>
                <w:rFonts w:ascii="Arial Narrow" w:hAnsi="Arial Narrow"/>
                <w:sz w:val="19"/>
                <w:szCs w:val="19"/>
              </w:rPr>
              <w:t>Количество обращений</w:t>
            </w:r>
          </w:p>
        </w:tc>
        <w:tc>
          <w:tcPr>
            <w:tcW w:w="1616"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ind w:left="142" w:right="137"/>
              <w:rPr>
                <w:rFonts w:ascii="Arial Narrow" w:hAnsi="Arial Narrow"/>
                <w:sz w:val="19"/>
                <w:szCs w:val="19"/>
              </w:rPr>
            </w:pPr>
            <w:r w:rsidRPr="006A7039">
              <w:rPr>
                <w:rFonts w:ascii="Arial Narrow" w:hAnsi="Arial Narrow"/>
                <w:sz w:val="19"/>
                <w:szCs w:val="19"/>
              </w:rPr>
              <w:t>Рублей за отчетный период</w:t>
            </w:r>
          </w:p>
        </w:tc>
      </w:tr>
      <w:tr w:rsidR="004D5720" w:rsidRPr="00EF2D4E" w:rsidTr="00281482">
        <w:trPr>
          <w:trHeight w:val="467"/>
        </w:trPr>
        <w:tc>
          <w:tcPr>
            <w:tcW w:w="425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20" w:rsidRPr="006A7039" w:rsidRDefault="004D5720" w:rsidP="00103148">
            <w:pPr>
              <w:spacing w:after="0"/>
              <w:ind w:left="142" w:right="137"/>
              <w:rPr>
                <w:rFonts w:ascii="Arial Narrow" w:hAnsi="Arial Narrow"/>
                <w:sz w:val="19"/>
                <w:szCs w:val="19"/>
              </w:rPr>
            </w:pPr>
            <w:r w:rsidRPr="006A7039">
              <w:rPr>
                <w:rFonts w:ascii="Arial Narrow" w:hAnsi="Arial Narrow"/>
                <w:sz w:val="19"/>
                <w:szCs w:val="19"/>
              </w:rPr>
              <w:t>Строительство</w:t>
            </w:r>
          </w:p>
        </w:tc>
        <w:tc>
          <w:tcPr>
            <w:tcW w:w="1843" w:type="dxa"/>
            <w:tcBorders>
              <w:top w:val="single" w:sz="4" w:space="0" w:color="auto"/>
              <w:left w:val="single" w:sz="4" w:space="0" w:color="auto"/>
              <w:bottom w:val="single" w:sz="4" w:space="0" w:color="auto"/>
              <w:right w:val="single" w:sz="4" w:space="0" w:color="auto"/>
            </w:tcBorders>
            <w:vAlign w:val="center"/>
          </w:tcPr>
          <w:p w:rsidR="004D5720" w:rsidRPr="006A7039" w:rsidRDefault="004D5720" w:rsidP="00103148">
            <w:pPr>
              <w:spacing w:after="0"/>
              <w:ind w:left="142" w:right="137"/>
              <w:rPr>
                <w:rFonts w:ascii="Arial Narrow" w:hAnsi="Arial Narrow"/>
                <w:sz w:val="19"/>
                <w:szCs w:val="19"/>
              </w:rPr>
            </w:pPr>
            <w:r w:rsidRPr="006A7039">
              <w:rPr>
                <w:rFonts w:ascii="Arial Narrow" w:hAnsi="Arial Narrow"/>
                <w:sz w:val="19"/>
                <w:szCs w:val="19"/>
              </w:rPr>
              <w:t>Процент</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ind w:left="142" w:right="137"/>
              <w:rPr>
                <w:rFonts w:ascii="Arial Narrow" w:hAnsi="Arial Narrow"/>
                <w:sz w:val="19"/>
                <w:szCs w:val="19"/>
              </w:rPr>
            </w:pPr>
            <w:r w:rsidRPr="006A7039">
              <w:rPr>
                <w:rFonts w:ascii="Arial Narrow" w:hAnsi="Arial Narrow"/>
                <w:sz w:val="19"/>
                <w:szCs w:val="19"/>
              </w:rPr>
              <w:t>Кв. м.</w:t>
            </w:r>
          </w:p>
        </w:tc>
        <w:tc>
          <w:tcPr>
            <w:tcW w:w="1616"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ind w:left="142" w:right="137"/>
              <w:rPr>
                <w:rFonts w:ascii="Arial Narrow" w:hAnsi="Arial Narrow"/>
                <w:sz w:val="19"/>
                <w:szCs w:val="19"/>
              </w:rPr>
            </w:pPr>
            <w:r w:rsidRPr="006A7039">
              <w:rPr>
                <w:rFonts w:ascii="Arial Narrow" w:hAnsi="Arial Narrow"/>
                <w:sz w:val="19"/>
                <w:szCs w:val="19"/>
              </w:rPr>
              <w:t>Рублей за отчетный период</w:t>
            </w:r>
          </w:p>
        </w:tc>
      </w:tr>
      <w:tr w:rsidR="004D5720" w:rsidRPr="00EF2D4E" w:rsidTr="00281482">
        <w:tc>
          <w:tcPr>
            <w:tcW w:w="425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20" w:rsidRPr="006A7039" w:rsidRDefault="004D5720" w:rsidP="00103148">
            <w:pPr>
              <w:spacing w:after="0"/>
              <w:ind w:left="142" w:right="137"/>
              <w:rPr>
                <w:rFonts w:ascii="Arial Narrow" w:hAnsi="Arial Narrow"/>
                <w:sz w:val="19"/>
                <w:szCs w:val="19"/>
              </w:rPr>
            </w:pPr>
            <w:r w:rsidRPr="006A7039">
              <w:rPr>
                <w:rFonts w:ascii="Arial Narrow" w:hAnsi="Arial Narrow"/>
                <w:sz w:val="19"/>
                <w:szCs w:val="19"/>
              </w:rPr>
              <w:t>Управление недвижимым имуществом за вознаграждение или на договорной основе, аренда и управление собственным или арендованным недвижимым имуществом</w:t>
            </w:r>
          </w:p>
        </w:tc>
        <w:tc>
          <w:tcPr>
            <w:tcW w:w="1843" w:type="dxa"/>
            <w:tcBorders>
              <w:top w:val="single" w:sz="4" w:space="0" w:color="auto"/>
              <w:left w:val="single" w:sz="4" w:space="0" w:color="auto"/>
              <w:bottom w:val="single" w:sz="4" w:space="0" w:color="auto"/>
              <w:right w:val="single" w:sz="4" w:space="0" w:color="auto"/>
            </w:tcBorders>
            <w:vAlign w:val="center"/>
          </w:tcPr>
          <w:p w:rsidR="004D5720" w:rsidRPr="006A7039" w:rsidRDefault="004D5720" w:rsidP="00103148">
            <w:pPr>
              <w:spacing w:after="0"/>
              <w:ind w:left="142" w:right="137"/>
              <w:rPr>
                <w:rFonts w:ascii="Arial Narrow" w:hAnsi="Arial Narrow"/>
                <w:sz w:val="19"/>
                <w:szCs w:val="19"/>
              </w:rPr>
            </w:pPr>
            <w:r w:rsidRPr="006A7039">
              <w:rPr>
                <w:rFonts w:ascii="Arial Narrow" w:hAnsi="Arial Narrow"/>
                <w:sz w:val="19"/>
                <w:szCs w:val="19"/>
              </w:rPr>
              <w:t>Процент</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ind w:left="142" w:right="137"/>
              <w:rPr>
                <w:rFonts w:ascii="Arial Narrow" w:hAnsi="Arial Narrow"/>
                <w:sz w:val="19"/>
                <w:szCs w:val="19"/>
              </w:rPr>
            </w:pPr>
            <w:r w:rsidRPr="006A7039">
              <w:rPr>
                <w:rFonts w:ascii="Arial Narrow" w:hAnsi="Arial Narrow"/>
                <w:sz w:val="19"/>
                <w:szCs w:val="19"/>
              </w:rPr>
              <w:t>Количество объектов</w:t>
            </w:r>
          </w:p>
        </w:tc>
        <w:tc>
          <w:tcPr>
            <w:tcW w:w="1616"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ind w:left="142" w:right="137"/>
              <w:rPr>
                <w:rFonts w:ascii="Arial Narrow" w:hAnsi="Arial Narrow"/>
                <w:sz w:val="19"/>
                <w:szCs w:val="19"/>
              </w:rPr>
            </w:pPr>
            <w:r w:rsidRPr="006A7039">
              <w:rPr>
                <w:rFonts w:ascii="Arial Narrow" w:hAnsi="Arial Narrow"/>
                <w:sz w:val="19"/>
                <w:szCs w:val="19"/>
              </w:rPr>
              <w:t>Рублей за отчетный период</w:t>
            </w:r>
          </w:p>
        </w:tc>
      </w:tr>
      <w:tr w:rsidR="004D5720" w:rsidRPr="00EF2D4E" w:rsidTr="00281482">
        <w:tc>
          <w:tcPr>
            <w:tcW w:w="425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20" w:rsidRPr="006A7039" w:rsidRDefault="004D5720" w:rsidP="00103148">
            <w:pPr>
              <w:spacing w:after="0"/>
              <w:ind w:left="142" w:right="137"/>
              <w:rPr>
                <w:rFonts w:ascii="Arial Narrow" w:hAnsi="Arial Narrow"/>
                <w:sz w:val="19"/>
                <w:szCs w:val="19"/>
              </w:rPr>
            </w:pPr>
            <w:r w:rsidRPr="006A7039">
              <w:rPr>
                <w:rFonts w:ascii="Arial Narrow" w:hAnsi="Arial Narrow"/>
                <w:sz w:val="19"/>
                <w:szCs w:val="19"/>
              </w:rPr>
              <w:t>Услуги в сфере культуры</w:t>
            </w:r>
          </w:p>
        </w:tc>
        <w:tc>
          <w:tcPr>
            <w:tcW w:w="1843" w:type="dxa"/>
            <w:tcBorders>
              <w:top w:val="single" w:sz="4" w:space="0" w:color="auto"/>
              <w:left w:val="single" w:sz="4" w:space="0" w:color="auto"/>
              <w:bottom w:val="single" w:sz="4" w:space="0" w:color="auto"/>
              <w:right w:val="single" w:sz="4" w:space="0" w:color="auto"/>
            </w:tcBorders>
            <w:vAlign w:val="center"/>
          </w:tcPr>
          <w:p w:rsidR="004D5720" w:rsidRPr="006A7039" w:rsidRDefault="004D5720" w:rsidP="00103148">
            <w:pPr>
              <w:spacing w:after="0"/>
              <w:ind w:left="142" w:right="137"/>
              <w:rPr>
                <w:rFonts w:ascii="Arial Narrow" w:hAnsi="Arial Narrow"/>
                <w:sz w:val="19"/>
                <w:szCs w:val="19"/>
              </w:rPr>
            </w:pPr>
            <w:r w:rsidRPr="006A7039">
              <w:rPr>
                <w:rFonts w:ascii="Arial Narrow" w:hAnsi="Arial Narrow"/>
                <w:sz w:val="19"/>
                <w:szCs w:val="19"/>
              </w:rPr>
              <w:t>Процент</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ind w:left="142" w:right="137"/>
              <w:rPr>
                <w:rFonts w:ascii="Arial Narrow" w:hAnsi="Arial Narrow"/>
                <w:sz w:val="19"/>
                <w:szCs w:val="19"/>
              </w:rPr>
            </w:pPr>
            <w:r w:rsidRPr="006A7039">
              <w:rPr>
                <w:rFonts w:ascii="Arial Narrow" w:hAnsi="Arial Narrow"/>
                <w:sz w:val="19"/>
                <w:szCs w:val="19"/>
              </w:rPr>
              <w:t>Количество получателей услуг в отчетный период</w:t>
            </w:r>
          </w:p>
        </w:tc>
        <w:tc>
          <w:tcPr>
            <w:tcW w:w="1616"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ind w:left="142" w:right="137"/>
              <w:rPr>
                <w:rFonts w:ascii="Arial Narrow" w:hAnsi="Arial Narrow"/>
                <w:sz w:val="19"/>
                <w:szCs w:val="19"/>
              </w:rPr>
            </w:pPr>
            <w:r w:rsidRPr="006A7039">
              <w:rPr>
                <w:rFonts w:ascii="Arial Narrow" w:hAnsi="Arial Narrow"/>
                <w:sz w:val="19"/>
                <w:szCs w:val="19"/>
              </w:rPr>
              <w:t>Рублей за отчетный период</w:t>
            </w:r>
          </w:p>
        </w:tc>
      </w:tr>
      <w:tr w:rsidR="004D5720" w:rsidRPr="00EF2D4E" w:rsidTr="00281482">
        <w:tc>
          <w:tcPr>
            <w:tcW w:w="425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20" w:rsidRPr="006A7039" w:rsidRDefault="004D5720" w:rsidP="00103148">
            <w:pPr>
              <w:spacing w:after="0"/>
              <w:ind w:left="142" w:right="137"/>
              <w:rPr>
                <w:rFonts w:ascii="Arial Narrow" w:hAnsi="Arial Narrow"/>
                <w:sz w:val="19"/>
                <w:szCs w:val="19"/>
              </w:rPr>
            </w:pPr>
            <w:r w:rsidRPr="006A7039">
              <w:rPr>
                <w:rFonts w:ascii="Arial Narrow" w:hAnsi="Arial Narrow"/>
                <w:sz w:val="19"/>
                <w:szCs w:val="19"/>
              </w:rPr>
              <w:t>Услуги по содействию росту регионального высокотехнологичного бизнеса</w:t>
            </w:r>
          </w:p>
        </w:tc>
        <w:tc>
          <w:tcPr>
            <w:tcW w:w="1843" w:type="dxa"/>
            <w:tcBorders>
              <w:top w:val="single" w:sz="4" w:space="0" w:color="auto"/>
              <w:left w:val="single" w:sz="4" w:space="0" w:color="auto"/>
              <w:bottom w:val="single" w:sz="4" w:space="0" w:color="auto"/>
              <w:right w:val="single" w:sz="4" w:space="0" w:color="auto"/>
            </w:tcBorders>
            <w:vAlign w:val="center"/>
          </w:tcPr>
          <w:p w:rsidR="004D5720" w:rsidRPr="006A7039" w:rsidRDefault="004D5720" w:rsidP="00103148">
            <w:pPr>
              <w:spacing w:after="0"/>
              <w:ind w:left="142" w:right="137"/>
              <w:rPr>
                <w:rFonts w:ascii="Arial Narrow" w:hAnsi="Arial Narrow"/>
                <w:sz w:val="19"/>
                <w:szCs w:val="19"/>
              </w:rPr>
            </w:pPr>
            <w:r w:rsidRPr="006A7039">
              <w:rPr>
                <w:rFonts w:ascii="Arial Narrow" w:hAnsi="Arial Narrow"/>
                <w:sz w:val="19"/>
                <w:szCs w:val="19"/>
              </w:rPr>
              <w:t>Процент</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ind w:left="142" w:right="137"/>
              <w:rPr>
                <w:rFonts w:ascii="Arial Narrow" w:hAnsi="Arial Narrow"/>
                <w:sz w:val="19"/>
                <w:szCs w:val="19"/>
              </w:rPr>
            </w:pPr>
            <w:r w:rsidRPr="006A7039">
              <w:rPr>
                <w:rFonts w:ascii="Arial Narrow" w:hAnsi="Arial Narrow"/>
                <w:sz w:val="19"/>
                <w:szCs w:val="19"/>
              </w:rPr>
              <w:t>Кол-во выполненных работ</w:t>
            </w:r>
          </w:p>
        </w:tc>
        <w:tc>
          <w:tcPr>
            <w:tcW w:w="1616"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ind w:left="142" w:right="137"/>
              <w:rPr>
                <w:rFonts w:ascii="Arial Narrow" w:hAnsi="Arial Narrow"/>
                <w:sz w:val="19"/>
                <w:szCs w:val="19"/>
              </w:rPr>
            </w:pPr>
            <w:r w:rsidRPr="006A7039">
              <w:rPr>
                <w:rFonts w:ascii="Arial Narrow" w:hAnsi="Arial Narrow"/>
                <w:sz w:val="19"/>
                <w:szCs w:val="19"/>
              </w:rPr>
              <w:t>Рублей за отчетный период</w:t>
            </w:r>
          </w:p>
        </w:tc>
      </w:tr>
      <w:tr w:rsidR="004D5720" w:rsidRPr="00EF2D4E" w:rsidTr="00281482">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ind w:left="142" w:right="137"/>
              <w:rPr>
                <w:rFonts w:ascii="Arial Narrow" w:hAnsi="Arial Narrow"/>
                <w:sz w:val="19"/>
                <w:szCs w:val="19"/>
              </w:rPr>
            </w:pPr>
            <w:r w:rsidRPr="006A7039">
              <w:rPr>
                <w:rFonts w:ascii="Arial Narrow" w:hAnsi="Arial Narrow"/>
                <w:sz w:val="19"/>
                <w:szCs w:val="19"/>
              </w:rPr>
              <w:t>Финансовое посредничество</w:t>
            </w:r>
          </w:p>
        </w:tc>
        <w:tc>
          <w:tcPr>
            <w:tcW w:w="1843" w:type="dxa"/>
            <w:tcBorders>
              <w:top w:val="single" w:sz="4" w:space="0" w:color="auto"/>
              <w:left w:val="single" w:sz="4" w:space="0" w:color="auto"/>
              <w:bottom w:val="single" w:sz="4" w:space="0" w:color="auto"/>
              <w:right w:val="single" w:sz="4" w:space="0" w:color="auto"/>
            </w:tcBorders>
            <w:vAlign w:val="center"/>
          </w:tcPr>
          <w:p w:rsidR="004D5720" w:rsidRPr="006A7039" w:rsidRDefault="004D5720" w:rsidP="00103148">
            <w:pPr>
              <w:spacing w:after="0"/>
              <w:ind w:left="142" w:right="137"/>
              <w:rPr>
                <w:rFonts w:ascii="Arial Narrow" w:hAnsi="Arial Narrow"/>
                <w:sz w:val="19"/>
                <w:szCs w:val="19"/>
              </w:rPr>
            </w:pPr>
            <w:r w:rsidRPr="006A7039">
              <w:rPr>
                <w:rFonts w:ascii="Arial Narrow" w:hAnsi="Arial Narrow"/>
                <w:sz w:val="19"/>
                <w:szCs w:val="19"/>
              </w:rPr>
              <w:t>Процент</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ind w:left="142" w:right="137"/>
              <w:rPr>
                <w:rFonts w:ascii="Arial Narrow" w:hAnsi="Arial Narrow"/>
                <w:sz w:val="19"/>
                <w:szCs w:val="19"/>
              </w:rPr>
            </w:pPr>
            <w:r w:rsidRPr="006A7039">
              <w:rPr>
                <w:rFonts w:ascii="Arial Narrow" w:hAnsi="Arial Narrow"/>
                <w:sz w:val="19"/>
                <w:szCs w:val="19"/>
              </w:rPr>
              <w:t>Количество получателей услуг</w:t>
            </w:r>
          </w:p>
        </w:tc>
        <w:tc>
          <w:tcPr>
            <w:tcW w:w="1616"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ind w:left="142" w:right="137"/>
              <w:rPr>
                <w:rFonts w:ascii="Arial Narrow" w:hAnsi="Arial Narrow"/>
                <w:sz w:val="19"/>
                <w:szCs w:val="19"/>
              </w:rPr>
            </w:pPr>
            <w:r w:rsidRPr="006A7039">
              <w:rPr>
                <w:rFonts w:ascii="Arial Narrow" w:hAnsi="Arial Narrow"/>
                <w:sz w:val="19"/>
                <w:szCs w:val="19"/>
              </w:rPr>
              <w:t>Рублей за отчетный период</w:t>
            </w:r>
          </w:p>
        </w:tc>
      </w:tr>
      <w:tr w:rsidR="004D5720" w:rsidRPr="006A7039" w:rsidTr="00281482">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ind w:left="142" w:right="137"/>
              <w:rPr>
                <w:rFonts w:ascii="Arial Narrow" w:hAnsi="Arial Narrow"/>
                <w:sz w:val="19"/>
                <w:szCs w:val="19"/>
              </w:rPr>
            </w:pPr>
            <w:r w:rsidRPr="006A7039">
              <w:rPr>
                <w:rFonts w:ascii="Arial Narrow" w:hAnsi="Arial Narrow"/>
                <w:sz w:val="19"/>
                <w:szCs w:val="19"/>
              </w:rPr>
              <w:t>Эксплуатация гаражей, стоянок для автотранспортных средств, велосипедов и т. д.</w:t>
            </w:r>
          </w:p>
        </w:tc>
        <w:tc>
          <w:tcPr>
            <w:tcW w:w="1843" w:type="dxa"/>
            <w:tcBorders>
              <w:top w:val="single" w:sz="4" w:space="0" w:color="auto"/>
              <w:left w:val="single" w:sz="4" w:space="0" w:color="auto"/>
              <w:bottom w:val="single" w:sz="4" w:space="0" w:color="auto"/>
              <w:right w:val="single" w:sz="4" w:space="0" w:color="auto"/>
            </w:tcBorders>
            <w:vAlign w:val="center"/>
          </w:tcPr>
          <w:p w:rsidR="004D5720" w:rsidRPr="006A7039" w:rsidRDefault="004D5720" w:rsidP="00103148">
            <w:pPr>
              <w:spacing w:after="0"/>
              <w:ind w:left="142" w:right="137"/>
              <w:rPr>
                <w:rFonts w:ascii="Arial Narrow" w:hAnsi="Arial Narrow"/>
                <w:sz w:val="19"/>
                <w:szCs w:val="19"/>
              </w:rPr>
            </w:pPr>
            <w:r w:rsidRPr="006A7039">
              <w:rPr>
                <w:rFonts w:ascii="Arial Narrow" w:hAnsi="Arial Narrow"/>
                <w:sz w:val="19"/>
                <w:szCs w:val="19"/>
              </w:rPr>
              <w:t>Процент</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ind w:left="142" w:right="137"/>
              <w:rPr>
                <w:rFonts w:ascii="Arial Narrow" w:hAnsi="Arial Narrow"/>
                <w:sz w:val="19"/>
                <w:szCs w:val="19"/>
              </w:rPr>
            </w:pPr>
            <w:r w:rsidRPr="006A7039">
              <w:rPr>
                <w:rFonts w:ascii="Arial Narrow" w:hAnsi="Arial Narrow"/>
                <w:sz w:val="19"/>
                <w:szCs w:val="19"/>
              </w:rPr>
              <w:t>Кв. м.</w:t>
            </w:r>
          </w:p>
        </w:tc>
        <w:tc>
          <w:tcPr>
            <w:tcW w:w="1616" w:type="dxa"/>
            <w:tcBorders>
              <w:top w:val="single" w:sz="4" w:space="0" w:color="auto"/>
              <w:left w:val="single" w:sz="4" w:space="0" w:color="auto"/>
              <w:bottom w:val="single" w:sz="4" w:space="0" w:color="auto"/>
              <w:right w:val="single" w:sz="4" w:space="0" w:color="auto"/>
            </w:tcBorders>
            <w:shd w:val="clear" w:color="auto" w:fill="auto"/>
            <w:vAlign w:val="center"/>
          </w:tcPr>
          <w:p w:rsidR="004D5720" w:rsidRPr="006A7039" w:rsidRDefault="004D5720" w:rsidP="00103148">
            <w:pPr>
              <w:spacing w:after="0"/>
              <w:ind w:left="142" w:right="137"/>
              <w:rPr>
                <w:rFonts w:ascii="Arial Narrow" w:hAnsi="Arial Narrow"/>
                <w:sz w:val="19"/>
                <w:szCs w:val="19"/>
              </w:rPr>
            </w:pPr>
            <w:r w:rsidRPr="006A7039">
              <w:rPr>
                <w:rFonts w:ascii="Arial Narrow" w:hAnsi="Arial Narrow"/>
                <w:sz w:val="19"/>
                <w:szCs w:val="19"/>
              </w:rPr>
              <w:t>Рублей за отчетный период</w:t>
            </w:r>
          </w:p>
        </w:tc>
      </w:tr>
    </w:tbl>
    <w:p w:rsidR="004D5720" w:rsidRPr="004D5720" w:rsidRDefault="004D5720" w:rsidP="00103148">
      <w:pPr>
        <w:shd w:val="clear" w:color="auto" w:fill="FFFFFF"/>
        <w:spacing w:after="0" w:line="360" w:lineRule="auto"/>
        <w:ind w:firstLine="284"/>
        <w:jc w:val="both"/>
        <w:rPr>
          <w:rFonts w:ascii="Arial Narrow" w:eastAsia="SimSun" w:hAnsi="Arial Narrow"/>
          <w:sz w:val="16"/>
          <w:szCs w:val="16"/>
        </w:rPr>
      </w:pPr>
    </w:p>
    <w:p w:rsidR="004D5720" w:rsidRDefault="004D5720" w:rsidP="00103148">
      <w:pPr>
        <w:shd w:val="clear" w:color="auto" w:fill="FFFFFF"/>
        <w:spacing w:after="0" w:line="360" w:lineRule="auto"/>
        <w:ind w:firstLine="284"/>
        <w:jc w:val="both"/>
        <w:rPr>
          <w:rFonts w:ascii="Arial Narrow" w:eastAsia="SimSun" w:hAnsi="Arial Narrow"/>
          <w:sz w:val="24"/>
          <w:szCs w:val="24"/>
        </w:rPr>
      </w:pPr>
      <w:r w:rsidRPr="00EF2D4E">
        <w:rPr>
          <w:rFonts w:ascii="Arial Narrow" w:eastAsia="SimSun" w:hAnsi="Arial Narrow"/>
          <w:sz w:val="24"/>
          <w:szCs w:val="24"/>
        </w:rPr>
        <w:t>2. Определить органы власти, ответственные за предоставление полного объема информации по каждому рынку.</w:t>
      </w:r>
    </w:p>
    <w:p w:rsidR="004D5720" w:rsidRPr="00EF2D4E" w:rsidRDefault="004D5720" w:rsidP="00103148">
      <w:pPr>
        <w:shd w:val="clear" w:color="auto" w:fill="FFFFFF"/>
        <w:spacing w:after="0" w:line="360" w:lineRule="auto"/>
        <w:ind w:firstLine="284"/>
        <w:jc w:val="both"/>
        <w:rPr>
          <w:rFonts w:ascii="Arial Narrow" w:eastAsia="SimSun" w:hAnsi="Arial Narrow"/>
          <w:sz w:val="24"/>
          <w:szCs w:val="24"/>
        </w:rPr>
      </w:pPr>
      <w:r>
        <w:rPr>
          <w:rFonts w:ascii="Arial Narrow" w:eastAsia="SimSun" w:hAnsi="Arial Narrow"/>
          <w:sz w:val="24"/>
          <w:szCs w:val="24"/>
        </w:rPr>
        <w:t>3. Объединить либо разделить рынки согласно предложенной в таблице структуре.</w:t>
      </w:r>
    </w:p>
    <w:p w:rsidR="004D5720" w:rsidRDefault="004D5720" w:rsidP="00103148">
      <w:pPr>
        <w:shd w:val="clear" w:color="auto" w:fill="FFFFFF"/>
        <w:spacing w:after="0" w:line="360" w:lineRule="auto"/>
        <w:ind w:firstLine="284"/>
        <w:jc w:val="both"/>
        <w:rPr>
          <w:rFonts w:ascii="Arial Narrow" w:eastAsia="SimSun" w:hAnsi="Arial Narrow"/>
          <w:sz w:val="24"/>
          <w:szCs w:val="24"/>
        </w:rPr>
      </w:pPr>
      <w:r>
        <w:rPr>
          <w:rFonts w:ascii="Arial Narrow" w:eastAsia="SimSun" w:hAnsi="Arial Narrow"/>
          <w:sz w:val="24"/>
          <w:szCs w:val="24"/>
        </w:rPr>
        <w:t>4</w:t>
      </w:r>
      <w:r w:rsidRPr="00EF2D4E">
        <w:rPr>
          <w:rFonts w:ascii="Arial Narrow" w:eastAsia="SimSun" w:hAnsi="Arial Narrow"/>
          <w:sz w:val="24"/>
          <w:szCs w:val="24"/>
        </w:rPr>
        <w:t>. Предоставлять данные в формате электронных таблиц.</w:t>
      </w:r>
    </w:p>
    <w:p w:rsidR="004D5720" w:rsidRDefault="004D5720" w:rsidP="00103148">
      <w:pPr>
        <w:shd w:val="clear" w:color="auto" w:fill="FFFFFF"/>
        <w:spacing w:after="0" w:line="360" w:lineRule="auto"/>
        <w:ind w:firstLine="284"/>
        <w:jc w:val="both"/>
        <w:rPr>
          <w:rFonts w:ascii="Arial Narrow" w:eastAsia="SimSun" w:hAnsi="Arial Narrow"/>
          <w:sz w:val="24"/>
          <w:szCs w:val="24"/>
        </w:rPr>
      </w:pPr>
      <w:r>
        <w:rPr>
          <w:rFonts w:ascii="Arial Narrow" w:eastAsia="SimSun" w:hAnsi="Arial Narrow"/>
          <w:sz w:val="24"/>
          <w:szCs w:val="24"/>
        </w:rPr>
        <w:t>5. Предоставление фактических, а не плановых (или расчетных, максимально возможных) показателей.</w:t>
      </w:r>
    </w:p>
    <w:p w:rsidR="00281482" w:rsidRPr="00EF2D4E" w:rsidRDefault="00281482" w:rsidP="00103148">
      <w:pPr>
        <w:shd w:val="clear" w:color="auto" w:fill="FFFFFF"/>
        <w:spacing w:after="0" w:line="360" w:lineRule="auto"/>
        <w:ind w:firstLine="284"/>
        <w:jc w:val="both"/>
        <w:rPr>
          <w:rFonts w:ascii="Arial Narrow" w:eastAsia="SimSun" w:hAnsi="Arial Narrow"/>
          <w:sz w:val="24"/>
          <w:szCs w:val="24"/>
        </w:rPr>
      </w:pPr>
      <w:r>
        <w:rPr>
          <w:rFonts w:ascii="Arial Narrow" w:eastAsia="SimSun" w:hAnsi="Arial Narrow"/>
          <w:sz w:val="24"/>
          <w:szCs w:val="24"/>
        </w:rPr>
        <w:t xml:space="preserve">6. Для оценки участия </w:t>
      </w:r>
      <w:r w:rsidR="008F6A89">
        <w:rPr>
          <w:rFonts w:ascii="Arial Narrow" w:eastAsia="SimSun" w:hAnsi="Arial Narrow"/>
          <w:sz w:val="24"/>
          <w:szCs w:val="24"/>
        </w:rPr>
        <w:t>государственных</w:t>
      </w:r>
      <w:r>
        <w:rPr>
          <w:rFonts w:ascii="Arial Narrow" w:eastAsia="SimSun" w:hAnsi="Arial Narrow"/>
          <w:sz w:val="24"/>
          <w:szCs w:val="24"/>
        </w:rPr>
        <w:t xml:space="preserve"> и муниципальных предприятий в общем объеме рынка в натуральном и денежном выражении необходимо </w:t>
      </w:r>
      <w:r w:rsidR="008F6A89">
        <w:rPr>
          <w:rFonts w:ascii="Arial Narrow" w:eastAsia="SimSun" w:hAnsi="Arial Narrow"/>
          <w:sz w:val="24"/>
          <w:szCs w:val="24"/>
        </w:rPr>
        <w:t>создать методику сбора исходной информации с негосударственных организаций.</w:t>
      </w:r>
    </w:p>
    <w:p w:rsidR="00130274" w:rsidRDefault="00130274">
      <w:pPr>
        <w:rPr>
          <w:rFonts w:ascii="Arial Narrow" w:hAnsi="Arial Narrow"/>
          <w:b/>
          <w:sz w:val="32"/>
          <w:szCs w:val="32"/>
        </w:rPr>
      </w:pPr>
      <w:r>
        <w:rPr>
          <w:rFonts w:ascii="Arial Narrow" w:hAnsi="Arial Narrow"/>
          <w:b/>
          <w:sz w:val="32"/>
          <w:szCs w:val="32"/>
        </w:rPr>
        <w:br w:type="page"/>
      </w:r>
    </w:p>
    <w:p w:rsidR="00995CFB" w:rsidRDefault="00C929E4" w:rsidP="00995CFB">
      <w:pPr>
        <w:spacing w:after="0"/>
        <w:ind w:left="-142"/>
        <w:jc w:val="both"/>
        <w:rPr>
          <w:rFonts w:ascii="Arial Narrow" w:hAnsi="Arial Narrow"/>
          <w:b/>
          <w:sz w:val="32"/>
          <w:szCs w:val="32"/>
        </w:rPr>
      </w:pPr>
      <w:r w:rsidRPr="00C929E4">
        <w:rPr>
          <w:rFonts w:ascii="Arial Narrow" w:hAnsi="Arial Narrow"/>
          <w:b/>
          <w:sz w:val="32"/>
          <w:szCs w:val="32"/>
        </w:rPr>
        <w:lastRenderedPageBreak/>
        <w:t xml:space="preserve">РАЗДЕЛ 7. Итоговый доклад </w:t>
      </w:r>
      <w:r w:rsidR="004D5720" w:rsidRPr="00C929E4">
        <w:rPr>
          <w:rFonts w:ascii="Arial Narrow" w:hAnsi="Arial Narrow"/>
          <w:b/>
          <w:sz w:val="32"/>
          <w:szCs w:val="32"/>
        </w:rPr>
        <w:t xml:space="preserve">по результатам выполнения </w:t>
      </w:r>
      <w:r w:rsidRPr="00C929E4">
        <w:rPr>
          <w:rFonts w:ascii="Arial Narrow" w:hAnsi="Arial Narrow"/>
          <w:b/>
          <w:sz w:val="32"/>
          <w:szCs w:val="32"/>
        </w:rPr>
        <w:t>н</w:t>
      </w:r>
      <w:r w:rsidR="004D5720" w:rsidRPr="00C929E4">
        <w:rPr>
          <w:rFonts w:ascii="Arial Narrow" w:hAnsi="Arial Narrow"/>
          <w:b/>
          <w:sz w:val="32"/>
          <w:szCs w:val="32"/>
        </w:rPr>
        <w:t>аучно-исследовательской работы по теме: «Мониторинг состояния и развития конкурентной среды на рынках товаров, работ и услуг Новосибирской области за 2016 год»</w:t>
      </w:r>
      <w:bookmarkEnd w:id="6"/>
      <w:bookmarkEnd w:id="7"/>
    </w:p>
    <w:p w:rsidR="00103148" w:rsidRDefault="00A64028" w:rsidP="00A64028">
      <w:pPr>
        <w:ind w:left="-142"/>
        <w:rPr>
          <w:rFonts w:ascii="Arial Narrow" w:hAnsi="Arial Narrow" w:cs="Arial"/>
          <w:b/>
        </w:rPr>
      </w:pPr>
      <w:r w:rsidRPr="0030560B">
        <w:rPr>
          <w:rFonts w:ascii="Arial Narrow" w:hAnsi="Arial Narrow" w:cs="Arial"/>
          <w:b/>
        </w:rPr>
        <w:t xml:space="preserve"> </w:t>
      </w:r>
    </w:p>
    <w:p w:rsidR="00A64028" w:rsidRPr="00BF6DC4" w:rsidRDefault="00A64028" w:rsidP="00103148">
      <w:pPr>
        <w:spacing w:after="0"/>
        <w:ind w:left="-142"/>
        <w:rPr>
          <w:rFonts w:ascii="Arial Narrow" w:hAnsi="Arial Narrow"/>
          <w:bCs/>
          <w:sz w:val="32"/>
          <w:szCs w:val="32"/>
        </w:rPr>
      </w:pPr>
      <w:r w:rsidRPr="00BF6DC4">
        <w:rPr>
          <w:rFonts w:ascii="Arial Narrow" w:hAnsi="Arial Narrow" w:cs="Arial"/>
          <w:b/>
          <w:sz w:val="32"/>
          <w:szCs w:val="32"/>
        </w:rPr>
        <w:t xml:space="preserve">  </w:t>
      </w:r>
      <w:bookmarkStart w:id="75" w:name="_Toc469663903"/>
      <w:bookmarkStart w:id="76" w:name="_Toc473725865"/>
      <w:r w:rsidRPr="00BF6DC4">
        <w:rPr>
          <w:rFonts w:ascii="Arial Narrow" w:hAnsi="Arial Narrow"/>
          <w:sz w:val="32"/>
          <w:szCs w:val="32"/>
        </w:rPr>
        <w:t>Введение</w:t>
      </w:r>
      <w:bookmarkEnd w:id="75"/>
      <w:bookmarkEnd w:id="76"/>
    </w:p>
    <w:p w:rsidR="00A64028" w:rsidRPr="0030560B" w:rsidRDefault="00A64028" w:rsidP="00103148">
      <w:pPr>
        <w:pStyle w:val="a5"/>
      </w:pPr>
    </w:p>
    <w:p w:rsidR="00A64028" w:rsidRPr="0030560B" w:rsidRDefault="00A64028" w:rsidP="00BF6DC4">
      <w:pPr>
        <w:spacing w:after="0" w:line="360" w:lineRule="auto"/>
        <w:ind w:firstLine="284"/>
        <w:jc w:val="both"/>
        <w:rPr>
          <w:rFonts w:ascii="Arial Narrow" w:hAnsi="Arial Narrow"/>
          <w:bCs/>
          <w:sz w:val="24"/>
          <w:szCs w:val="24"/>
        </w:rPr>
      </w:pPr>
      <w:r w:rsidRPr="0030560B">
        <w:rPr>
          <w:rFonts w:ascii="Arial Narrow" w:hAnsi="Arial Narrow"/>
          <w:bCs/>
          <w:sz w:val="24"/>
          <w:szCs w:val="24"/>
        </w:rPr>
        <w:t>Мониторинг состояния и развития конкурентной среды на рынках товаров, работ и услуг Новосибирской области за 2016 г. представляет собой систему наблюдения за фактическим состоянием конкуренции для своевременного выявления и системного анализа происходящих в ней изменений, предупреждения негативных тенденций, для выработки предложений органам исполнительной власти региона, мероприятий, направленных на содействие развитию конкуренции. Мониторинг выполняет требование 5 Стандарта развития конкуренции в субъектах Российской Федерации.</w:t>
      </w:r>
    </w:p>
    <w:p w:rsidR="00A64028" w:rsidRPr="0030560B" w:rsidRDefault="00A64028" w:rsidP="00BF6DC4">
      <w:pPr>
        <w:spacing w:after="0" w:line="360" w:lineRule="auto"/>
        <w:ind w:firstLine="284"/>
        <w:jc w:val="both"/>
        <w:rPr>
          <w:rFonts w:ascii="Arial Narrow" w:hAnsi="Arial Narrow"/>
          <w:b/>
          <w:bCs/>
          <w:sz w:val="24"/>
          <w:szCs w:val="24"/>
        </w:rPr>
      </w:pPr>
      <w:r w:rsidRPr="0030560B">
        <w:rPr>
          <w:rFonts w:ascii="Arial Narrow" w:hAnsi="Arial Narrow"/>
          <w:b/>
          <w:bCs/>
          <w:sz w:val="24"/>
          <w:szCs w:val="24"/>
        </w:rPr>
        <w:t>Нормативно-правовой базой для проведения Мониторинга, его методическими основами являются следующие документы:</w:t>
      </w:r>
    </w:p>
    <w:p w:rsidR="00A64028" w:rsidRPr="0030560B" w:rsidRDefault="00A64028" w:rsidP="00BF6DC4">
      <w:pPr>
        <w:pStyle w:val="ConsPlusNormal"/>
        <w:spacing w:line="360" w:lineRule="auto"/>
        <w:ind w:firstLine="284"/>
        <w:jc w:val="both"/>
        <w:rPr>
          <w:rFonts w:ascii="Arial Narrow" w:hAnsi="Arial Narrow"/>
          <w:bCs/>
          <w:sz w:val="24"/>
          <w:szCs w:val="24"/>
        </w:rPr>
      </w:pPr>
      <w:r w:rsidRPr="0030560B">
        <w:rPr>
          <w:rFonts w:ascii="Arial Narrow" w:hAnsi="Arial Narrow"/>
          <w:bCs/>
          <w:sz w:val="24"/>
          <w:szCs w:val="24"/>
        </w:rPr>
        <w:t xml:space="preserve">1. Стандарт развития конкуренции в субъектах Российской Федерации, утвержденный </w:t>
      </w:r>
      <w:r w:rsidRPr="0030560B">
        <w:rPr>
          <w:rFonts w:ascii="Arial Narrow" w:hAnsi="Arial Narrow"/>
          <w:sz w:val="24"/>
          <w:szCs w:val="24"/>
        </w:rPr>
        <w:t>Утвержден распоряжением Правительства Российской Федерации</w:t>
      </w:r>
      <w:r w:rsidRPr="0030560B">
        <w:rPr>
          <w:rFonts w:ascii="Arial Narrow" w:hAnsi="Arial Narrow"/>
          <w:bCs/>
          <w:sz w:val="24"/>
          <w:szCs w:val="24"/>
        </w:rPr>
        <w:t xml:space="preserve"> </w:t>
      </w:r>
      <w:r w:rsidRPr="0030560B">
        <w:rPr>
          <w:rFonts w:ascii="Arial Narrow" w:hAnsi="Arial Narrow"/>
          <w:sz w:val="24"/>
          <w:szCs w:val="24"/>
        </w:rPr>
        <w:t>Распоряжение Правительства РФ от 05.09.2015 №1738-р (в редакции от 17.09.2016).</w:t>
      </w:r>
    </w:p>
    <w:p w:rsidR="00A64028" w:rsidRPr="0030560B" w:rsidRDefault="00A64028" w:rsidP="00BF6DC4">
      <w:pPr>
        <w:spacing w:after="0" w:line="360" w:lineRule="auto"/>
        <w:ind w:firstLine="284"/>
        <w:jc w:val="both"/>
        <w:rPr>
          <w:rFonts w:ascii="Arial Narrow" w:hAnsi="Arial Narrow"/>
          <w:bCs/>
          <w:sz w:val="24"/>
          <w:szCs w:val="24"/>
        </w:rPr>
      </w:pPr>
      <w:r w:rsidRPr="0030560B">
        <w:rPr>
          <w:rFonts w:ascii="Arial Narrow" w:hAnsi="Arial Narrow"/>
          <w:bCs/>
          <w:sz w:val="24"/>
          <w:szCs w:val="24"/>
        </w:rPr>
        <w:t>2. Федеральный закон от 26.07.2006 № 135-ФЗ «О защите конкуренции» (далее Федеральный закон 135-ФЗ).</w:t>
      </w:r>
    </w:p>
    <w:p w:rsidR="00A64028" w:rsidRPr="0030560B" w:rsidRDefault="00A64028" w:rsidP="00BF6DC4">
      <w:pPr>
        <w:spacing w:after="0" w:line="360" w:lineRule="auto"/>
        <w:ind w:firstLine="284"/>
        <w:jc w:val="both"/>
        <w:rPr>
          <w:rFonts w:ascii="Arial Narrow" w:hAnsi="Arial Narrow"/>
          <w:bCs/>
          <w:sz w:val="24"/>
          <w:szCs w:val="24"/>
        </w:rPr>
      </w:pPr>
      <w:r w:rsidRPr="0030560B">
        <w:rPr>
          <w:rFonts w:ascii="Arial Narrow" w:hAnsi="Arial Narrow"/>
          <w:bCs/>
          <w:sz w:val="24"/>
          <w:szCs w:val="24"/>
        </w:rPr>
        <w:t>3. Рекомендации ФАС России органам исполнительной власти субъектов Российской Федерации по внедрению Требования «Проведение мониторинга состояния и развития конкурентной среды на рынках товаров и услуг региона» Стандарта.</w:t>
      </w:r>
    </w:p>
    <w:p w:rsidR="00A64028" w:rsidRPr="0030560B" w:rsidRDefault="00A64028" w:rsidP="00BF6DC4">
      <w:pPr>
        <w:spacing w:after="0" w:line="360" w:lineRule="auto"/>
        <w:ind w:firstLine="284"/>
        <w:jc w:val="both"/>
        <w:rPr>
          <w:rFonts w:ascii="Arial Narrow" w:hAnsi="Arial Narrow"/>
          <w:bCs/>
          <w:sz w:val="24"/>
          <w:szCs w:val="24"/>
        </w:rPr>
      </w:pPr>
      <w:r w:rsidRPr="0030560B">
        <w:rPr>
          <w:rFonts w:ascii="Arial Narrow" w:hAnsi="Arial Narrow"/>
          <w:bCs/>
          <w:sz w:val="24"/>
          <w:szCs w:val="24"/>
        </w:rPr>
        <w:t>4. Порядок проведения анализа состояния конкуренции на товарном рынке (утв. приказом Федеральной антимонопольной службы от 28.04.2010 № 220).</w:t>
      </w:r>
    </w:p>
    <w:p w:rsidR="00A64028" w:rsidRPr="0030560B" w:rsidRDefault="00A64028" w:rsidP="00BF6DC4">
      <w:pPr>
        <w:spacing w:after="0" w:line="360" w:lineRule="auto"/>
        <w:ind w:firstLine="284"/>
        <w:jc w:val="both"/>
        <w:rPr>
          <w:rFonts w:ascii="Arial Narrow" w:hAnsi="Arial Narrow"/>
          <w:bCs/>
          <w:sz w:val="24"/>
          <w:szCs w:val="24"/>
        </w:rPr>
      </w:pPr>
      <w:r w:rsidRPr="0030560B">
        <w:rPr>
          <w:rFonts w:ascii="Arial Narrow" w:hAnsi="Arial Narrow"/>
          <w:bCs/>
          <w:sz w:val="24"/>
          <w:szCs w:val="24"/>
        </w:rPr>
        <w:t>5. Федеральный закон от 17.08.1995 № 147-ФЗ «О естественных монополиях» (далее – Федеральный закон 147-ФЗ).</w:t>
      </w:r>
    </w:p>
    <w:p w:rsidR="00A64028" w:rsidRPr="0030560B" w:rsidRDefault="00A64028" w:rsidP="00BF6DC4">
      <w:pPr>
        <w:spacing w:after="0" w:line="360" w:lineRule="auto"/>
        <w:ind w:firstLine="284"/>
        <w:jc w:val="both"/>
        <w:rPr>
          <w:rFonts w:ascii="Arial Narrow" w:hAnsi="Arial Narrow"/>
          <w:bCs/>
          <w:sz w:val="24"/>
          <w:szCs w:val="24"/>
        </w:rPr>
      </w:pPr>
      <w:r w:rsidRPr="0030560B">
        <w:rPr>
          <w:rFonts w:ascii="Arial Narrow" w:hAnsi="Arial Narrow"/>
          <w:bCs/>
          <w:sz w:val="24"/>
          <w:szCs w:val="24"/>
        </w:rPr>
        <w:t>6. Федеральный закон от 29.11.2007 № 282-ФЗ «Об официальном статистическом учете и системе государственной статистики в Российской Федерации».</w:t>
      </w:r>
    </w:p>
    <w:p w:rsidR="00A64028" w:rsidRPr="0030560B" w:rsidRDefault="00A64028" w:rsidP="00BF6DC4">
      <w:pPr>
        <w:spacing w:after="0" w:line="360" w:lineRule="auto"/>
        <w:ind w:firstLine="284"/>
        <w:jc w:val="both"/>
        <w:rPr>
          <w:rFonts w:ascii="Arial Narrow" w:hAnsi="Arial Narrow"/>
          <w:bCs/>
          <w:sz w:val="24"/>
          <w:szCs w:val="24"/>
        </w:rPr>
      </w:pPr>
      <w:r w:rsidRPr="0030560B">
        <w:rPr>
          <w:rFonts w:ascii="Arial Narrow" w:hAnsi="Arial Narrow"/>
          <w:bCs/>
          <w:sz w:val="24"/>
          <w:szCs w:val="24"/>
        </w:rPr>
        <w:t>7. Положение о Федеральной службе государственной статистики, утвержденное постановлением Правительства Российской Федерации от 02.06.2008 № 420 «О Федеральной службе государственной статистики».</w:t>
      </w:r>
    </w:p>
    <w:p w:rsidR="00A64028" w:rsidRPr="0030560B" w:rsidRDefault="00A64028" w:rsidP="00BF6DC4">
      <w:pPr>
        <w:spacing w:after="0" w:line="360" w:lineRule="auto"/>
        <w:ind w:firstLine="284"/>
        <w:jc w:val="both"/>
        <w:rPr>
          <w:rFonts w:ascii="Arial Narrow" w:hAnsi="Arial Narrow"/>
          <w:bCs/>
          <w:sz w:val="24"/>
          <w:szCs w:val="24"/>
        </w:rPr>
      </w:pPr>
      <w:r w:rsidRPr="0030560B">
        <w:rPr>
          <w:rFonts w:ascii="Arial Narrow" w:hAnsi="Arial Narrow"/>
          <w:bCs/>
          <w:sz w:val="24"/>
          <w:szCs w:val="24"/>
        </w:rPr>
        <w:lastRenderedPageBreak/>
        <w:t>8. Постановление Губернатора Новосибирской области от 27.01.2016 № 23 «Об утверждении перечный социально значимых и приоритетных рынков для содействия развитию конкуренции в Новосибирской области».</w:t>
      </w:r>
    </w:p>
    <w:p w:rsidR="00103148" w:rsidRDefault="00103148" w:rsidP="00BF6DC4">
      <w:pPr>
        <w:spacing w:after="0" w:line="360" w:lineRule="auto"/>
        <w:ind w:firstLine="284"/>
        <w:jc w:val="both"/>
        <w:rPr>
          <w:rFonts w:ascii="Arial Narrow" w:hAnsi="Arial Narrow"/>
          <w:bCs/>
          <w:sz w:val="24"/>
          <w:szCs w:val="24"/>
        </w:rPr>
      </w:pPr>
    </w:p>
    <w:p w:rsidR="00A64028" w:rsidRPr="0030560B" w:rsidRDefault="00A64028" w:rsidP="00BF6DC4">
      <w:pPr>
        <w:spacing w:after="0" w:line="360" w:lineRule="auto"/>
        <w:ind w:firstLine="284"/>
        <w:jc w:val="both"/>
        <w:rPr>
          <w:rFonts w:ascii="Arial Narrow" w:hAnsi="Arial Narrow"/>
          <w:bCs/>
          <w:sz w:val="24"/>
          <w:szCs w:val="24"/>
        </w:rPr>
      </w:pPr>
      <w:r w:rsidRPr="0030560B">
        <w:rPr>
          <w:rFonts w:ascii="Arial Narrow" w:hAnsi="Arial Narrow"/>
          <w:bCs/>
          <w:sz w:val="24"/>
          <w:szCs w:val="24"/>
        </w:rPr>
        <w:t>Объекты мониторинга, приоритетные и социально значимые рынки, представлены в соответствии с Постановлением Губернатора Новосибирской области от 27.01.2016 № 23 «Об утверждении перечней социально значимых и приоритетных рынков для содействия развитию конкуренции в Новосибирской области».</w:t>
      </w:r>
    </w:p>
    <w:p w:rsidR="00103148" w:rsidRDefault="00103148" w:rsidP="00103148">
      <w:pPr>
        <w:spacing w:after="0" w:line="360" w:lineRule="auto"/>
        <w:ind w:firstLine="426"/>
        <w:jc w:val="both"/>
        <w:rPr>
          <w:rFonts w:ascii="Arial Narrow" w:hAnsi="Arial Narrow"/>
          <w:b/>
          <w:bCs/>
          <w:sz w:val="24"/>
          <w:szCs w:val="24"/>
        </w:rPr>
      </w:pPr>
    </w:p>
    <w:p w:rsidR="00A64028" w:rsidRPr="0030560B" w:rsidRDefault="00A64028" w:rsidP="00262F71">
      <w:pPr>
        <w:spacing w:after="0" w:line="240" w:lineRule="auto"/>
        <w:rPr>
          <w:rFonts w:ascii="Arial Narrow" w:hAnsi="Arial Narrow"/>
          <w:b/>
          <w:bCs/>
          <w:sz w:val="24"/>
          <w:szCs w:val="24"/>
        </w:rPr>
      </w:pPr>
      <w:r w:rsidRPr="00262F71">
        <w:rPr>
          <w:rFonts w:ascii="Arial Narrow" w:hAnsi="Arial Narrow"/>
          <w:bCs/>
          <w:sz w:val="24"/>
          <w:szCs w:val="24"/>
        </w:rPr>
        <w:t xml:space="preserve">Таблица </w:t>
      </w:r>
      <w:r w:rsidR="00262F71" w:rsidRPr="00262F71">
        <w:rPr>
          <w:rFonts w:ascii="Arial Narrow" w:hAnsi="Arial Narrow"/>
          <w:bCs/>
          <w:sz w:val="24"/>
          <w:szCs w:val="24"/>
        </w:rPr>
        <w:t>7.</w:t>
      </w:r>
      <w:r w:rsidRPr="00262F71">
        <w:rPr>
          <w:rFonts w:ascii="Arial Narrow" w:hAnsi="Arial Narrow"/>
          <w:bCs/>
          <w:sz w:val="24"/>
          <w:szCs w:val="24"/>
        </w:rPr>
        <w:t>1</w:t>
      </w:r>
      <w:r>
        <w:rPr>
          <w:rFonts w:ascii="Arial Narrow" w:hAnsi="Arial Narrow"/>
          <w:b/>
          <w:bCs/>
          <w:sz w:val="24"/>
          <w:szCs w:val="24"/>
        </w:rPr>
        <w:t xml:space="preserve">. </w:t>
      </w:r>
      <w:r w:rsidR="00262F71">
        <w:rPr>
          <w:rFonts w:ascii="Arial Narrow" w:hAnsi="Arial Narrow"/>
          <w:b/>
          <w:bCs/>
          <w:sz w:val="24"/>
          <w:szCs w:val="24"/>
        </w:rPr>
        <w:t xml:space="preserve">- </w:t>
      </w:r>
      <w:r w:rsidRPr="0030560B">
        <w:rPr>
          <w:rFonts w:ascii="Arial Narrow" w:hAnsi="Arial Narrow"/>
          <w:b/>
          <w:bCs/>
          <w:sz w:val="24"/>
          <w:szCs w:val="24"/>
        </w:rPr>
        <w:t>Перечень социально значимых и приоритетных рынков для содействия развитию конк</w:t>
      </w:r>
      <w:r w:rsidR="00262F71">
        <w:rPr>
          <w:rFonts w:ascii="Arial Narrow" w:hAnsi="Arial Narrow"/>
          <w:b/>
          <w:bCs/>
          <w:sz w:val="24"/>
          <w:szCs w:val="24"/>
        </w:rPr>
        <w:t>уренции в Новосибирской области</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567"/>
        <w:gridCol w:w="9214"/>
      </w:tblGrid>
      <w:tr w:rsidR="00A64028" w:rsidRPr="0030560B" w:rsidTr="00A64028">
        <w:tc>
          <w:tcPr>
            <w:tcW w:w="567" w:type="dxa"/>
            <w:shd w:val="clear" w:color="auto" w:fill="auto"/>
            <w:noWrap/>
            <w:vAlign w:val="center"/>
            <w:hideMark/>
          </w:tcPr>
          <w:p w:rsidR="00A64028" w:rsidRPr="00A96FB4" w:rsidRDefault="00A64028" w:rsidP="00103148">
            <w:pPr>
              <w:spacing w:after="0" w:line="240" w:lineRule="auto"/>
              <w:jc w:val="center"/>
              <w:rPr>
                <w:rFonts w:ascii="Arial Narrow" w:hAnsi="Arial Narrow"/>
                <w:sz w:val="20"/>
                <w:szCs w:val="20"/>
              </w:rPr>
            </w:pPr>
            <w:r w:rsidRPr="00A96FB4">
              <w:rPr>
                <w:rFonts w:ascii="Arial Narrow" w:hAnsi="Arial Narrow"/>
                <w:sz w:val="20"/>
                <w:szCs w:val="20"/>
              </w:rPr>
              <w:t> </w:t>
            </w:r>
          </w:p>
        </w:tc>
        <w:tc>
          <w:tcPr>
            <w:tcW w:w="9214" w:type="dxa"/>
            <w:shd w:val="clear" w:color="auto" w:fill="auto"/>
            <w:noWrap/>
            <w:vAlign w:val="center"/>
            <w:hideMark/>
          </w:tcPr>
          <w:p w:rsidR="00A64028" w:rsidRPr="00A96FB4" w:rsidRDefault="00A64028" w:rsidP="00103148">
            <w:pPr>
              <w:spacing w:after="0" w:line="240" w:lineRule="auto"/>
              <w:rPr>
                <w:rFonts w:ascii="Arial Narrow" w:hAnsi="Arial Narrow"/>
                <w:b/>
                <w:bCs/>
                <w:sz w:val="20"/>
                <w:szCs w:val="20"/>
              </w:rPr>
            </w:pPr>
            <w:r w:rsidRPr="00A96FB4">
              <w:rPr>
                <w:rFonts w:ascii="Arial Narrow" w:hAnsi="Arial Narrow"/>
                <w:b/>
                <w:bCs/>
                <w:sz w:val="20"/>
                <w:szCs w:val="20"/>
              </w:rPr>
              <w:t>Социально значимые рынки</w:t>
            </w:r>
          </w:p>
        </w:tc>
      </w:tr>
      <w:tr w:rsidR="00A64028" w:rsidRPr="0030560B" w:rsidTr="00A64028">
        <w:tc>
          <w:tcPr>
            <w:tcW w:w="567" w:type="dxa"/>
            <w:shd w:val="clear" w:color="auto" w:fill="auto"/>
            <w:noWrap/>
            <w:vAlign w:val="center"/>
            <w:hideMark/>
          </w:tcPr>
          <w:p w:rsidR="00A64028" w:rsidRPr="00A96FB4" w:rsidRDefault="00A64028" w:rsidP="00103148">
            <w:pPr>
              <w:spacing w:after="0" w:line="240" w:lineRule="auto"/>
              <w:jc w:val="center"/>
              <w:rPr>
                <w:rFonts w:ascii="Arial Narrow" w:hAnsi="Arial Narrow"/>
                <w:sz w:val="20"/>
                <w:szCs w:val="20"/>
              </w:rPr>
            </w:pPr>
            <w:r w:rsidRPr="00A96FB4">
              <w:rPr>
                <w:rFonts w:ascii="Arial Narrow" w:hAnsi="Arial Narrow"/>
                <w:sz w:val="20"/>
                <w:szCs w:val="20"/>
              </w:rPr>
              <w:t>1</w:t>
            </w:r>
          </w:p>
        </w:tc>
        <w:tc>
          <w:tcPr>
            <w:tcW w:w="9214" w:type="dxa"/>
            <w:shd w:val="clear" w:color="auto" w:fill="auto"/>
            <w:noWrap/>
            <w:vAlign w:val="center"/>
            <w:hideMark/>
          </w:tcPr>
          <w:p w:rsidR="00A64028" w:rsidRPr="00A96FB4" w:rsidRDefault="00A64028" w:rsidP="00A96FB4">
            <w:pPr>
              <w:spacing w:after="0" w:line="240" w:lineRule="auto"/>
              <w:ind w:left="142"/>
              <w:rPr>
                <w:rFonts w:ascii="Arial Narrow" w:hAnsi="Arial Narrow"/>
                <w:sz w:val="20"/>
                <w:szCs w:val="20"/>
              </w:rPr>
            </w:pPr>
            <w:r w:rsidRPr="00A96FB4">
              <w:rPr>
                <w:rFonts w:ascii="Arial Narrow" w:hAnsi="Arial Narrow"/>
                <w:sz w:val="20"/>
                <w:szCs w:val="20"/>
              </w:rPr>
              <w:t>Рынок услуг дошкольного образования (коммерческие детские сады и учреждения пребывания неполного дня)</w:t>
            </w:r>
          </w:p>
        </w:tc>
      </w:tr>
      <w:tr w:rsidR="00A64028" w:rsidRPr="0030560B" w:rsidTr="00A64028">
        <w:tc>
          <w:tcPr>
            <w:tcW w:w="567" w:type="dxa"/>
            <w:shd w:val="clear" w:color="auto" w:fill="auto"/>
            <w:noWrap/>
            <w:vAlign w:val="center"/>
            <w:hideMark/>
          </w:tcPr>
          <w:p w:rsidR="00A64028" w:rsidRPr="00A96FB4" w:rsidRDefault="00A64028" w:rsidP="00103148">
            <w:pPr>
              <w:spacing w:after="0" w:line="240" w:lineRule="auto"/>
              <w:jc w:val="center"/>
              <w:rPr>
                <w:rFonts w:ascii="Arial Narrow" w:hAnsi="Arial Narrow"/>
                <w:sz w:val="20"/>
                <w:szCs w:val="20"/>
              </w:rPr>
            </w:pPr>
            <w:r w:rsidRPr="00A96FB4">
              <w:rPr>
                <w:rFonts w:ascii="Arial Narrow" w:hAnsi="Arial Narrow"/>
                <w:sz w:val="20"/>
                <w:szCs w:val="20"/>
              </w:rPr>
              <w:t>2</w:t>
            </w:r>
          </w:p>
        </w:tc>
        <w:tc>
          <w:tcPr>
            <w:tcW w:w="9214" w:type="dxa"/>
            <w:shd w:val="clear" w:color="auto" w:fill="auto"/>
            <w:noWrap/>
            <w:vAlign w:val="center"/>
            <w:hideMark/>
          </w:tcPr>
          <w:p w:rsidR="00A64028" w:rsidRPr="00A96FB4" w:rsidRDefault="00A64028" w:rsidP="00A96FB4">
            <w:pPr>
              <w:spacing w:after="0" w:line="240" w:lineRule="auto"/>
              <w:ind w:left="142"/>
              <w:rPr>
                <w:rFonts w:ascii="Arial Narrow" w:hAnsi="Arial Narrow"/>
                <w:sz w:val="20"/>
                <w:szCs w:val="20"/>
              </w:rPr>
            </w:pPr>
            <w:r w:rsidRPr="00A96FB4">
              <w:rPr>
                <w:rFonts w:ascii="Arial Narrow" w:hAnsi="Arial Narrow"/>
                <w:sz w:val="20"/>
                <w:szCs w:val="20"/>
              </w:rPr>
              <w:t>Рынок услуг детского отдыха и оздоровления</w:t>
            </w:r>
          </w:p>
        </w:tc>
      </w:tr>
      <w:tr w:rsidR="00A64028" w:rsidRPr="0030560B" w:rsidTr="00A64028">
        <w:tc>
          <w:tcPr>
            <w:tcW w:w="567" w:type="dxa"/>
            <w:shd w:val="clear" w:color="auto" w:fill="auto"/>
            <w:noWrap/>
            <w:vAlign w:val="center"/>
            <w:hideMark/>
          </w:tcPr>
          <w:p w:rsidR="00A64028" w:rsidRPr="00A96FB4" w:rsidRDefault="00A64028" w:rsidP="00103148">
            <w:pPr>
              <w:spacing w:after="0" w:line="240" w:lineRule="auto"/>
              <w:jc w:val="center"/>
              <w:rPr>
                <w:rFonts w:ascii="Arial Narrow" w:hAnsi="Arial Narrow"/>
                <w:sz w:val="20"/>
                <w:szCs w:val="20"/>
              </w:rPr>
            </w:pPr>
            <w:r w:rsidRPr="00A96FB4">
              <w:rPr>
                <w:rFonts w:ascii="Arial Narrow" w:hAnsi="Arial Narrow"/>
                <w:sz w:val="20"/>
                <w:szCs w:val="20"/>
              </w:rPr>
              <w:t>3</w:t>
            </w:r>
          </w:p>
        </w:tc>
        <w:tc>
          <w:tcPr>
            <w:tcW w:w="9214" w:type="dxa"/>
            <w:shd w:val="clear" w:color="auto" w:fill="auto"/>
            <w:noWrap/>
            <w:vAlign w:val="center"/>
            <w:hideMark/>
          </w:tcPr>
          <w:p w:rsidR="00A64028" w:rsidRPr="00A96FB4" w:rsidRDefault="00A64028" w:rsidP="00A96FB4">
            <w:pPr>
              <w:spacing w:after="0" w:line="240" w:lineRule="auto"/>
              <w:ind w:left="142"/>
              <w:rPr>
                <w:rFonts w:ascii="Arial Narrow" w:hAnsi="Arial Narrow"/>
                <w:sz w:val="20"/>
                <w:szCs w:val="20"/>
              </w:rPr>
            </w:pPr>
            <w:r w:rsidRPr="00A96FB4">
              <w:rPr>
                <w:rFonts w:ascii="Arial Narrow" w:hAnsi="Arial Narrow"/>
                <w:sz w:val="20"/>
                <w:szCs w:val="20"/>
              </w:rPr>
              <w:t>Рынок дополнительного образования детей</w:t>
            </w:r>
          </w:p>
        </w:tc>
      </w:tr>
      <w:tr w:rsidR="00A64028" w:rsidRPr="0030560B" w:rsidTr="00A64028">
        <w:tc>
          <w:tcPr>
            <w:tcW w:w="567" w:type="dxa"/>
            <w:shd w:val="clear" w:color="auto" w:fill="auto"/>
            <w:noWrap/>
            <w:vAlign w:val="center"/>
            <w:hideMark/>
          </w:tcPr>
          <w:p w:rsidR="00A64028" w:rsidRPr="00A96FB4" w:rsidRDefault="00A64028" w:rsidP="00103148">
            <w:pPr>
              <w:spacing w:after="0" w:line="240" w:lineRule="auto"/>
              <w:jc w:val="center"/>
              <w:rPr>
                <w:rFonts w:ascii="Arial Narrow" w:hAnsi="Arial Narrow"/>
                <w:sz w:val="20"/>
                <w:szCs w:val="20"/>
              </w:rPr>
            </w:pPr>
            <w:r w:rsidRPr="00A96FB4">
              <w:rPr>
                <w:rFonts w:ascii="Arial Narrow" w:hAnsi="Arial Narrow"/>
                <w:sz w:val="20"/>
                <w:szCs w:val="20"/>
              </w:rPr>
              <w:t>4</w:t>
            </w:r>
          </w:p>
        </w:tc>
        <w:tc>
          <w:tcPr>
            <w:tcW w:w="9214" w:type="dxa"/>
            <w:shd w:val="clear" w:color="auto" w:fill="auto"/>
            <w:noWrap/>
            <w:vAlign w:val="center"/>
            <w:hideMark/>
          </w:tcPr>
          <w:p w:rsidR="00A64028" w:rsidRPr="00A96FB4" w:rsidRDefault="00A64028" w:rsidP="00A96FB4">
            <w:pPr>
              <w:spacing w:after="0" w:line="240" w:lineRule="auto"/>
              <w:ind w:left="142"/>
              <w:rPr>
                <w:rFonts w:ascii="Arial Narrow" w:hAnsi="Arial Narrow"/>
                <w:sz w:val="20"/>
                <w:szCs w:val="20"/>
              </w:rPr>
            </w:pPr>
            <w:r w:rsidRPr="00A96FB4">
              <w:rPr>
                <w:rFonts w:ascii="Arial Narrow" w:hAnsi="Arial Narrow"/>
                <w:sz w:val="20"/>
                <w:szCs w:val="20"/>
              </w:rPr>
              <w:t>Рынок медицинских услуг</w:t>
            </w:r>
          </w:p>
        </w:tc>
      </w:tr>
      <w:tr w:rsidR="00A64028" w:rsidRPr="0030560B" w:rsidTr="00A64028">
        <w:tc>
          <w:tcPr>
            <w:tcW w:w="567" w:type="dxa"/>
            <w:shd w:val="clear" w:color="auto" w:fill="auto"/>
            <w:noWrap/>
            <w:vAlign w:val="center"/>
            <w:hideMark/>
          </w:tcPr>
          <w:p w:rsidR="00A64028" w:rsidRPr="00A96FB4" w:rsidRDefault="00A64028" w:rsidP="00103148">
            <w:pPr>
              <w:spacing w:after="0" w:line="240" w:lineRule="auto"/>
              <w:jc w:val="center"/>
              <w:rPr>
                <w:rFonts w:ascii="Arial Narrow" w:hAnsi="Arial Narrow"/>
                <w:sz w:val="20"/>
                <w:szCs w:val="20"/>
              </w:rPr>
            </w:pPr>
            <w:r w:rsidRPr="00A96FB4">
              <w:rPr>
                <w:rFonts w:ascii="Arial Narrow" w:hAnsi="Arial Narrow"/>
                <w:sz w:val="20"/>
                <w:szCs w:val="20"/>
              </w:rPr>
              <w:t>5</w:t>
            </w:r>
          </w:p>
        </w:tc>
        <w:tc>
          <w:tcPr>
            <w:tcW w:w="9214" w:type="dxa"/>
            <w:shd w:val="clear" w:color="auto" w:fill="auto"/>
            <w:noWrap/>
            <w:vAlign w:val="center"/>
            <w:hideMark/>
          </w:tcPr>
          <w:p w:rsidR="00A64028" w:rsidRPr="00A96FB4" w:rsidRDefault="00A64028" w:rsidP="00A96FB4">
            <w:pPr>
              <w:spacing w:after="0" w:line="240" w:lineRule="auto"/>
              <w:ind w:left="142"/>
              <w:rPr>
                <w:rFonts w:ascii="Arial Narrow" w:hAnsi="Arial Narrow"/>
                <w:sz w:val="20"/>
                <w:szCs w:val="20"/>
              </w:rPr>
            </w:pPr>
            <w:r w:rsidRPr="00A96FB4">
              <w:rPr>
                <w:rFonts w:ascii="Arial Narrow" w:hAnsi="Arial Narrow"/>
                <w:sz w:val="20"/>
                <w:szCs w:val="20"/>
              </w:rPr>
              <w:t>Рынок услуг психолого-педагогического сопровождения детей с ограниченными возможностями здоровья</w:t>
            </w:r>
          </w:p>
        </w:tc>
      </w:tr>
      <w:tr w:rsidR="00A64028" w:rsidRPr="0030560B" w:rsidTr="00A64028">
        <w:tc>
          <w:tcPr>
            <w:tcW w:w="567" w:type="dxa"/>
            <w:shd w:val="clear" w:color="auto" w:fill="auto"/>
            <w:noWrap/>
            <w:vAlign w:val="center"/>
            <w:hideMark/>
          </w:tcPr>
          <w:p w:rsidR="00A64028" w:rsidRPr="00A96FB4" w:rsidRDefault="00A64028" w:rsidP="00103148">
            <w:pPr>
              <w:spacing w:after="0" w:line="240" w:lineRule="auto"/>
              <w:jc w:val="center"/>
              <w:rPr>
                <w:rFonts w:ascii="Arial Narrow" w:hAnsi="Arial Narrow"/>
                <w:sz w:val="20"/>
                <w:szCs w:val="20"/>
              </w:rPr>
            </w:pPr>
            <w:r w:rsidRPr="00A96FB4">
              <w:rPr>
                <w:rFonts w:ascii="Arial Narrow" w:hAnsi="Arial Narrow"/>
                <w:sz w:val="20"/>
                <w:szCs w:val="20"/>
              </w:rPr>
              <w:t>6</w:t>
            </w:r>
          </w:p>
        </w:tc>
        <w:tc>
          <w:tcPr>
            <w:tcW w:w="9214" w:type="dxa"/>
            <w:shd w:val="clear" w:color="auto" w:fill="auto"/>
            <w:noWrap/>
            <w:vAlign w:val="center"/>
            <w:hideMark/>
          </w:tcPr>
          <w:p w:rsidR="00A64028" w:rsidRPr="00A96FB4" w:rsidRDefault="00A64028" w:rsidP="00A96FB4">
            <w:pPr>
              <w:spacing w:after="0" w:line="240" w:lineRule="auto"/>
              <w:ind w:left="142"/>
              <w:rPr>
                <w:rFonts w:ascii="Arial Narrow" w:hAnsi="Arial Narrow"/>
                <w:sz w:val="20"/>
                <w:szCs w:val="20"/>
              </w:rPr>
            </w:pPr>
            <w:r w:rsidRPr="00A96FB4">
              <w:rPr>
                <w:rFonts w:ascii="Arial Narrow" w:hAnsi="Arial Narrow"/>
                <w:sz w:val="20"/>
                <w:szCs w:val="20"/>
              </w:rPr>
              <w:t>Рынок услуг в сфере культуры</w:t>
            </w:r>
          </w:p>
        </w:tc>
      </w:tr>
      <w:tr w:rsidR="00A64028" w:rsidRPr="0030560B" w:rsidTr="00A64028">
        <w:tc>
          <w:tcPr>
            <w:tcW w:w="567" w:type="dxa"/>
            <w:shd w:val="clear" w:color="auto" w:fill="auto"/>
            <w:noWrap/>
            <w:vAlign w:val="center"/>
            <w:hideMark/>
          </w:tcPr>
          <w:p w:rsidR="00A64028" w:rsidRPr="00A96FB4" w:rsidRDefault="00A64028" w:rsidP="00103148">
            <w:pPr>
              <w:spacing w:after="0" w:line="240" w:lineRule="auto"/>
              <w:jc w:val="center"/>
              <w:rPr>
                <w:rFonts w:ascii="Arial Narrow" w:hAnsi="Arial Narrow"/>
                <w:sz w:val="20"/>
                <w:szCs w:val="20"/>
              </w:rPr>
            </w:pPr>
            <w:r w:rsidRPr="00A96FB4">
              <w:rPr>
                <w:rFonts w:ascii="Arial Narrow" w:hAnsi="Arial Narrow"/>
                <w:sz w:val="20"/>
                <w:szCs w:val="20"/>
              </w:rPr>
              <w:t>7</w:t>
            </w:r>
          </w:p>
        </w:tc>
        <w:tc>
          <w:tcPr>
            <w:tcW w:w="9214" w:type="dxa"/>
            <w:shd w:val="clear" w:color="auto" w:fill="auto"/>
            <w:noWrap/>
            <w:vAlign w:val="center"/>
            <w:hideMark/>
          </w:tcPr>
          <w:p w:rsidR="00A64028" w:rsidRPr="00A96FB4" w:rsidRDefault="00A64028" w:rsidP="00A96FB4">
            <w:pPr>
              <w:spacing w:after="0" w:line="240" w:lineRule="auto"/>
              <w:ind w:left="142"/>
              <w:rPr>
                <w:rFonts w:ascii="Arial Narrow" w:hAnsi="Arial Narrow"/>
                <w:sz w:val="20"/>
                <w:szCs w:val="20"/>
              </w:rPr>
            </w:pPr>
            <w:r w:rsidRPr="00A96FB4">
              <w:rPr>
                <w:rFonts w:ascii="Arial Narrow" w:hAnsi="Arial Narrow"/>
                <w:sz w:val="20"/>
                <w:szCs w:val="20"/>
              </w:rPr>
              <w:t>Рынок услуг жилищно-коммунального хозяйства (управляющие компании)</w:t>
            </w:r>
          </w:p>
        </w:tc>
      </w:tr>
      <w:tr w:rsidR="00A64028" w:rsidRPr="0030560B" w:rsidTr="00A64028">
        <w:tc>
          <w:tcPr>
            <w:tcW w:w="567" w:type="dxa"/>
            <w:shd w:val="clear" w:color="auto" w:fill="auto"/>
            <w:noWrap/>
            <w:vAlign w:val="center"/>
            <w:hideMark/>
          </w:tcPr>
          <w:p w:rsidR="00A64028" w:rsidRPr="00A96FB4" w:rsidRDefault="00A64028" w:rsidP="00103148">
            <w:pPr>
              <w:spacing w:after="0" w:line="240" w:lineRule="auto"/>
              <w:jc w:val="center"/>
              <w:rPr>
                <w:rFonts w:ascii="Arial Narrow" w:hAnsi="Arial Narrow"/>
                <w:sz w:val="20"/>
                <w:szCs w:val="20"/>
              </w:rPr>
            </w:pPr>
            <w:r w:rsidRPr="00A96FB4">
              <w:rPr>
                <w:rFonts w:ascii="Arial Narrow" w:hAnsi="Arial Narrow"/>
                <w:sz w:val="20"/>
                <w:szCs w:val="20"/>
              </w:rPr>
              <w:t>8</w:t>
            </w:r>
          </w:p>
        </w:tc>
        <w:tc>
          <w:tcPr>
            <w:tcW w:w="9214" w:type="dxa"/>
            <w:shd w:val="clear" w:color="auto" w:fill="auto"/>
            <w:noWrap/>
            <w:vAlign w:val="center"/>
            <w:hideMark/>
          </w:tcPr>
          <w:p w:rsidR="00A64028" w:rsidRPr="00A96FB4" w:rsidRDefault="00A64028" w:rsidP="00A96FB4">
            <w:pPr>
              <w:spacing w:after="0" w:line="240" w:lineRule="auto"/>
              <w:ind w:left="142"/>
              <w:rPr>
                <w:rFonts w:ascii="Arial Narrow" w:hAnsi="Arial Narrow"/>
                <w:sz w:val="20"/>
                <w:szCs w:val="20"/>
              </w:rPr>
            </w:pPr>
            <w:r w:rsidRPr="00A96FB4">
              <w:rPr>
                <w:rFonts w:ascii="Arial Narrow" w:hAnsi="Arial Narrow"/>
                <w:sz w:val="20"/>
                <w:szCs w:val="20"/>
              </w:rPr>
              <w:t>Розничная торговля (продажа продуктов питания и непродовольственных товаров)</w:t>
            </w:r>
          </w:p>
        </w:tc>
      </w:tr>
      <w:tr w:rsidR="00A64028" w:rsidRPr="0030560B" w:rsidTr="00A64028">
        <w:tc>
          <w:tcPr>
            <w:tcW w:w="567" w:type="dxa"/>
            <w:shd w:val="clear" w:color="auto" w:fill="auto"/>
            <w:noWrap/>
            <w:vAlign w:val="center"/>
            <w:hideMark/>
          </w:tcPr>
          <w:p w:rsidR="00A64028" w:rsidRPr="00A96FB4" w:rsidRDefault="00A64028" w:rsidP="00103148">
            <w:pPr>
              <w:spacing w:after="0" w:line="240" w:lineRule="auto"/>
              <w:jc w:val="center"/>
              <w:rPr>
                <w:rFonts w:ascii="Arial Narrow" w:hAnsi="Arial Narrow"/>
                <w:sz w:val="20"/>
                <w:szCs w:val="20"/>
              </w:rPr>
            </w:pPr>
            <w:r w:rsidRPr="00A96FB4">
              <w:rPr>
                <w:rFonts w:ascii="Arial Narrow" w:hAnsi="Arial Narrow"/>
                <w:sz w:val="20"/>
                <w:szCs w:val="20"/>
              </w:rPr>
              <w:t>9</w:t>
            </w:r>
          </w:p>
        </w:tc>
        <w:tc>
          <w:tcPr>
            <w:tcW w:w="9214" w:type="dxa"/>
            <w:shd w:val="clear" w:color="auto" w:fill="auto"/>
            <w:noWrap/>
            <w:vAlign w:val="center"/>
            <w:hideMark/>
          </w:tcPr>
          <w:p w:rsidR="00A64028" w:rsidRPr="00A96FB4" w:rsidRDefault="00A64028" w:rsidP="00A96FB4">
            <w:pPr>
              <w:spacing w:after="0" w:line="240" w:lineRule="auto"/>
              <w:ind w:left="142"/>
              <w:rPr>
                <w:rFonts w:ascii="Arial Narrow" w:hAnsi="Arial Narrow"/>
                <w:sz w:val="20"/>
                <w:szCs w:val="20"/>
              </w:rPr>
            </w:pPr>
            <w:r w:rsidRPr="00A96FB4">
              <w:rPr>
                <w:rFonts w:ascii="Arial Narrow" w:hAnsi="Arial Narrow"/>
                <w:sz w:val="20"/>
                <w:szCs w:val="20"/>
              </w:rPr>
              <w:t>Рынок услуг перевозок пассажиров наземным транспортом (автобусные перевозки и такси)</w:t>
            </w:r>
          </w:p>
        </w:tc>
      </w:tr>
      <w:tr w:rsidR="00A64028" w:rsidRPr="0030560B" w:rsidTr="00A64028">
        <w:tc>
          <w:tcPr>
            <w:tcW w:w="567" w:type="dxa"/>
            <w:shd w:val="clear" w:color="auto" w:fill="auto"/>
            <w:noWrap/>
            <w:vAlign w:val="center"/>
            <w:hideMark/>
          </w:tcPr>
          <w:p w:rsidR="00A64028" w:rsidRPr="00A96FB4" w:rsidRDefault="00A64028" w:rsidP="00103148">
            <w:pPr>
              <w:spacing w:after="0" w:line="240" w:lineRule="auto"/>
              <w:jc w:val="center"/>
              <w:rPr>
                <w:rFonts w:ascii="Arial Narrow" w:hAnsi="Arial Narrow"/>
                <w:sz w:val="20"/>
                <w:szCs w:val="20"/>
              </w:rPr>
            </w:pPr>
            <w:r w:rsidRPr="00A96FB4">
              <w:rPr>
                <w:rFonts w:ascii="Arial Narrow" w:hAnsi="Arial Narrow"/>
                <w:sz w:val="20"/>
                <w:szCs w:val="20"/>
              </w:rPr>
              <w:t>10</w:t>
            </w:r>
          </w:p>
        </w:tc>
        <w:tc>
          <w:tcPr>
            <w:tcW w:w="9214" w:type="dxa"/>
            <w:shd w:val="clear" w:color="auto" w:fill="auto"/>
            <w:noWrap/>
            <w:vAlign w:val="center"/>
            <w:hideMark/>
          </w:tcPr>
          <w:p w:rsidR="00A64028" w:rsidRPr="00A96FB4" w:rsidRDefault="00A64028" w:rsidP="00A96FB4">
            <w:pPr>
              <w:spacing w:after="0" w:line="240" w:lineRule="auto"/>
              <w:ind w:left="142"/>
              <w:rPr>
                <w:rFonts w:ascii="Arial Narrow" w:hAnsi="Arial Narrow"/>
                <w:sz w:val="20"/>
                <w:szCs w:val="20"/>
              </w:rPr>
            </w:pPr>
            <w:r w:rsidRPr="00A96FB4">
              <w:rPr>
                <w:rFonts w:ascii="Arial Narrow" w:hAnsi="Arial Narrow"/>
                <w:sz w:val="20"/>
                <w:szCs w:val="20"/>
              </w:rPr>
              <w:t>Рынок услуг связи</w:t>
            </w:r>
          </w:p>
        </w:tc>
      </w:tr>
      <w:tr w:rsidR="00A64028" w:rsidRPr="0030560B" w:rsidTr="00A64028">
        <w:tc>
          <w:tcPr>
            <w:tcW w:w="567" w:type="dxa"/>
            <w:shd w:val="clear" w:color="auto" w:fill="auto"/>
            <w:noWrap/>
            <w:vAlign w:val="center"/>
            <w:hideMark/>
          </w:tcPr>
          <w:p w:rsidR="00A64028" w:rsidRPr="00A96FB4" w:rsidRDefault="00A64028" w:rsidP="00103148">
            <w:pPr>
              <w:spacing w:after="0" w:line="240" w:lineRule="auto"/>
              <w:jc w:val="center"/>
              <w:rPr>
                <w:rFonts w:ascii="Arial Narrow" w:hAnsi="Arial Narrow"/>
                <w:sz w:val="20"/>
                <w:szCs w:val="20"/>
              </w:rPr>
            </w:pPr>
            <w:r w:rsidRPr="00A96FB4">
              <w:rPr>
                <w:rFonts w:ascii="Arial Narrow" w:hAnsi="Arial Narrow"/>
                <w:sz w:val="20"/>
                <w:szCs w:val="20"/>
              </w:rPr>
              <w:t>11</w:t>
            </w:r>
          </w:p>
        </w:tc>
        <w:tc>
          <w:tcPr>
            <w:tcW w:w="9214" w:type="dxa"/>
            <w:shd w:val="clear" w:color="auto" w:fill="auto"/>
            <w:noWrap/>
            <w:vAlign w:val="center"/>
            <w:hideMark/>
          </w:tcPr>
          <w:p w:rsidR="00A64028" w:rsidRPr="00A96FB4" w:rsidRDefault="00A64028" w:rsidP="00A96FB4">
            <w:pPr>
              <w:spacing w:after="0" w:line="240" w:lineRule="auto"/>
              <w:ind w:left="142"/>
              <w:rPr>
                <w:rFonts w:ascii="Arial Narrow" w:hAnsi="Arial Narrow"/>
                <w:sz w:val="20"/>
                <w:szCs w:val="20"/>
              </w:rPr>
            </w:pPr>
            <w:r w:rsidRPr="00A96FB4">
              <w:rPr>
                <w:rFonts w:ascii="Arial Narrow" w:hAnsi="Arial Narrow"/>
                <w:sz w:val="20"/>
                <w:szCs w:val="20"/>
              </w:rPr>
              <w:t>Рынок услуг социального обслуживания населения</w:t>
            </w:r>
          </w:p>
        </w:tc>
      </w:tr>
      <w:tr w:rsidR="00A64028" w:rsidRPr="0030560B" w:rsidTr="00A64028">
        <w:tc>
          <w:tcPr>
            <w:tcW w:w="567" w:type="dxa"/>
            <w:shd w:val="clear" w:color="auto" w:fill="auto"/>
            <w:noWrap/>
            <w:vAlign w:val="center"/>
            <w:hideMark/>
          </w:tcPr>
          <w:p w:rsidR="00A64028" w:rsidRPr="00A96FB4" w:rsidRDefault="00A64028" w:rsidP="00103148">
            <w:pPr>
              <w:spacing w:after="0" w:line="240" w:lineRule="auto"/>
              <w:jc w:val="center"/>
              <w:rPr>
                <w:rFonts w:ascii="Arial Narrow" w:hAnsi="Arial Narrow"/>
                <w:sz w:val="20"/>
                <w:szCs w:val="20"/>
              </w:rPr>
            </w:pPr>
            <w:r w:rsidRPr="00A96FB4">
              <w:rPr>
                <w:rFonts w:ascii="Arial Narrow" w:hAnsi="Arial Narrow"/>
                <w:sz w:val="20"/>
                <w:szCs w:val="20"/>
              </w:rPr>
              <w:t> </w:t>
            </w:r>
          </w:p>
        </w:tc>
        <w:tc>
          <w:tcPr>
            <w:tcW w:w="9214" w:type="dxa"/>
            <w:shd w:val="clear" w:color="auto" w:fill="auto"/>
            <w:noWrap/>
            <w:vAlign w:val="center"/>
            <w:hideMark/>
          </w:tcPr>
          <w:p w:rsidR="00A64028" w:rsidRPr="00A96FB4" w:rsidRDefault="00A64028" w:rsidP="00A96FB4">
            <w:pPr>
              <w:spacing w:after="0" w:line="240" w:lineRule="auto"/>
              <w:ind w:left="142"/>
              <w:rPr>
                <w:rFonts w:ascii="Arial Narrow" w:hAnsi="Arial Narrow"/>
                <w:b/>
                <w:bCs/>
                <w:sz w:val="20"/>
                <w:szCs w:val="20"/>
              </w:rPr>
            </w:pPr>
            <w:r w:rsidRPr="00A96FB4">
              <w:rPr>
                <w:rFonts w:ascii="Arial Narrow" w:hAnsi="Arial Narrow"/>
                <w:b/>
                <w:bCs/>
                <w:sz w:val="20"/>
                <w:szCs w:val="20"/>
              </w:rPr>
              <w:t>Приоритетные рынки</w:t>
            </w:r>
          </w:p>
        </w:tc>
      </w:tr>
      <w:tr w:rsidR="00A64028" w:rsidRPr="0030560B" w:rsidTr="00A64028">
        <w:tc>
          <w:tcPr>
            <w:tcW w:w="567" w:type="dxa"/>
            <w:shd w:val="clear" w:color="auto" w:fill="auto"/>
            <w:noWrap/>
            <w:vAlign w:val="center"/>
            <w:hideMark/>
          </w:tcPr>
          <w:p w:rsidR="00A64028" w:rsidRPr="00A96FB4" w:rsidRDefault="00A64028" w:rsidP="00103148">
            <w:pPr>
              <w:spacing w:after="0" w:line="240" w:lineRule="auto"/>
              <w:jc w:val="center"/>
              <w:rPr>
                <w:rFonts w:ascii="Arial Narrow" w:hAnsi="Arial Narrow"/>
                <w:sz w:val="20"/>
                <w:szCs w:val="20"/>
              </w:rPr>
            </w:pPr>
            <w:r w:rsidRPr="00A96FB4">
              <w:rPr>
                <w:rFonts w:ascii="Arial Narrow" w:hAnsi="Arial Narrow"/>
                <w:sz w:val="20"/>
                <w:szCs w:val="20"/>
              </w:rPr>
              <w:t>12</w:t>
            </w:r>
          </w:p>
        </w:tc>
        <w:tc>
          <w:tcPr>
            <w:tcW w:w="9214" w:type="dxa"/>
            <w:shd w:val="clear" w:color="auto" w:fill="auto"/>
            <w:noWrap/>
            <w:vAlign w:val="center"/>
            <w:hideMark/>
          </w:tcPr>
          <w:p w:rsidR="00A64028" w:rsidRPr="00A96FB4" w:rsidRDefault="00A64028" w:rsidP="00A96FB4">
            <w:pPr>
              <w:spacing w:after="0" w:line="240" w:lineRule="auto"/>
              <w:ind w:left="142"/>
              <w:rPr>
                <w:rFonts w:ascii="Arial Narrow" w:hAnsi="Arial Narrow"/>
                <w:sz w:val="20"/>
                <w:szCs w:val="20"/>
              </w:rPr>
            </w:pPr>
            <w:r w:rsidRPr="00A96FB4">
              <w:rPr>
                <w:rFonts w:ascii="Arial Narrow" w:hAnsi="Arial Narrow"/>
                <w:sz w:val="20"/>
                <w:szCs w:val="20"/>
              </w:rPr>
              <w:t>Рынок развития, производства, переработки и хранения сельскохозяйственной продукции</w:t>
            </w:r>
          </w:p>
        </w:tc>
      </w:tr>
      <w:tr w:rsidR="00A64028" w:rsidRPr="0030560B" w:rsidTr="00A64028">
        <w:tc>
          <w:tcPr>
            <w:tcW w:w="567" w:type="dxa"/>
            <w:shd w:val="clear" w:color="auto" w:fill="auto"/>
            <w:noWrap/>
            <w:vAlign w:val="center"/>
            <w:hideMark/>
          </w:tcPr>
          <w:p w:rsidR="00A64028" w:rsidRPr="00A96FB4" w:rsidRDefault="00A64028" w:rsidP="00103148">
            <w:pPr>
              <w:spacing w:after="0" w:line="240" w:lineRule="auto"/>
              <w:jc w:val="center"/>
              <w:rPr>
                <w:rFonts w:ascii="Arial Narrow" w:hAnsi="Arial Narrow"/>
                <w:sz w:val="20"/>
                <w:szCs w:val="20"/>
              </w:rPr>
            </w:pPr>
            <w:r w:rsidRPr="00A96FB4">
              <w:rPr>
                <w:rFonts w:ascii="Arial Narrow" w:hAnsi="Arial Narrow"/>
                <w:sz w:val="20"/>
                <w:szCs w:val="20"/>
              </w:rPr>
              <w:t>13</w:t>
            </w:r>
          </w:p>
        </w:tc>
        <w:tc>
          <w:tcPr>
            <w:tcW w:w="9214" w:type="dxa"/>
            <w:shd w:val="clear" w:color="auto" w:fill="auto"/>
            <w:noWrap/>
            <w:vAlign w:val="center"/>
            <w:hideMark/>
          </w:tcPr>
          <w:p w:rsidR="00A64028" w:rsidRPr="00A96FB4" w:rsidRDefault="00A64028" w:rsidP="00A96FB4">
            <w:pPr>
              <w:spacing w:after="0" w:line="240" w:lineRule="auto"/>
              <w:ind w:left="142"/>
              <w:rPr>
                <w:rFonts w:ascii="Arial Narrow" w:hAnsi="Arial Narrow"/>
                <w:sz w:val="20"/>
                <w:szCs w:val="20"/>
              </w:rPr>
            </w:pPr>
            <w:r w:rsidRPr="00A96FB4">
              <w:rPr>
                <w:rFonts w:ascii="Arial Narrow" w:hAnsi="Arial Narrow"/>
                <w:sz w:val="20"/>
                <w:szCs w:val="20"/>
              </w:rPr>
              <w:t>Рынок услуг по сбору, сортировке и переработке твердых коммунальных (бытовых) отходов</w:t>
            </w:r>
          </w:p>
        </w:tc>
      </w:tr>
    </w:tbl>
    <w:p w:rsidR="00A64028" w:rsidRPr="0030560B" w:rsidRDefault="00A64028" w:rsidP="00103148">
      <w:pPr>
        <w:spacing w:after="0" w:line="360" w:lineRule="auto"/>
        <w:ind w:firstLine="426"/>
        <w:jc w:val="both"/>
        <w:rPr>
          <w:rFonts w:ascii="Arial Narrow" w:hAnsi="Arial Narrow"/>
          <w:b/>
          <w:bCs/>
          <w:sz w:val="24"/>
          <w:szCs w:val="24"/>
        </w:rPr>
      </w:pPr>
    </w:p>
    <w:p w:rsidR="00A64028" w:rsidRPr="0030560B" w:rsidRDefault="00A64028" w:rsidP="00103148">
      <w:pPr>
        <w:spacing w:after="0" w:line="360" w:lineRule="auto"/>
        <w:ind w:firstLine="426"/>
        <w:jc w:val="both"/>
        <w:rPr>
          <w:rFonts w:ascii="Arial Narrow" w:hAnsi="Arial Narrow"/>
          <w:bCs/>
          <w:sz w:val="24"/>
          <w:szCs w:val="24"/>
        </w:rPr>
      </w:pPr>
      <w:r w:rsidRPr="0030560B">
        <w:rPr>
          <w:rFonts w:ascii="Arial Narrow" w:hAnsi="Arial Narrow"/>
          <w:b/>
          <w:bCs/>
          <w:sz w:val="24"/>
          <w:szCs w:val="24"/>
        </w:rPr>
        <w:t>Временной интервал проведения Мониторинга (отчетные периоды)</w:t>
      </w:r>
      <w:r w:rsidRPr="0030560B">
        <w:rPr>
          <w:rFonts w:ascii="Arial Narrow" w:hAnsi="Arial Narrow"/>
          <w:bCs/>
          <w:sz w:val="24"/>
          <w:szCs w:val="24"/>
        </w:rPr>
        <w:t xml:space="preserve"> – 2015 год и 2016 г. </w:t>
      </w:r>
    </w:p>
    <w:p w:rsidR="00A64028" w:rsidRPr="0030560B" w:rsidRDefault="00A64028" w:rsidP="00103148">
      <w:pPr>
        <w:spacing w:after="0"/>
        <w:ind w:firstLine="426"/>
        <w:jc w:val="both"/>
        <w:rPr>
          <w:rFonts w:ascii="Arial Narrow" w:hAnsi="Arial Narrow"/>
          <w:bCs/>
        </w:rPr>
      </w:pPr>
    </w:p>
    <w:p w:rsidR="00A64028" w:rsidRPr="00D2207F" w:rsidRDefault="00A64028" w:rsidP="00103148">
      <w:pPr>
        <w:spacing w:after="0" w:line="360" w:lineRule="auto"/>
        <w:ind w:firstLine="426"/>
        <w:jc w:val="both"/>
        <w:rPr>
          <w:rFonts w:ascii="Arial Narrow" w:hAnsi="Arial Narrow"/>
          <w:bCs/>
          <w:sz w:val="24"/>
          <w:szCs w:val="24"/>
        </w:rPr>
      </w:pPr>
      <w:r w:rsidRPr="00D2207F">
        <w:rPr>
          <w:rFonts w:ascii="Arial Narrow" w:hAnsi="Arial Narrow"/>
          <w:bCs/>
          <w:sz w:val="24"/>
          <w:szCs w:val="24"/>
        </w:rPr>
        <w:t xml:space="preserve">Доклад составлен на основе анализа ключевых показателей состояния конкурентной среды на рынках товаров, работ и услуг, в том числе на социально-значимых и приоритетных рынках Новосибирской области, </w:t>
      </w:r>
      <w:r w:rsidRPr="00D2207F">
        <w:rPr>
          <w:rFonts w:ascii="Arial Narrow" w:hAnsi="Arial Narrow" w:cs="Arial"/>
          <w:sz w:val="24"/>
          <w:szCs w:val="24"/>
        </w:rPr>
        <w:t>согласно документу «Показатели и инструментарий научно-исследовательской работы по теме: «Мониторинг состояния и развития конкурентной среды на рынках товаров, работ и услуг Новосибирской области за 2016 год» (он также представлен в Приложении 1 к настоящему отчету).</w:t>
      </w:r>
    </w:p>
    <w:p w:rsidR="00A64028" w:rsidRPr="00D2207F" w:rsidRDefault="00A64028" w:rsidP="00103148">
      <w:pPr>
        <w:spacing w:after="0"/>
        <w:rPr>
          <w:rFonts w:ascii="Arial Narrow" w:hAnsi="Arial Narrow"/>
          <w:bCs/>
          <w:sz w:val="24"/>
          <w:szCs w:val="24"/>
        </w:rPr>
      </w:pPr>
      <w:r w:rsidRPr="00D2207F">
        <w:rPr>
          <w:rFonts w:ascii="Arial Narrow" w:hAnsi="Arial Narrow"/>
          <w:bCs/>
          <w:sz w:val="24"/>
          <w:szCs w:val="24"/>
        </w:rPr>
        <w:br w:type="page"/>
      </w:r>
    </w:p>
    <w:p w:rsidR="00A64028" w:rsidRDefault="00A64028" w:rsidP="00BF6DC4">
      <w:pPr>
        <w:pStyle w:val="1"/>
        <w:jc w:val="both"/>
        <w:rPr>
          <w:rFonts w:ascii="Arial Narrow" w:hAnsi="Arial Narrow"/>
        </w:rPr>
      </w:pPr>
      <w:bookmarkStart w:id="77" w:name="_Toc469663904"/>
      <w:bookmarkStart w:id="78" w:name="_Toc473725866"/>
      <w:r w:rsidRPr="00D2207F">
        <w:rPr>
          <w:rFonts w:ascii="Arial Narrow" w:hAnsi="Arial Narrow"/>
        </w:rPr>
        <w:lastRenderedPageBreak/>
        <w:t xml:space="preserve">1. </w:t>
      </w:r>
      <w:bookmarkEnd w:id="77"/>
      <w:r w:rsidRPr="00D2207F">
        <w:rPr>
          <w:rFonts w:ascii="Arial Narrow" w:hAnsi="Arial Narrow"/>
        </w:rPr>
        <w:t>Характеристика состояния конкуренции на рынках, включенных в перечни социально значимых и приоритетных рынков Новосибирской области, а также анализ факторов, ограничивающих конкуренцию на территории Новосибирской области</w:t>
      </w:r>
      <w:bookmarkEnd w:id="78"/>
    </w:p>
    <w:p w:rsidR="00A64028" w:rsidRDefault="00A64028" w:rsidP="00103148">
      <w:pPr>
        <w:spacing w:after="0"/>
      </w:pPr>
    </w:p>
    <w:p w:rsidR="00A64028" w:rsidRDefault="00A64028" w:rsidP="00103148">
      <w:pPr>
        <w:spacing w:after="0"/>
      </w:pPr>
    </w:p>
    <w:p w:rsidR="00A64028" w:rsidRPr="00455C1E" w:rsidRDefault="00A64028" w:rsidP="00103148">
      <w:pPr>
        <w:spacing w:after="0"/>
        <w:ind w:firstLine="284"/>
        <w:rPr>
          <w:rFonts w:ascii="Arial Narrow" w:hAnsi="Arial Narrow"/>
          <w:b/>
          <w:sz w:val="24"/>
        </w:rPr>
      </w:pPr>
      <w:r w:rsidRPr="00CA4BDF">
        <w:rPr>
          <w:rFonts w:ascii="Arial Narrow" w:hAnsi="Arial Narrow"/>
          <w:b/>
          <w:sz w:val="24"/>
        </w:rPr>
        <w:t xml:space="preserve">1.1. </w:t>
      </w:r>
      <w:r w:rsidRPr="00455C1E">
        <w:rPr>
          <w:rFonts w:ascii="Arial Narrow" w:hAnsi="Arial Narrow"/>
          <w:b/>
          <w:sz w:val="24"/>
        </w:rPr>
        <w:t>Оценка состояния социально значимых и приоритетных рынков (содержит несколько показателей)</w:t>
      </w:r>
    </w:p>
    <w:p w:rsidR="00A64028" w:rsidRPr="00455C1E" w:rsidRDefault="00A64028" w:rsidP="00103148">
      <w:pPr>
        <w:spacing w:after="0"/>
        <w:ind w:firstLine="284"/>
        <w:rPr>
          <w:rFonts w:ascii="Arial Narrow" w:hAnsi="Arial Narrow"/>
          <w:b/>
          <w:sz w:val="24"/>
        </w:rPr>
      </w:pPr>
      <w:r w:rsidRPr="00455C1E">
        <w:rPr>
          <w:rFonts w:ascii="Arial Narrow" w:hAnsi="Arial Narrow"/>
          <w:b/>
          <w:sz w:val="24"/>
        </w:rPr>
        <w:t>Значение показателя 1.1.1. Продуктовые и географические границы товарного рынка (ОКВЭД)</w:t>
      </w:r>
    </w:p>
    <w:p w:rsidR="00BF6DC4" w:rsidRDefault="00BF6DC4" w:rsidP="00262F71">
      <w:pPr>
        <w:spacing w:after="0"/>
        <w:rPr>
          <w:rFonts w:ascii="Arial Narrow" w:eastAsia="Calibri" w:hAnsi="Arial Narrow"/>
          <w:sz w:val="24"/>
          <w:szCs w:val="24"/>
        </w:rPr>
      </w:pPr>
    </w:p>
    <w:p w:rsidR="00A64028" w:rsidRPr="002E7CCA" w:rsidRDefault="00A64028" w:rsidP="00262F71">
      <w:pPr>
        <w:spacing w:after="0"/>
        <w:rPr>
          <w:rFonts w:ascii="Arial Narrow" w:hAnsi="Arial Narrow"/>
          <w:bCs/>
          <w:sz w:val="24"/>
          <w:szCs w:val="24"/>
        </w:rPr>
      </w:pPr>
      <w:r w:rsidRPr="002E7CCA">
        <w:rPr>
          <w:rFonts w:ascii="Arial Narrow" w:eastAsia="Calibri" w:hAnsi="Arial Narrow"/>
          <w:sz w:val="24"/>
          <w:szCs w:val="24"/>
        </w:rPr>
        <w:t xml:space="preserve">Таблица </w:t>
      </w:r>
      <w:r w:rsidR="00262F71">
        <w:rPr>
          <w:rFonts w:ascii="Arial Narrow" w:eastAsia="Calibri" w:hAnsi="Arial Narrow"/>
          <w:sz w:val="24"/>
          <w:szCs w:val="24"/>
        </w:rPr>
        <w:t>7.2.</w:t>
      </w:r>
      <w:r w:rsidRPr="002E7CCA">
        <w:rPr>
          <w:rFonts w:ascii="Arial Narrow" w:hAnsi="Arial Narrow"/>
          <w:bCs/>
          <w:sz w:val="24"/>
          <w:szCs w:val="24"/>
        </w:rPr>
        <w:t xml:space="preserve"> – </w:t>
      </w:r>
      <w:r w:rsidRPr="002E7CCA">
        <w:rPr>
          <w:rFonts w:ascii="Arial Narrow" w:hAnsi="Arial Narrow"/>
          <w:b/>
          <w:bCs/>
          <w:sz w:val="24"/>
          <w:szCs w:val="24"/>
        </w:rPr>
        <w:t>Продуктовые границы социально значимых и приоритетных рынков</w:t>
      </w:r>
    </w:p>
    <w:tbl>
      <w:tblPr>
        <w:tblW w:w="1006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578"/>
        <w:gridCol w:w="7786"/>
        <w:gridCol w:w="1701"/>
      </w:tblGrid>
      <w:tr w:rsidR="00A64028" w:rsidRPr="00455C1E" w:rsidTr="00A96FB4">
        <w:trPr>
          <w:trHeight w:val="408"/>
          <w:tblHeader/>
        </w:trPr>
        <w:tc>
          <w:tcPr>
            <w:tcW w:w="578" w:type="dxa"/>
            <w:shd w:val="clear" w:color="auto" w:fill="auto"/>
            <w:noWrap/>
            <w:vAlign w:val="center"/>
            <w:hideMark/>
          </w:tcPr>
          <w:p w:rsidR="00A64028" w:rsidRPr="00455C1E" w:rsidRDefault="00A64028" w:rsidP="00103148">
            <w:pPr>
              <w:spacing w:after="0"/>
              <w:jc w:val="center"/>
              <w:rPr>
                <w:rFonts w:ascii="Arial Narrow" w:hAnsi="Arial Narrow"/>
                <w:sz w:val="20"/>
                <w:szCs w:val="20"/>
              </w:rPr>
            </w:pPr>
            <w:r w:rsidRPr="00455C1E">
              <w:rPr>
                <w:rFonts w:ascii="Arial Narrow" w:hAnsi="Arial Narrow"/>
                <w:sz w:val="20"/>
                <w:szCs w:val="20"/>
              </w:rPr>
              <w:t>№</w:t>
            </w:r>
          </w:p>
        </w:tc>
        <w:tc>
          <w:tcPr>
            <w:tcW w:w="7786" w:type="dxa"/>
            <w:shd w:val="clear" w:color="auto" w:fill="auto"/>
            <w:noWrap/>
            <w:vAlign w:val="center"/>
            <w:hideMark/>
          </w:tcPr>
          <w:p w:rsidR="00A64028" w:rsidRPr="00455C1E" w:rsidRDefault="00A64028" w:rsidP="00A96FB4">
            <w:pPr>
              <w:spacing w:after="0"/>
              <w:jc w:val="center"/>
              <w:rPr>
                <w:rFonts w:ascii="Arial Narrow" w:hAnsi="Arial Narrow"/>
                <w:sz w:val="20"/>
                <w:szCs w:val="20"/>
              </w:rPr>
            </w:pPr>
            <w:r w:rsidRPr="00455C1E">
              <w:rPr>
                <w:rFonts w:ascii="Arial Narrow" w:hAnsi="Arial Narrow"/>
                <w:sz w:val="20"/>
                <w:szCs w:val="20"/>
              </w:rPr>
              <w:t>Наименование рынков и продуктовых границ, согласно ОКВЭД</w:t>
            </w:r>
          </w:p>
        </w:tc>
        <w:tc>
          <w:tcPr>
            <w:tcW w:w="1701" w:type="dxa"/>
          </w:tcPr>
          <w:p w:rsidR="00A64028" w:rsidRPr="00455C1E" w:rsidRDefault="00A64028" w:rsidP="00103148">
            <w:pPr>
              <w:spacing w:after="0"/>
              <w:jc w:val="center"/>
              <w:rPr>
                <w:rFonts w:ascii="Arial Narrow" w:hAnsi="Arial Narrow"/>
                <w:sz w:val="20"/>
                <w:szCs w:val="20"/>
              </w:rPr>
            </w:pPr>
            <w:r w:rsidRPr="00455C1E">
              <w:rPr>
                <w:rFonts w:ascii="Arial Narrow" w:hAnsi="Arial Narrow"/>
                <w:sz w:val="20"/>
                <w:szCs w:val="20"/>
              </w:rPr>
              <w:t>Географические границы рынков</w:t>
            </w:r>
          </w:p>
        </w:tc>
      </w:tr>
      <w:tr w:rsidR="00A64028" w:rsidRPr="00455C1E" w:rsidTr="00A96FB4">
        <w:tc>
          <w:tcPr>
            <w:tcW w:w="8364" w:type="dxa"/>
            <w:gridSpan w:val="2"/>
            <w:shd w:val="clear" w:color="auto" w:fill="auto"/>
            <w:noWrap/>
            <w:vAlign w:val="center"/>
            <w:hideMark/>
          </w:tcPr>
          <w:p w:rsidR="00A64028" w:rsidRPr="00455C1E" w:rsidRDefault="00A64028" w:rsidP="00103148">
            <w:pPr>
              <w:spacing w:after="0"/>
              <w:rPr>
                <w:rFonts w:ascii="Arial Narrow" w:hAnsi="Arial Narrow"/>
                <w:b/>
                <w:bCs/>
                <w:sz w:val="20"/>
                <w:szCs w:val="20"/>
              </w:rPr>
            </w:pPr>
            <w:r w:rsidRPr="00455C1E">
              <w:rPr>
                <w:rFonts w:ascii="Arial Narrow" w:hAnsi="Arial Narrow"/>
                <w:b/>
                <w:bCs/>
                <w:sz w:val="20"/>
                <w:szCs w:val="20"/>
              </w:rPr>
              <w:t>Социально значимые рынки</w:t>
            </w:r>
          </w:p>
        </w:tc>
        <w:tc>
          <w:tcPr>
            <w:tcW w:w="1701" w:type="dxa"/>
            <w:vMerge w:val="restart"/>
          </w:tcPr>
          <w:p w:rsidR="00A64028" w:rsidRPr="00455C1E" w:rsidRDefault="00A64028" w:rsidP="00103148">
            <w:pPr>
              <w:spacing w:after="0"/>
              <w:jc w:val="center"/>
              <w:rPr>
                <w:rFonts w:ascii="Arial Narrow" w:hAnsi="Arial Narrow"/>
                <w:b/>
                <w:bCs/>
                <w:sz w:val="20"/>
                <w:szCs w:val="20"/>
              </w:rPr>
            </w:pPr>
            <w:r w:rsidRPr="00455C1E">
              <w:rPr>
                <w:rFonts w:ascii="Arial Narrow" w:hAnsi="Arial Narrow"/>
                <w:b/>
                <w:bCs/>
                <w:sz w:val="20"/>
                <w:szCs w:val="20"/>
              </w:rPr>
              <w:t>35 муниципальных образований Новосибирской области</w:t>
            </w:r>
          </w:p>
        </w:tc>
      </w:tr>
      <w:tr w:rsidR="00A64028" w:rsidRPr="00455C1E" w:rsidTr="00A96FB4">
        <w:tc>
          <w:tcPr>
            <w:tcW w:w="578" w:type="dxa"/>
            <w:vMerge w:val="restart"/>
            <w:shd w:val="clear" w:color="auto" w:fill="auto"/>
            <w:noWrap/>
            <w:vAlign w:val="center"/>
            <w:hideMark/>
          </w:tcPr>
          <w:p w:rsidR="00A64028" w:rsidRPr="00455C1E" w:rsidRDefault="00A64028" w:rsidP="00103148">
            <w:pPr>
              <w:spacing w:after="0"/>
              <w:jc w:val="center"/>
              <w:rPr>
                <w:rFonts w:ascii="Arial Narrow" w:hAnsi="Arial Narrow"/>
                <w:sz w:val="20"/>
                <w:szCs w:val="20"/>
              </w:rPr>
            </w:pPr>
            <w:r w:rsidRPr="00455C1E">
              <w:rPr>
                <w:rFonts w:ascii="Arial Narrow" w:hAnsi="Arial Narrow"/>
                <w:sz w:val="20"/>
                <w:szCs w:val="20"/>
              </w:rPr>
              <w:t>1</w:t>
            </w:r>
          </w:p>
        </w:tc>
        <w:tc>
          <w:tcPr>
            <w:tcW w:w="7786" w:type="dxa"/>
            <w:shd w:val="clear" w:color="auto" w:fill="auto"/>
            <w:noWrap/>
            <w:vAlign w:val="center"/>
            <w:hideMark/>
          </w:tcPr>
          <w:p w:rsidR="00A64028" w:rsidRPr="00455C1E" w:rsidRDefault="00A64028" w:rsidP="00A96FB4">
            <w:pPr>
              <w:spacing w:after="0"/>
              <w:ind w:left="131"/>
              <w:rPr>
                <w:rFonts w:ascii="Arial Narrow" w:hAnsi="Arial Narrow"/>
                <w:sz w:val="20"/>
                <w:szCs w:val="20"/>
              </w:rPr>
            </w:pPr>
            <w:r w:rsidRPr="00455C1E">
              <w:rPr>
                <w:rFonts w:ascii="Arial Narrow" w:hAnsi="Arial Narrow"/>
                <w:sz w:val="20"/>
                <w:szCs w:val="20"/>
              </w:rPr>
              <w:t>Рынок услуг дошкольного образования</w:t>
            </w:r>
          </w:p>
        </w:tc>
        <w:tc>
          <w:tcPr>
            <w:tcW w:w="1701" w:type="dxa"/>
            <w:vMerge/>
          </w:tcPr>
          <w:p w:rsidR="00A64028" w:rsidRPr="00455C1E" w:rsidRDefault="00A64028" w:rsidP="00103148">
            <w:pPr>
              <w:spacing w:after="0"/>
              <w:jc w:val="center"/>
              <w:rPr>
                <w:rFonts w:ascii="Arial Narrow" w:hAnsi="Arial Narrow"/>
                <w:sz w:val="20"/>
                <w:szCs w:val="20"/>
              </w:rPr>
            </w:pPr>
          </w:p>
        </w:tc>
      </w:tr>
      <w:tr w:rsidR="00A64028" w:rsidRPr="00455C1E" w:rsidTr="00A96FB4">
        <w:tc>
          <w:tcPr>
            <w:tcW w:w="578" w:type="dxa"/>
            <w:vMerge/>
            <w:shd w:val="clear" w:color="auto" w:fill="auto"/>
            <w:vAlign w:val="center"/>
            <w:hideMark/>
          </w:tcPr>
          <w:p w:rsidR="00A64028" w:rsidRPr="00455C1E" w:rsidRDefault="00A64028" w:rsidP="00103148">
            <w:pPr>
              <w:spacing w:after="0"/>
              <w:rPr>
                <w:rFonts w:ascii="Arial Narrow" w:hAnsi="Arial Narrow"/>
                <w:sz w:val="20"/>
                <w:szCs w:val="20"/>
              </w:rPr>
            </w:pPr>
          </w:p>
        </w:tc>
        <w:tc>
          <w:tcPr>
            <w:tcW w:w="7786" w:type="dxa"/>
            <w:shd w:val="clear" w:color="auto" w:fill="auto"/>
            <w:noWrap/>
            <w:vAlign w:val="center"/>
            <w:hideMark/>
          </w:tcPr>
          <w:p w:rsidR="00A64028" w:rsidRPr="00455C1E" w:rsidRDefault="00A64028" w:rsidP="00A96FB4">
            <w:pPr>
              <w:spacing w:after="0"/>
              <w:ind w:left="131"/>
              <w:rPr>
                <w:rFonts w:ascii="Arial Narrow" w:hAnsi="Arial Narrow"/>
                <w:sz w:val="20"/>
                <w:szCs w:val="20"/>
              </w:rPr>
            </w:pPr>
            <w:r w:rsidRPr="00455C1E">
              <w:rPr>
                <w:rFonts w:ascii="Arial Narrow" w:hAnsi="Arial Narrow"/>
                <w:sz w:val="20"/>
                <w:szCs w:val="20"/>
              </w:rPr>
              <w:t>85.11 – Услуги в области дошкольного образования</w:t>
            </w:r>
          </w:p>
        </w:tc>
        <w:tc>
          <w:tcPr>
            <w:tcW w:w="1701" w:type="dxa"/>
            <w:vMerge/>
          </w:tcPr>
          <w:p w:rsidR="00A64028" w:rsidRPr="00455C1E" w:rsidRDefault="00A64028" w:rsidP="00103148">
            <w:pPr>
              <w:spacing w:after="0"/>
              <w:jc w:val="center"/>
              <w:rPr>
                <w:rFonts w:ascii="Arial Narrow" w:hAnsi="Arial Narrow"/>
                <w:sz w:val="20"/>
                <w:szCs w:val="20"/>
              </w:rPr>
            </w:pPr>
          </w:p>
        </w:tc>
      </w:tr>
      <w:tr w:rsidR="00A64028" w:rsidRPr="00455C1E" w:rsidTr="00A96FB4">
        <w:tc>
          <w:tcPr>
            <w:tcW w:w="578" w:type="dxa"/>
            <w:vMerge/>
            <w:shd w:val="clear" w:color="auto" w:fill="auto"/>
            <w:vAlign w:val="center"/>
            <w:hideMark/>
          </w:tcPr>
          <w:p w:rsidR="00A64028" w:rsidRPr="00455C1E" w:rsidRDefault="00A64028" w:rsidP="00103148">
            <w:pPr>
              <w:spacing w:after="0"/>
              <w:rPr>
                <w:rFonts w:ascii="Arial Narrow" w:hAnsi="Arial Narrow"/>
                <w:sz w:val="20"/>
                <w:szCs w:val="20"/>
              </w:rPr>
            </w:pPr>
          </w:p>
        </w:tc>
        <w:tc>
          <w:tcPr>
            <w:tcW w:w="7786" w:type="dxa"/>
            <w:shd w:val="clear" w:color="auto" w:fill="auto"/>
            <w:noWrap/>
            <w:vAlign w:val="center"/>
            <w:hideMark/>
          </w:tcPr>
          <w:p w:rsidR="00A64028" w:rsidRPr="00455C1E" w:rsidRDefault="00A64028" w:rsidP="00A96FB4">
            <w:pPr>
              <w:spacing w:after="0"/>
              <w:ind w:left="131"/>
              <w:rPr>
                <w:rFonts w:ascii="Arial Narrow" w:hAnsi="Arial Narrow"/>
                <w:sz w:val="20"/>
                <w:szCs w:val="20"/>
              </w:rPr>
            </w:pPr>
            <w:r w:rsidRPr="00455C1E">
              <w:rPr>
                <w:rFonts w:ascii="Arial Narrow" w:hAnsi="Arial Narrow"/>
                <w:sz w:val="20"/>
                <w:szCs w:val="20"/>
              </w:rPr>
              <w:t>88.91. – Услуги по дневному уходу за детьми, кроме дневного ухода за детьми с физическими или умственными недостатками</w:t>
            </w:r>
          </w:p>
        </w:tc>
        <w:tc>
          <w:tcPr>
            <w:tcW w:w="1701" w:type="dxa"/>
            <w:vMerge/>
          </w:tcPr>
          <w:p w:rsidR="00A64028" w:rsidRPr="00455C1E" w:rsidRDefault="00A64028" w:rsidP="00103148">
            <w:pPr>
              <w:spacing w:after="0"/>
              <w:jc w:val="center"/>
              <w:rPr>
                <w:rFonts w:ascii="Arial Narrow" w:hAnsi="Arial Narrow"/>
                <w:sz w:val="20"/>
                <w:szCs w:val="20"/>
              </w:rPr>
            </w:pPr>
          </w:p>
        </w:tc>
      </w:tr>
      <w:tr w:rsidR="00A64028" w:rsidRPr="00455C1E" w:rsidTr="00A96FB4">
        <w:tc>
          <w:tcPr>
            <w:tcW w:w="578" w:type="dxa"/>
            <w:vMerge w:val="restart"/>
            <w:shd w:val="clear" w:color="auto" w:fill="auto"/>
            <w:noWrap/>
            <w:vAlign w:val="center"/>
            <w:hideMark/>
          </w:tcPr>
          <w:p w:rsidR="00A64028" w:rsidRPr="00455C1E" w:rsidRDefault="00A64028" w:rsidP="00103148">
            <w:pPr>
              <w:spacing w:after="0"/>
              <w:jc w:val="center"/>
              <w:rPr>
                <w:rFonts w:ascii="Arial Narrow" w:hAnsi="Arial Narrow"/>
                <w:sz w:val="20"/>
                <w:szCs w:val="20"/>
              </w:rPr>
            </w:pPr>
            <w:r w:rsidRPr="00455C1E">
              <w:rPr>
                <w:rFonts w:ascii="Arial Narrow" w:hAnsi="Arial Narrow"/>
                <w:sz w:val="20"/>
                <w:szCs w:val="20"/>
              </w:rPr>
              <w:t>2</w:t>
            </w:r>
          </w:p>
        </w:tc>
        <w:tc>
          <w:tcPr>
            <w:tcW w:w="7786" w:type="dxa"/>
            <w:shd w:val="clear" w:color="auto" w:fill="auto"/>
            <w:noWrap/>
            <w:vAlign w:val="center"/>
            <w:hideMark/>
          </w:tcPr>
          <w:p w:rsidR="00A64028" w:rsidRPr="00455C1E" w:rsidRDefault="00A64028" w:rsidP="00A96FB4">
            <w:pPr>
              <w:spacing w:after="0"/>
              <w:ind w:left="131"/>
              <w:rPr>
                <w:rFonts w:ascii="Arial Narrow" w:hAnsi="Arial Narrow"/>
                <w:sz w:val="20"/>
                <w:szCs w:val="20"/>
              </w:rPr>
            </w:pPr>
            <w:r w:rsidRPr="00455C1E">
              <w:rPr>
                <w:rFonts w:ascii="Arial Narrow" w:hAnsi="Arial Narrow"/>
                <w:sz w:val="20"/>
                <w:szCs w:val="20"/>
              </w:rPr>
              <w:t>Рынок услуг детского отдыха и оздоровления</w:t>
            </w:r>
          </w:p>
        </w:tc>
        <w:tc>
          <w:tcPr>
            <w:tcW w:w="1701" w:type="dxa"/>
            <w:vMerge/>
          </w:tcPr>
          <w:p w:rsidR="00A64028" w:rsidRPr="00455C1E" w:rsidRDefault="00A64028" w:rsidP="00103148">
            <w:pPr>
              <w:spacing w:after="0"/>
              <w:jc w:val="center"/>
              <w:rPr>
                <w:rFonts w:ascii="Arial Narrow" w:hAnsi="Arial Narrow"/>
                <w:sz w:val="20"/>
                <w:szCs w:val="20"/>
              </w:rPr>
            </w:pPr>
          </w:p>
        </w:tc>
      </w:tr>
      <w:tr w:rsidR="00A64028" w:rsidRPr="00455C1E" w:rsidTr="00A96FB4">
        <w:tc>
          <w:tcPr>
            <w:tcW w:w="578" w:type="dxa"/>
            <w:vMerge/>
            <w:shd w:val="clear" w:color="auto" w:fill="auto"/>
            <w:vAlign w:val="center"/>
            <w:hideMark/>
          </w:tcPr>
          <w:p w:rsidR="00A64028" w:rsidRPr="00455C1E" w:rsidRDefault="00A64028" w:rsidP="00103148">
            <w:pPr>
              <w:spacing w:after="0"/>
              <w:rPr>
                <w:rFonts w:ascii="Arial Narrow" w:hAnsi="Arial Narrow"/>
                <w:sz w:val="20"/>
                <w:szCs w:val="20"/>
              </w:rPr>
            </w:pPr>
          </w:p>
        </w:tc>
        <w:tc>
          <w:tcPr>
            <w:tcW w:w="7786" w:type="dxa"/>
            <w:shd w:val="clear" w:color="auto" w:fill="auto"/>
            <w:noWrap/>
            <w:vAlign w:val="center"/>
            <w:hideMark/>
          </w:tcPr>
          <w:p w:rsidR="00A64028" w:rsidRPr="00455C1E" w:rsidRDefault="00A64028" w:rsidP="00A96FB4">
            <w:pPr>
              <w:spacing w:after="0"/>
              <w:ind w:left="131"/>
              <w:rPr>
                <w:rFonts w:ascii="Arial Narrow" w:hAnsi="Arial Narrow"/>
                <w:sz w:val="20"/>
                <w:szCs w:val="20"/>
              </w:rPr>
            </w:pPr>
            <w:r w:rsidRPr="00455C1E">
              <w:rPr>
                <w:rFonts w:ascii="Arial Narrow" w:hAnsi="Arial Narrow"/>
                <w:sz w:val="20"/>
                <w:szCs w:val="20"/>
              </w:rPr>
              <w:t>86.90.4 – Деятельность санаторно-курортных организаций</w:t>
            </w:r>
          </w:p>
        </w:tc>
        <w:tc>
          <w:tcPr>
            <w:tcW w:w="1701" w:type="dxa"/>
            <w:vMerge/>
          </w:tcPr>
          <w:p w:rsidR="00A64028" w:rsidRPr="00455C1E" w:rsidRDefault="00A64028" w:rsidP="00103148">
            <w:pPr>
              <w:spacing w:after="0"/>
              <w:jc w:val="center"/>
              <w:rPr>
                <w:rFonts w:ascii="Arial Narrow" w:hAnsi="Arial Narrow"/>
                <w:sz w:val="20"/>
                <w:szCs w:val="20"/>
              </w:rPr>
            </w:pPr>
          </w:p>
        </w:tc>
      </w:tr>
      <w:tr w:rsidR="00A64028" w:rsidRPr="00455C1E" w:rsidTr="00A96FB4">
        <w:tc>
          <w:tcPr>
            <w:tcW w:w="578" w:type="dxa"/>
            <w:vMerge w:val="restart"/>
            <w:shd w:val="clear" w:color="auto" w:fill="auto"/>
            <w:noWrap/>
            <w:vAlign w:val="center"/>
            <w:hideMark/>
          </w:tcPr>
          <w:p w:rsidR="00A64028" w:rsidRPr="00455C1E" w:rsidRDefault="00A64028" w:rsidP="00103148">
            <w:pPr>
              <w:spacing w:after="0"/>
              <w:jc w:val="center"/>
              <w:rPr>
                <w:rFonts w:ascii="Arial Narrow" w:hAnsi="Arial Narrow"/>
                <w:sz w:val="20"/>
                <w:szCs w:val="20"/>
              </w:rPr>
            </w:pPr>
            <w:r w:rsidRPr="00455C1E">
              <w:rPr>
                <w:rFonts w:ascii="Arial Narrow" w:hAnsi="Arial Narrow"/>
                <w:sz w:val="20"/>
                <w:szCs w:val="20"/>
              </w:rPr>
              <w:t>3</w:t>
            </w:r>
          </w:p>
        </w:tc>
        <w:tc>
          <w:tcPr>
            <w:tcW w:w="7786" w:type="dxa"/>
            <w:shd w:val="clear" w:color="auto" w:fill="auto"/>
            <w:noWrap/>
            <w:vAlign w:val="center"/>
            <w:hideMark/>
          </w:tcPr>
          <w:p w:rsidR="00A64028" w:rsidRPr="00455C1E" w:rsidRDefault="00A64028" w:rsidP="00A96FB4">
            <w:pPr>
              <w:spacing w:after="0"/>
              <w:ind w:left="131"/>
              <w:rPr>
                <w:rFonts w:ascii="Arial Narrow" w:hAnsi="Arial Narrow"/>
                <w:sz w:val="20"/>
                <w:szCs w:val="20"/>
              </w:rPr>
            </w:pPr>
            <w:r w:rsidRPr="00455C1E">
              <w:rPr>
                <w:rFonts w:ascii="Arial Narrow" w:hAnsi="Arial Narrow"/>
                <w:sz w:val="20"/>
                <w:szCs w:val="20"/>
              </w:rPr>
              <w:t>Рынок услуг дополнительного образования детей</w:t>
            </w:r>
          </w:p>
        </w:tc>
        <w:tc>
          <w:tcPr>
            <w:tcW w:w="1701" w:type="dxa"/>
            <w:vMerge/>
          </w:tcPr>
          <w:p w:rsidR="00A64028" w:rsidRPr="00455C1E" w:rsidRDefault="00A64028" w:rsidP="00103148">
            <w:pPr>
              <w:spacing w:after="0"/>
              <w:jc w:val="center"/>
              <w:rPr>
                <w:rFonts w:ascii="Arial Narrow" w:hAnsi="Arial Narrow"/>
                <w:sz w:val="20"/>
                <w:szCs w:val="20"/>
              </w:rPr>
            </w:pPr>
          </w:p>
        </w:tc>
      </w:tr>
      <w:tr w:rsidR="00A64028" w:rsidRPr="00455C1E" w:rsidTr="00A96FB4">
        <w:tc>
          <w:tcPr>
            <w:tcW w:w="578" w:type="dxa"/>
            <w:vMerge/>
            <w:shd w:val="clear" w:color="auto" w:fill="auto"/>
            <w:vAlign w:val="center"/>
            <w:hideMark/>
          </w:tcPr>
          <w:p w:rsidR="00A64028" w:rsidRPr="00455C1E" w:rsidRDefault="00A64028" w:rsidP="00103148">
            <w:pPr>
              <w:spacing w:after="0"/>
              <w:rPr>
                <w:rFonts w:ascii="Arial Narrow" w:hAnsi="Arial Narrow"/>
                <w:sz w:val="20"/>
                <w:szCs w:val="20"/>
              </w:rPr>
            </w:pPr>
          </w:p>
        </w:tc>
        <w:tc>
          <w:tcPr>
            <w:tcW w:w="7786" w:type="dxa"/>
            <w:shd w:val="clear" w:color="auto" w:fill="auto"/>
            <w:noWrap/>
            <w:vAlign w:val="center"/>
            <w:hideMark/>
          </w:tcPr>
          <w:p w:rsidR="00A64028" w:rsidRPr="00455C1E" w:rsidRDefault="00A64028" w:rsidP="00A96FB4">
            <w:pPr>
              <w:spacing w:after="0"/>
              <w:ind w:left="131"/>
              <w:rPr>
                <w:rFonts w:ascii="Arial Narrow" w:hAnsi="Arial Narrow"/>
                <w:sz w:val="20"/>
                <w:szCs w:val="20"/>
              </w:rPr>
            </w:pPr>
            <w:r w:rsidRPr="00455C1E">
              <w:rPr>
                <w:rFonts w:ascii="Arial Narrow" w:hAnsi="Arial Narrow"/>
                <w:sz w:val="20"/>
                <w:szCs w:val="20"/>
              </w:rPr>
              <w:t>85.41 – Образование дополнительное детей и взрослых</w:t>
            </w:r>
          </w:p>
        </w:tc>
        <w:tc>
          <w:tcPr>
            <w:tcW w:w="1701" w:type="dxa"/>
            <w:vMerge/>
          </w:tcPr>
          <w:p w:rsidR="00A64028" w:rsidRPr="00455C1E" w:rsidRDefault="00A64028" w:rsidP="00103148">
            <w:pPr>
              <w:spacing w:after="0"/>
              <w:jc w:val="center"/>
              <w:rPr>
                <w:rFonts w:ascii="Arial Narrow" w:hAnsi="Arial Narrow"/>
                <w:sz w:val="20"/>
                <w:szCs w:val="20"/>
              </w:rPr>
            </w:pPr>
          </w:p>
        </w:tc>
      </w:tr>
      <w:tr w:rsidR="00A64028" w:rsidRPr="00455C1E" w:rsidTr="00A96FB4">
        <w:tc>
          <w:tcPr>
            <w:tcW w:w="578" w:type="dxa"/>
            <w:vMerge w:val="restart"/>
            <w:shd w:val="clear" w:color="auto" w:fill="auto"/>
            <w:noWrap/>
            <w:vAlign w:val="center"/>
            <w:hideMark/>
          </w:tcPr>
          <w:p w:rsidR="00A64028" w:rsidRPr="00455C1E" w:rsidRDefault="00A64028" w:rsidP="00103148">
            <w:pPr>
              <w:spacing w:after="0"/>
              <w:jc w:val="center"/>
              <w:rPr>
                <w:rFonts w:ascii="Arial Narrow" w:hAnsi="Arial Narrow"/>
                <w:sz w:val="20"/>
                <w:szCs w:val="20"/>
              </w:rPr>
            </w:pPr>
            <w:r w:rsidRPr="00455C1E">
              <w:rPr>
                <w:rFonts w:ascii="Arial Narrow" w:hAnsi="Arial Narrow"/>
                <w:sz w:val="20"/>
                <w:szCs w:val="20"/>
              </w:rPr>
              <w:t>4</w:t>
            </w:r>
          </w:p>
        </w:tc>
        <w:tc>
          <w:tcPr>
            <w:tcW w:w="7786" w:type="dxa"/>
            <w:shd w:val="clear" w:color="auto" w:fill="auto"/>
            <w:noWrap/>
            <w:vAlign w:val="center"/>
            <w:hideMark/>
          </w:tcPr>
          <w:p w:rsidR="00A64028" w:rsidRPr="00455C1E" w:rsidRDefault="00A64028" w:rsidP="00A96FB4">
            <w:pPr>
              <w:spacing w:after="0"/>
              <w:ind w:left="131"/>
              <w:rPr>
                <w:rFonts w:ascii="Arial Narrow" w:hAnsi="Arial Narrow"/>
                <w:sz w:val="20"/>
                <w:szCs w:val="20"/>
              </w:rPr>
            </w:pPr>
            <w:r w:rsidRPr="00455C1E">
              <w:rPr>
                <w:rFonts w:ascii="Arial Narrow" w:hAnsi="Arial Narrow"/>
                <w:sz w:val="20"/>
                <w:szCs w:val="20"/>
              </w:rPr>
              <w:t>Рынок медицинских услуг</w:t>
            </w:r>
          </w:p>
        </w:tc>
        <w:tc>
          <w:tcPr>
            <w:tcW w:w="1701" w:type="dxa"/>
            <w:vMerge/>
          </w:tcPr>
          <w:p w:rsidR="00A64028" w:rsidRPr="00455C1E" w:rsidRDefault="00A64028" w:rsidP="00103148">
            <w:pPr>
              <w:spacing w:after="0"/>
              <w:jc w:val="center"/>
              <w:rPr>
                <w:rFonts w:ascii="Arial Narrow" w:hAnsi="Arial Narrow"/>
                <w:sz w:val="20"/>
                <w:szCs w:val="20"/>
              </w:rPr>
            </w:pPr>
          </w:p>
        </w:tc>
      </w:tr>
      <w:tr w:rsidR="00A64028" w:rsidRPr="00455C1E" w:rsidTr="00A96FB4">
        <w:tc>
          <w:tcPr>
            <w:tcW w:w="578" w:type="dxa"/>
            <w:vMerge/>
            <w:shd w:val="clear" w:color="auto" w:fill="auto"/>
            <w:vAlign w:val="center"/>
            <w:hideMark/>
          </w:tcPr>
          <w:p w:rsidR="00A64028" w:rsidRPr="00455C1E" w:rsidRDefault="00A64028" w:rsidP="00103148">
            <w:pPr>
              <w:spacing w:after="0"/>
              <w:rPr>
                <w:rFonts w:ascii="Arial Narrow" w:hAnsi="Arial Narrow"/>
                <w:sz w:val="20"/>
                <w:szCs w:val="20"/>
              </w:rPr>
            </w:pPr>
          </w:p>
        </w:tc>
        <w:tc>
          <w:tcPr>
            <w:tcW w:w="7786" w:type="dxa"/>
            <w:shd w:val="clear" w:color="auto" w:fill="auto"/>
            <w:noWrap/>
            <w:vAlign w:val="center"/>
            <w:hideMark/>
          </w:tcPr>
          <w:p w:rsidR="00A64028" w:rsidRPr="00455C1E" w:rsidRDefault="00A64028" w:rsidP="00A96FB4">
            <w:pPr>
              <w:spacing w:after="0"/>
              <w:ind w:left="131"/>
              <w:rPr>
                <w:rFonts w:ascii="Arial Narrow" w:hAnsi="Arial Narrow"/>
                <w:sz w:val="20"/>
                <w:szCs w:val="20"/>
              </w:rPr>
            </w:pPr>
            <w:r w:rsidRPr="00455C1E">
              <w:rPr>
                <w:rFonts w:ascii="Arial Narrow" w:hAnsi="Arial Narrow"/>
                <w:sz w:val="20"/>
                <w:szCs w:val="20"/>
              </w:rPr>
              <w:t>86 – Деятельность в области здравоохранения</w:t>
            </w:r>
          </w:p>
        </w:tc>
        <w:tc>
          <w:tcPr>
            <w:tcW w:w="1701" w:type="dxa"/>
            <w:vMerge/>
          </w:tcPr>
          <w:p w:rsidR="00A64028" w:rsidRPr="00455C1E" w:rsidRDefault="00A64028" w:rsidP="00103148">
            <w:pPr>
              <w:spacing w:after="0"/>
              <w:jc w:val="center"/>
              <w:rPr>
                <w:rFonts w:ascii="Arial Narrow" w:hAnsi="Arial Narrow"/>
                <w:sz w:val="20"/>
                <w:szCs w:val="20"/>
              </w:rPr>
            </w:pPr>
          </w:p>
        </w:tc>
      </w:tr>
      <w:tr w:rsidR="00A64028" w:rsidRPr="00455C1E" w:rsidTr="00A96FB4">
        <w:tc>
          <w:tcPr>
            <w:tcW w:w="578" w:type="dxa"/>
            <w:vMerge w:val="restart"/>
            <w:shd w:val="clear" w:color="auto" w:fill="auto"/>
            <w:noWrap/>
            <w:vAlign w:val="center"/>
            <w:hideMark/>
          </w:tcPr>
          <w:p w:rsidR="00A64028" w:rsidRPr="00455C1E" w:rsidRDefault="00A64028" w:rsidP="00103148">
            <w:pPr>
              <w:spacing w:after="0"/>
              <w:jc w:val="center"/>
              <w:rPr>
                <w:rFonts w:ascii="Arial Narrow" w:hAnsi="Arial Narrow"/>
                <w:sz w:val="20"/>
                <w:szCs w:val="20"/>
              </w:rPr>
            </w:pPr>
            <w:r w:rsidRPr="00455C1E">
              <w:rPr>
                <w:rFonts w:ascii="Arial Narrow" w:hAnsi="Arial Narrow"/>
                <w:sz w:val="20"/>
                <w:szCs w:val="20"/>
              </w:rPr>
              <w:t>5</w:t>
            </w:r>
          </w:p>
        </w:tc>
        <w:tc>
          <w:tcPr>
            <w:tcW w:w="7786" w:type="dxa"/>
            <w:shd w:val="clear" w:color="auto" w:fill="auto"/>
            <w:noWrap/>
            <w:vAlign w:val="center"/>
            <w:hideMark/>
          </w:tcPr>
          <w:p w:rsidR="00A64028" w:rsidRPr="00455C1E" w:rsidRDefault="00A64028" w:rsidP="00A96FB4">
            <w:pPr>
              <w:spacing w:after="0"/>
              <w:ind w:left="131"/>
              <w:rPr>
                <w:rFonts w:ascii="Arial Narrow" w:hAnsi="Arial Narrow"/>
                <w:sz w:val="20"/>
                <w:szCs w:val="20"/>
              </w:rPr>
            </w:pPr>
            <w:r w:rsidRPr="00455C1E">
              <w:rPr>
                <w:rFonts w:ascii="Arial Narrow" w:hAnsi="Arial Narrow"/>
                <w:sz w:val="20"/>
                <w:szCs w:val="20"/>
              </w:rPr>
              <w:t>Рынок услуг психолого-педагогического сопровождения детей с ограниченными возможностями здоровья</w:t>
            </w:r>
          </w:p>
        </w:tc>
        <w:tc>
          <w:tcPr>
            <w:tcW w:w="1701" w:type="dxa"/>
            <w:vMerge/>
          </w:tcPr>
          <w:p w:rsidR="00A64028" w:rsidRPr="00455C1E" w:rsidRDefault="00A64028" w:rsidP="00103148">
            <w:pPr>
              <w:spacing w:after="0"/>
              <w:jc w:val="center"/>
              <w:rPr>
                <w:rFonts w:ascii="Arial Narrow" w:hAnsi="Arial Narrow"/>
                <w:sz w:val="20"/>
                <w:szCs w:val="20"/>
              </w:rPr>
            </w:pPr>
          </w:p>
        </w:tc>
      </w:tr>
      <w:tr w:rsidR="00A64028" w:rsidRPr="00455C1E" w:rsidTr="00A96FB4">
        <w:tc>
          <w:tcPr>
            <w:tcW w:w="578" w:type="dxa"/>
            <w:vMerge/>
            <w:shd w:val="clear" w:color="auto" w:fill="auto"/>
            <w:vAlign w:val="center"/>
            <w:hideMark/>
          </w:tcPr>
          <w:p w:rsidR="00A64028" w:rsidRPr="00455C1E" w:rsidRDefault="00A64028" w:rsidP="00103148">
            <w:pPr>
              <w:spacing w:after="0"/>
              <w:rPr>
                <w:rFonts w:ascii="Arial Narrow" w:hAnsi="Arial Narrow"/>
                <w:sz w:val="20"/>
                <w:szCs w:val="20"/>
              </w:rPr>
            </w:pPr>
          </w:p>
        </w:tc>
        <w:tc>
          <w:tcPr>
            <w:tcW w:w="7786" w:type="dxa"/>
            <w:shd w:val="clear" w:color="auto" w:fill="auto"/>
            <w:noWrap/>
            <w:vAlign w:val="center"/>
            <w:hideMark/>
          </w:tcPr>
          <w:p w:rsidR="00A64028" w:rsidRPr="00455C1E" w:rsidRDefault="00A64028" w:rsidP="00A96FB4">
            <w:pPr>
              <w:spacing w:after="0"/>
              <w:ind w:left="131"/>
              <w:rPr>
                <w:rFonts w:ascii="Arial Narrow" w:hAnsi="Arial Narrow"/>
                <w:sz w:val="20"/>
                <w:szCs w:val="20"/>
              </w:rPr>
            </w:pPr>
            <w:r w:rsidRPr="00455C1E">
              <w:rPr>
                <w:rFonts w:ascii="Arial Narrow" w:hAnsi="Arial Narrow"/>
                <w:sz w:val="20"/>
                <w:szCs w:val="20"/>
              </w:rPr>
              <w:t>86.90.9 – Деятельность в области медицины прочая, не включенная в другие группировки</w:t>
            </w:r>
          </w:p>
        </w:tc>
        <w:tc>
          <w:tcPr>
            <w:tcW w:w="1701" w:type="dxa"/>
            <w:vMerge/>
          </w:tcPr>
          <w:p w:rsidR="00A64028" w:rsidRPr="00455C1E" w:rsidRDefault="00A64028" w:rsidP="00103148">
            <w:pPr>
              <w:spacing w:after="0"/>
              <w:jc w:val="center"/>
              <w:rPr>
                <w:rFonts w:ascii="Arial Narrow" w:hAnsi="Arial Narrow"/>
                <w:sz w:val="20"/>
                <w:szCs w:val="20"/>
              </w:rPr>
            </w:pPr>
          </w:p>
        </w:tc>
      </w:tr>
      <w:tr w:rsidR="00A64028" w:rsidRPr="00455C1E" w:rsidTr="00A96FB4">
        <w:tc>
          <w:tcPr>
            <w:tcW w:w="578" w:type="dxa"/>
            <w:vMerge/>
            <w:shd w:val="clear" w:color="auto" w:fill="auto"/>
            <w:vAlign w:val="center"/>
            <w:hideMark/>
          </w:tcPr>
          <w:p w:rsidR="00A64028" w:rsidRPr="00455C1E" w:rsidRDefault="00A64028" w:rsidP="00103148">
            <w:pPr>
              <w:spacing w:after="0"/>
              <w:rPr>
                <w:rFonts w:ascii="Arial Narrow" w:hAnsi="Arial Narrow"/>
                <w:sz w:val="20"/>
                <w:szCs w:val="20"/>
              </w:rPr>
            </w:pPr>
          </w:p>
        </w:tc>
        <w:tc>
          <w:tcPr>
            <w:tcW w:w="7786" w:type="dxa"/>
            <w:shd w:val="clear" w:color="auto" w:fill="auto"/>
            <w:noWrap/>
            <w:vAlign w:val="center"/>
            <w:hideMark/>
          </w:tcPr>
          <w:p w:rsidR="00A64028" w:rsidRPr="00455C1E" w:rsidRDefault="00A64028" w:rsidP="00A96FB4">
            <w:pPr>
              <w:spacing w:after="0"/>
              <w:ind w:left="131"/>
              <w:rPr>
                <w:rFonts w:ascii="Arial Narrow" w:hAnsi="Arial Narrow"/>
                <w:sz w:val="20"/>
                <w:szCs w:val="20"/>
              </w:rPr>
            </w:pPr>
            <w:r w:rsidRPr="00455C1E">
              <w:rPr>
                <w:rFonts w:ascii="Arial Narrow" w:hAnsi="Arial Narrow"/>
                <w:sz w:val="20"/>
                <w:szCs w:val="20"/>
              </w:rPr>
              <w:t>88.9 – Предоставление прочих социальных услуг без обеспечения проживания</w:t>
            </w:r>
          </w:p>
        </w:tc>
        <w:tc>
          <w:tcPr>
            <w:tcW w:w="1701" w:type="dxa"/>
            <w:vMerge/>
          </w:tcPr>
          <w:p w:rsidR="00A64028" w:rsidRPr="00455C1E" w:rsidRDefault="00A64028" w:rsidP="00103148">
            <w:pPr>
              <w:spacing w:after="0"/>
              <w:jc w:val="center"/>
              <w:rPr>
                <w:rFonts w:ascii="Arial Narrow" w:hAnsi="Arial Narrow"/>
                <w:sz w:val="20"/>
                <w:szCs w:val="20"/>
              </w:rPr>
            </w:pPr>
          </w:p>
        </w:tc>
      </w:tr>
      <w:tr w:rsidR="00A64028" w:rsidRPr="00455C1E" w:rsidTr="00A96FB4">
        <w:tc>
          <w:tcPr>
            <w:tcW w:w="578" w:type="dxa"/>
            <w:vMerge w:val="restart"/>
            <w:shd w:val="clear" w:color="auto" w:fill="auto"/>
            <w:noWrap/>
            <w:vAlign w:val="center"/>
            <w:hideMark/>
          </w:tcPr>
          <w:p w:rsidR="00A64028" w:rsidRPr="00455C1E" w:rsidRDefault="00A64028" w:rsidP="00103148">
            <w:pPr>
              <w:spacing w:after="0"/>
              <w:jc w:val="center"/>
              <w:rPr>
                <w:rFonts w:ascii="Arial Narrow" w:hAnsi="Arial Narrow"/>
                <w:sz w:val="20"/>
                <w:szCs w:val="20"/>
              </w:rPr>
            </w:pPr>
            <w:r w:rsidRPr="00455C1E">
              <w:rPr>
                <w:rFonts w:ascii="Arial Narrow" w:hAnsi="Arial Narrow"/>
                <w:sz w:val="20"/>
                <w:szCs w:val="20"/>
              </w:rPr>
              <w:t>6</w:t>
            </w:r>
          </w:p>
        </w:tc>
        <w:tc>
          <w:tcPr>
            <w:tcW w:w="7786" w:type="dxa"/>
            <w:shd w:val="clear" w:color="auto" w:fill="auto"/>
            <w:noWrap/>
            <w:vAlign w:val="center"/>
            <w:hideMark/>
          </w:tcPr>
          <w:p w:rsidR="00A64028" w:rsidRPr="00455C1E" w:rsidRDefault="00A64028" w:rsidP="00A96FB4">
            <w:pPr>
              <w:spacing w:after="0"/>
              <w:ind w:left="131"/>
              <w:rPr>
                <w:rFonts w:ascii="Arial Narrow" w:hAnsi="Arial Narrow"/>
                <w:sz w:val="20"/>
                <w:szCs w:val="20"/>
              </w:rPr>
            </w:pPr>
            <w:r w:rsidRPr="00455C1E">
              <w:rPr>
                <w:rFonts w:ascii="Arial Narrow" w:hAnsi="Arial Narrow"/>
                <w:sz w:val="20"/>
                <w:szCs w:val="20"/>
              </w:rPr>
              <w:t>Рынок услуг в сфере культуры</w:t>
            </w:r>
          </w:p>
        </w:tc>
        <w:tc>
          <w:tcPr>
            <w:tcW w:w="1701" w:type="dxa"/>
            <w:vMerge/>
          </w:tcPr>
          <w:p w:rsidR="00A64028" w:rsidRPr="00455C1E" w:rsidRDefault="00A64028" w:rsidP="00103148">
            <w:pPr>
              <w:spacing w:after="0"/>
              <w:jc w:val="center"/>
              <w:rPr>
                <w:rFonts w:ascii="Arial Narrow" w:hAnsi="Arial Narrow"/>
                <w:sz w:val="20"/>
                <w:szCs w:val="20"/>
              </w:rPr>
            </w:pPr>
          </w:p>
        </w:tc>
      </w:tr>
      <w:tr w:rsidR="00A64028" w:rsidRPr="00455C1E" w:rsidTr="00A96FB4">
        <w:tc>
          <w:tcPr>
            <w:tcW w:w="578" w:type="dxa"/>
            <w:vMerge/>
            <w:shd w:val="clear" w:color="auto" w:fill="auto"/>
            <w:vAlign w:val="center"/>
            <w:hideMark/>
          </w:tcPr>
          <w:p w:rsidR="00A64028" w:rsidRPr="00455C1E" w:rsidRDefault="00A64028" w:rsidP="00103148">
            <w:pPr>
              <w:spacing w:after="0"/>
              <w:rPr>
                <w:rFonts w:ascii="Arial Narrow" w:hAnsi="Arial Narrow"/>
                <w:sz w:val="20"/>
                <w:szCs w:val="20"/>
              </w:rPr>
            </w:pPr>
          </w:p>
        </w:tc>
        <w:tc>
          <w:tcPr>
            <w:tcW w:w="7786" w:type="dxa"/>
            <w:shd w:val="clear" w:color="auto" w:fill="auto"/>
            <w:noWrap/>
            <w:vAlign w:val="center"/>
            <w:hideMark/>
          </w:tcPr>
          <w:p w:rsidR="00A64028" w:rsidRPr="00455C1E" w:rsidRDefault="00A64028" w:rsidP="00A96FB4">
            <w:pPr>
              <w:spacing w:after="0"/>
              <w:ind w:left="131"/>
              <w:rPr>
                <w:rFonts w:ascii="Arial Narrow" w:hAnsi="Arial Narrow"/>
                <w:sz w:val="20"/>
                <w:szCs w:val="20"/>
              </w:rPr>
            </w:pPr>
            <w:r w:rsidRPr="00455C1E">
              <w:rPr>
                <w:rFonts w:ascii="Arial Narrow" w:hAnsi="Arial Narrow"/>
                <w:sz w:val="20"/>
                <w:szCs w:val="20"/>
              </w:rPr>
              <w:t>90 – Деятельность творческая, деятельность в области искусства и организации развлечений</w:t>
            </w:r>
          </w:p>
        </w:tc>
        <w:tc>
          <w:tcPr>
            <w:tcW w:w="1701" w:type="dxa"/>
            <w:vMerge/>
          </w:tcPr>
          <w:p w:rsidR="00A64028" w:rsidRPr="00455C1E" w:rsidRDefault="00A64028" w:rsidP="00103148">
            <w:pPr>
              <w:spacing w:after="0"/>
              <w:jc w:val="center"/>
              <w:rPr>
                <w:rFonts w:ascii="Arial Narrow" w:hAnsi="Arial Narrow"/>
                <w:sz w:val="20"/>
                <w:szCs w:val="20"/>
              </w:rPr>
            </w:pPr>
          </w:p>
        </w:tc>
      </w:tr>
      <w:tr w:rsidR="00A64028" w:rsidRPr="00455C1E" w:rsidTr="00A96FB4">
        <w:tc>
          <w:tcPr>
            <w:tcW w:w="578" w:type="dxa"/>
            <w:vMerge/>
            <w:shd w:val="clear" w:color="auto" w:fill="auto"/>
            <w:vAlign w:val="center"/>
            <w:hideMark/>
          </w:tcPr>
          <w:p w:rsidR="00A64028" w:rsidRPr="00455C1E" w:rsidRDefault="00A64028" w:rsidP="00103148">
            <w:pPr>
              <w:spacing w:after="0"/>
              <w:rPr>
                <w:rFonts w:ascii="Arial Narrow" w:hAnsi="Arial Narrow"/>
                <w:sz w:val="20"/>
                <w:szCs w:val="20"/>
              </w:rPr>
            </w:pPr>
          </w:p>
        </w:tc>
        <w:tc>
          <w:tcPr>
            <w:tcW w:w="7786" w:type="dxa"/>
            <w:shd w:val="clear" w:color="auto" w:fill="auto"/>
            <w:noWrap/>
            <w:vAlign w:val="center"/>
            <w:hideMark/>
          </w:tcPr>
          <w:p w:rsidR="00A64028" w:rsidRPr="00455C1E" w:rsidRDefault="00A64028" w:rsidP="00A96FB4">
            <w:pPr>
              <w:spacing w:after="0"/>
              <w:ind w:left="131"/>
              <w:rPr>
                <w:rFonts w:ascii="Arial Narrow" w:hAnsi="Arial Narrow"/>
                <w:sz w:val="20"/>
                <w:szCs w:val="20"/>
              </w:rPr>
            </w:pPr>
            <w:r w:rsidRPr="00455C1E">
              <w:rPr>
                <w:rFonts w:ascii="Arial Narrow" w:hAnsi="Arial Narrow"/>
                <w:sz w:val="20"/>
                <w:szCs w:val="20"/>
              </w:rPr>
              <w:t>91 – Деятельность библиотек, архивов, музеев и прочих объектов культуры</w:t>
            </w:r>
          </w:p>
        </w:tc>
        <w:tc>
          <w:tcPr>
            <w:tcW w:w="1701" w:type="dxa"/>
            <w:vMerge/>
          </w:tcPr>
          <w:p w:rsidR="00A64028" w:rsidRPr="00455C1E" w:rsidRDefault="00A64028" w:rsidP="00103148">
            <w:pPr>
              <w:spacing w:after="0"/>
              <w:jc w:val="center"/>
              <w:rPr>
                <w:rFonts w:ascii="Arial Narrow" w:hAnsi="Arial Narrow"/>
                <w:sz w:val="20"/>
                <w:szCs w:val="20"/>
              </w:rPr>
            </w:pPr>
          </w:p>
        </w:tc>
      </w:tr>
      <w:tr w:rsidR="00A64028" w:rsidRPr="00455C1E" w:rsidTr="00A96FB4">
        <w:tc>
          <w:tcPr>
            <w:tcW w:w="578" w:type="dxa"/>
            <w:vMerge w:val="restart"/>
            <w:shd w:val="clear" w:color="auto" w:fill="auto"/>
            <w:noWrap/>
            <w:vAlign w:val="center"/>
            <w:hideMark/>
          </w:tcPr>
          <w:p w:rsidR="00A64028" w:rsidRPr="00455C1E" w:rsidRDefault="00A64028" w:rsidP="00103148">
            <w:pPr>
              <w:spacing w:after="0"/>
              <w:jc w:val="center"/>
              <w:rPr>
                <w:rFonts w:ascii="Arial Narrow" w:hAnsi="Arial Narrow"/>
                <w:sz w:val="20"/>
                <w:szCs w:val="20"/>
              </w:rPr>
            </w:pPr>
            <w:r w:rsidRPr="00455C1E">
              <w:rPr>
                <w:rFonts w:ascii="Arial Narrow" w:hAnsi="Arial Narrow"/>
                <w:sz w:val="20"/>
                <w:szCs w:val="20"/>
              </w:rPr>
              <w:t>7</w:t>
            </w:r>
          </w:p>
        </w:tc>
        <w:tc>
          <w:tcPr>
            <w:tcW w:w="7786" w:type="dxa"/>
            <w:shd w:val="clear" w:color="auto" w:fill="auto"/>
            <w:noWrap/>
            <w:vAlign w:val="center"/>
            <w:hideMark/>
          </w:tcPr>
          <w:p w:rsidR="00A64028" w:rsidRPr="00455C1E" w:rsidRDefault="00A64028" w:rsidP="00A96FB4">
            <w:pPr>
              <w:spacing w:after="0"/>
              <w:ind w:left="131"/>
              <w:rPr>
                <w:rFonts w:ascii="Arial Narrow" w:hAnsi="Arial Narrow"/>
                <w:sz w:val="20"/>
                <w:szCs w:val="20"/>
              </w:rPr>
            </w:pPr>
            <w:r w:rsidRPr="00455C1E">
              <w:rPr>
                <w:rFonts w:ascii="Arial Narrow" w:hAnsi="Arial Narrow"/>
                <w:sz w:val="20"/>
                <w:szCs w:val="20"/>
              </w:rPr>
              <w:t>Рынок услуг жилищно-коммунального хозяйства (управляющие компании)</w:t>
            </w:r>
          </w:p>
        </w:tc>
        <w:tc>
          <w:tcPr>
            <w:tcW w:w="1701" w:type="dxa"/>
            <w:vMerge/>
          </w:tcPr>
          <w:p w:rsidR="00A64028" w:rsidRPr="00455C1E" w:rsidRDefault="00A64028" w:rsidP="00103148">
            <w:pPr>
              <w:spacing w:after="0"/>
              <w:jc w:val="center"/>
              <w:rPr>
                <w:rFonts w:ascii="Arial Narrow" w:hAnsi="Arial Narrow"/>
                <w:sz w:val="20"/>
                <w:szCs w:val="20"/>
              </w:rPr>
            </w:pPr>
          </w:p>
        </w:tc>
      </w:tr>
      <w:tr w:rsidR="00A64028" w:rsidRPr="00455C1E" w:rsidTr="00A96FB4">
        <w:tc>
          <w:tcPr>
            <w:tcW w:w="578" w:type="dxa"/>
            <w:vMerge/>
            <w:shd w:val="clear" w:color="auto" w:fill="auto"/>
            <w:vAlign w:val="center"/>
            <w:hideMark/>
          </w:tcPr>
          <w:p w:rsidR="00A64028" w:rsidRPr="00455C1E" w:rsidRDefault="00A64028" w:rsidP="00103148">
            <w:pPr>
              <w:spacing w:after="0"/>
              <w:rPr>
                <w:rFonts w:ascii="Arial Narrow" w:hAnsi="Arial Narrow"/>
                <w:sz w:val="20"/>
                <w:szCs w:val="20"/>
              </w:rPr>
            </w:pPr>
          </w:p>
        </w:tc>
        <w:tc>
          <w:tcPr>
            <w:tcW w:w="7786" w:type="dxa"/>
            <w:shd w:val="clear" w:color="auto" w:fill="auto"/>
            <w:noWrap/>
            <w:vAlign w:val="center"/>
            <w:hideMark/>
          </w:tcPr>
          <w:p w:rsidR="00A64028" w:rsidRPr="00455C1E" w:rsidRDefault="00A64028" w:rsidP="00A96FB4">
            <w:pPr>
              <w:spacing w:after="0"/>
              <w:ind w:left="131"/>
              <w:rPr>
                <w:rFonts w:ascii="Arial Narrow" w:hAnsi="Arial Narrow"/>
                <w:sz w:val="20"/>
                <w:szCs w:val="20"/>
              </w:rPr>
            </w:pPr>
            <w:r w:rsidRPr="00455C1E">
              <w:rPr>
                <w:rFonts w:ascii="Arial Narrow" w:hAnsi="Arial Narrow"/>
                <w:sz w:val="20"/>
                <w:szCs w:val="20"/>
              </w:rPr>
              <w:t>68.32 – Управление недвижимым имуществом за вознаграждение или на договорной основе</w:t>
            </w:r>
          </w:p>
        </w:tc>
        <w:tc>
          <w:tcPr>
            <w:tcW w:w="1701" w:type="dxa"/>
            <w:vMerge/>
          </w:tcPr>
          <w:p w:rsidR="00A64028" w:rsidRPr="00455C1E" w:rsidRDefault="00A64028" w:rsidP="00103148">
            <w:pPr>
              <w:spacing w:after="0"/>
              <w:jc w:val="center"/>
              <w:rPr>
                <w:rFonts w:ascii="Arial Narrow" w:hAnsi="Arial Narrow"/>
                <w:sz w:val="20"/>
                <w:szCs w:val="20"/>
              </w:rPr>
            </w:pPr>
          </w:p>
        </w:tc>
      </w:tr>
      <w:tr w:rsidR="00A64028" w:rsidRPr="00455C1E" w:rsidTr="00A96FB4">
        <w:tc>
          <w:tcPr>
            <w:tcW w:w="578" w:type="dxa"/>
            <w:vMerge w:val="restart"/>
            <w:shd w:val="clear" w:color="auto" w:fill="auto"/>
            <w:noWrap/>
            <w:vAlign w:val="center"/>
            <w:hideMark/>
          </w:tcPr>
          <w:p w:rsidR="00A64028" w:rsidRPr="00455C1E" w:rsidRDefault="00A64028" w:rsidP="00103148">
            <w:pPr>
              <w:spacing w:after="0"/>
              <w:jc w:val="center"/>
              <w:rPr>
                <w:rFonts w:ascii="Arial Narrow" w:hAnsi="Arial Narrow"/>
                <w:sz w:val="20"/>
                <w:szCs w:val="20"/>
              </w:rPr>
            </w:pPr>
            <w:r w:rsidRPr="00455C1E">
              <w:rPr>
                <w:rFonts w:ascii="Arial Narrow" w:hAnsi="Arial Narrow"/>
                <w:sz w:val="20"/>
                <w:szCs w:val="20"/>
              </w:rPr>
              <w:t>8</w:t>
            </w:r>
          </w:p>
        </w:tc>
        <w:tc>
          <w:tcPr>
            <w:tcW w:w="7786" w:type="dxa"/>
            <w:shd w:val="clear" w:color="auto" w:fill="auto"/>
            <w:noWrap/>
            <w:vAlign w:val="center"/>
            <w:hideMark/>
          </w:tcPr>
          <w:p w:rsidR="00A64028" w:rsidRPr="00455C1E" w:rsidRDefault="00A64028" w:rsidP="00A96FB4">
            <w:pPr>
              <w:spacing w:after="0"/>
              <w:ind w:left="131"/>
              <w:rPr>
                <w:rFonts w:ascii="Arial Narrow" w:hAnsi="Arial Narrow"/>
                <w:sz w:val="20"/>
                <w:szCs w:val="20"/>
              </w:rPr>
            </w:pPr>
            <w:r w:rsidRPr="00455C1E">
              <w:rPr>
                <w:rFonts w:ascii="Arial Narrow" w:hAnsi="Arial Narrow"/>
                <w:sz w:val="20"/>
                <w:szCs w:val="20"/>
              </w:rPr>
              <w:t>Розничная торговля (продажа продуктов питания и непродовольственных товаров)</w:t>
            </w:r>
          </w:p>
        </w:tc>
        <w:tc>
          <w:tcPr>
            <w:tcW w:w="1701" w:type="dxa"/>
            <w:vMerge/>
          </w:tcPr>
          <w:p w:rsidR="00A64028" w:rsidRPr="00455C1E" w:rsidRDefault="00A64028" w:rsidP="00103148">
            <w:pPr>
              <w:spacing w:after="0"/>
              <w:jc w:val="center"/>
              <w:rPr>
                <w:rFonts w:ascii="Arial Narrow" w:hAnsi="Arial Narrow"/>
                <w:sz w:val="20"/>
                <w:szCs w:val="20"/>
              </w:rPr>
            </w:pPr>
          </w:p>
        </w:tc>
      </w:tr>
      <w:tr w:rsidR="00A64028" w:rsidRPr="00455C1E" w:rsidTr="00A96FB4">
        <w:tc>
          <w:tcPr>
            <w:tcW w:w="578" w:type="dxa"/>
            <w:vMerge/>
            <w:shd w:val="clear" w:color="auto" w:fill="auto"/>
            <w:vAlign w:val="center"/>
            <w:hideMark/>
          </w:tcPr>
          <w:p w:rsidR="00A64028" w:rsidRPr="00455C1E" w:rsidRDefault="00A64028" w:rsidP="00103148">
            <w:pPr>
              <w:spacing w:after="0"/>
              <w:rPr>
                <w:rFonts w:ascii="Arial Narrow" w:hAnsi="Arial Narrow"/>
                <w:sz w:val="20"/>
                <w:szCs w:val="20"/>
              </w:rPr>
            </w:pPr>
          </w:p>
        </w:tc>
        <w:tc>
          <w:tcPr>
            <w:tcW w:w="7786" w:type="dxa"/>
            <w:shd w:val="clear" w:color="auto" w:fill="auto"/>
            <w:noWrap/>
            <w:vAlign w:val="center"/>
            <w:hideMark/>
          </w:tcPr>
          <w:p w:rsidR="00A64028" w:rsidRPr="00455C1E" w:rsidRDefault="00A64028" w:rsidP="00A96FB4">
            <w:pPr>
              <w:spacing w:after="0"/>
              <w:ind w:left="131"/>
              <w:rPr>
                <w:rFonts w:ascii="Arial Narrow" w:hAnsi="Arial Narrow"/>
                <w:sz w:val="20"/>
                <w:szCs w:val="20"/>
              </w:rPr>
            </w:pPr>
            <w:r w:rsidRPr="00455C1E">
              <w:rPr>
                <w:rFonts w:ascii="Arial Narrow" w:hAnsi="Arial Narrow"/>
                <w:sz w:val="20"/>
                <w:szCs w:val="20"/>
              </w:rPr>
              <w:t xml:space="preserve">47 – Торговля розничная, кроме торговли автотранспортными средствами и мотоциклами </w:t>
            </w:r>
          </w:p>
        </w:tc>
        <w:tc>
          <w:tcPr>
            <w:tcW w:w="1701" w:type="dxa"/>
            <w:vMerge/>
          </w:tcPr>
          <w:p w:rsidR="00A64028" w:rsidRPr="00455C1E" w:rsidRDefault="00A64028" w:rsidP="00103148">
            <w:pPr>
              <w:spacing w:after="0"/>
              <w:jc w:val="center"/>
              <w:rPr>
                <w:rFonts w:ascii="Arial Narrow" w:hAnsi="Arial Narrow"/>
                <w:sz w:val="20"/>
                <w:szCs w:val="20"/>
              </w:rPr>
            </w:pPr>
          </w:p>
        </w:tc>
      </w:tr>
      <w:tr w:rsidR="00A64028" w:rsidRPr="00455C1E" w:rsidTr="00A96FB4">
        <w:tc>
          <w:tcPr>
            <w:tcW w:w="578" w:type="dxa"/>
            <w:vMerge w:val="restart"/>
            <w:shd w:val="clear" w:color="auto" w:fill="auto"/>
            <w:noWrap/>
            <w:vAlign w:val="center"/>
            <w:hideMark/>
          </w:tcPr>
          <w:p w:rsidR="00A64028" w:rsidRPr="00455C1E" w:rsidRDefault="00A64028" w:rsidP="00103148">
            <w:pPr>
              <w:spacing w:after="0"/>
              <w:jc w:val="center"/>
              <w:rPr>
                <w:rFonts w:ascii="Arial Narrow" w:hAnsi="Arial Narrow"/>
                <w:sz w:val="20"/>
                <w:szCs w:val="20"/>
              </w:rPr>
            </w:pPr>
            <w:r w:rsidRPr="00455C1E">
              <w:rPr>
                <w:rFonts w:ascii="Arial Narrow" w:hAnsi="Arial Narrow"/>
                <w:sz w:val="20"/>
                <w:szCs w:val="20"/>
              </w:rPr>
              <w:t>9</w:t>
            </w:r>
          </w:p>
        </w:tc>
        <w:tc>
          <w:tcPr>
            <w:tcW w:w="7786" w:type="dxa"/>
            <w:shd w:val="clear" w:color="auto" w:fill="auto"/>
            <w:noWrap/>
            <w:vAlign w:val="center"/>
            <w:hideMark/>
          </w:tcPr>
          <w:p w:rsidR="00A64028" w:rsidRPr="00455C1E" w:rsidRDefault="00A64028" w:rsidP="00A96FB4">
            <w:pPr>
              <w:spacing w:after="0"/>
              <w:ind w:left="131"/>
              <w:rPr>
                <w:rFonts w:ascii="Arial Narrow" w:hAnsi="Arial Narrow"/>
                <w:sz w:val="20"/>
                <w:szCs w:val="20"/>
              </w:rPr>
            </w:pPr>
            <w:r w:rsidRPr="00455C1E">
              <w:rPr>
                <w:rFonts w:ascii="Arial Narrow" w:hAnsi="Arial Narrow"/>
                <w:sz w:val="20"/>
                <w:szCs w:val="20"/>
              </w:rPr>
              <w:t>Рынок услуг перевозок пассажиров наземным транспортом (автобусные перевозки и такси)</w:t>
            </w:r>
          </w:p>
        </w:tc>
        <w:tc>
          <w:tcPr>
            <w:tcW w:w="1701" w:type="dxa"/>
            <w:vMerge/>
          </w:tcPr>
          <w:p w:rsidR="00A64028" w:rsidRPr="00455C1E" w:rsidRDefault="00A64028" w:rsidP="00103148">
            <w:pPr>
              <w:spacing w:after="0"/>
              <w:jc w:val="center"/>
              <w:rPr>
                <w:rFonts w:ascii="Arial Narrow" w:hAnsi="Arial Narrow"/>
                <w:sz w:val="20"/>
                <w:szCs w:val="20"/>
              </w:rPr>
            </w:pPr>
          </w:p>
        </w:tc>
      </w:tr>
      <w:tr w:rsidR="00A64028" w:rsidRPr="00455C1E" w:rsidTr="00A96FB4">
        <w:tc>
          <w:tcPr>
            <w:tcW w:w="578" w:type="dxa"/>
            <w:vMerge/>
            <w:shd w:val="clear" w:color="auto" w:fill="auto"/>
            <w:vAlign w:val="center"/>
            <w:hideMark/>
          </w:tcPr>
          <w:p w:rsidR="00A64028" w:rsidRPr="00455C1E" w:rsidRDefault="00A64028" w:rsidP="00103148">
            <w:pPr>
              <w:spacing w:after="0"/>
              <w:rPr>
                <w:rFonts w:ascii="Arial Narrow" w:hAnsi="Arial Narrow"/>
                <w:sz w:val="20"/>
                <w:szCs w:val="20"/>
              </w:rPr>
            </w:pPr>
          </w:p>
        </w:tc>
        <w:tc>
          <w:tcPr>
            <w:tcW w:w="7786" w:type="dxa"/>
            <w:shd w:val="clear" w:color="auto" w:fill="auto"/>
            <w:noWrap/>
            <w:vAlign w:val="center"/>
            <w:hideMark/>
          </w:tcPr>
          <w:p w:rsidR="00A64028" w:rsidRPr="00455C1E" w:rsidRDefault="00A64028" w:rsidP="00A96FB4">
            <w:pPr>
              <w:spacing w:after="0"/>
              <w:ind w:left="131"/>
              <w:rPr>
                <w:rFonts w:ascii="Arial Narrow" w:hAnsi="Arial Narrow"/>
                <w:sz w:val="20"/>
                <w:szCs w:val="20"/>
              </w:rPr>
            </w:pPr>
            <w:r w:rsidRPr="00455C1E">
              <w:rPr>
                <w:rFonts w:ascii="Arial Narrow" w:hAnsi="Arial Narrow"/>
                <w:sz w:val="20"/>
                <w:szCs w:val="20"/>
              </w:rPr>
              <w:t>49.31.21 – Деятельность автобусного транспорта по регулярным внутригородским и пригородным пассажирским перевозкам</w:t>
            </w:r>
          </w:p>
        </w:tc>
        <w:tc>
          <w:tcPr>
            <w:tcW w:w="1701" w:type="dxa"/>
            <w:vMerge/>
          </w:tcPr>
          <w:p w:rsidR="00A64028" w:rsidRPr="00455C1E" w:rsidRDefault="00A64028" w:rsidP="00103148">
            <w:pPr>
              <w:spacing w:after="0"/>
              <w:jc w:val="center"/>
              <w:rPr>
                <w:rFonts w:ascii="Arial Narrow" w:hAnsi="Arial Narrow"/>
                <w:sz w:val="20"/>
                <w:szCs w:val="20"/>
              </w:rPr>
            </w:pPr>
          </w:p>
        </w:tc>
      </w:tr>
      <w:tr w:rsidR="00A64028" w:rsidRPr="00455C1E" w:rsidTr="00A96FB4">
        <w:tc>
          <w:tcPr>
            <w:tcW w:w="578" w:type="dxa"/>
            <w:vMerge/>
            <w:shd w:val="clear" w:color="auto" w:fill="auto"/>
            <w:vAlign w:val="center"/>
            <w:hideMark/>
          </w:tcPr>
          <w:p w:rsidR="00A64028" w:rsidRPr="00455C1E" w:rsidRDefault="00A64028" w:rsidP="00103148">
            <w:pPr>
              <w:spacing w:after="0"/>
              <w:rPr>
                <w:rFonts w:ascii="Arial Narrow" w:hAnsi="Arial Narrow"/>
                <w:sz w:val="20"/>
                <w:szCs w:val="20"/>
              </w:rPr>
            </w:pPr>
          </w:p>
        </w:tc>
        <w:tc>
          <w:tcPr>
            <w:tcW w:w="7786" w:type="dxa"/>
            <w:shd w:val="clear" w:color="auto" w:fill="auto"/>
            <w:noWrap/>
            <w:vAlign w:val="center"/>
            <w:hideMark/>
          </w:tcPr>
          <w:p w:rsidR="00A64028" w:rsidRPr="00455C1E" w:rsidRDefault="00A64028" w:rsidP="00A96FB4">
            <w:pPr>
              <w:spacing w:after="0"/>
              <w:ind w:left="131"/>
              <w:rPr>
                <w:rFonts w:ascii="Arial Narrow" w:hAnsi="Arial Narrow"/>
                <w:sz w:val="20"/>
                <w:szCs w:val="20"/>
              </w:rPr>
            </w:pPr>
            <w:r w:rsidRPr="00455C1E">
              <w:rPr>
                <w:rFonts w:ascii="Arial Narrow" w:hAnsi="Arial Narrow"/>
                <w:sz w:val="20"/>
                <w:szCs w:val="20"/>
              </w:rPr>
              <w:t>49.32 – Деятельность такси</w:t>
            </w:r>
          </w:p>
        </w:tc>
        <w:tc>
          <w:tcPr>
            <w:tcW w:w="1701" w:type="dxa"/>
            <w:vMerge/>
          </w:tcPr>
          <w:p w:rsidR="00A64028" w:rsidRPr="00455C1E" w:rsidRDefault="00A64028" w:rsidP="00103148">
            <w:pPr>
              <w:spacing w:after="0"/>
              <w:jc w:val="center"/>
              <w:rPr>
                <w:rFonts w:ascii="Arial Narrow" w:hAnsi="Arial Narrow"/>
                <w:sz w:val="20"/>
                <w:szCs w:val="20"/>
              </w:rPr>
            </w:pPr>
          </w:p>
        </w:tc>
      </w:tr>
      <w:tr w:rsidR="00A64028" w:rsidRPr="00455C1E" w:rsidTr="00A96FB4">
        <w:tc>
          <w:tcPr>
            <w:tcW w:w="578" w:type="dxa"/>
            <w:vMerge w:val="restart"/>
            <w:shd w:val="clear" w:color="auto" w:fill="auto"/>
            <w:noWrap/>
            <w:vAlign w:val="center"/>
            <w:hideMark/>
          </w:tcPr>
          <w:p w:rsidR="00A64028" w:rsidRPr="00455C1E" w:rsidRDefault="00A64028" w:rsidP="00103148">
            <w:pPr>
              <w:spacing w:after="0"/>
              <w:jc w:val="center"/>
              <w:rPr>
                <w:rFonts w:ascii="Arial Narrow" w:hAnsi="Arial Narrow"/>
                <w:sz w:val="20"/>
                <w:szCs w:val="20"/>
              </w:rPr>
            </w:pPr>
            <w:r w:rsidRPr="00455C1E">
              <w:rPr>
                <w:rFonts w:ascii="Arial Narrow" w:hAnsi="Arial Narrow"/>
                <w:sz w:val="20"/>
                <w:szCs w:val="20"/>
              </w:rPr>
              <w:t>10</w:t>
            </w:r>
          </w:p>
        </w:tc>
        <w:tc>
          <w:tcPr>
            <w:tcW w:w="7786" w:type="dxa"/>
            <w:shd w:val="clear" w:color="auto" w:fill="auto"/>
            <w:noWrap/>
            <w:vAlign w:val="center"/>
            <w:hideMark/>
          </w:tcPr>
          <w:p w:rsidR="00A64028" w:rsidRPr="00455C1E" w:rsidRDefault="00A64028" w:rsidP="00A96FB4">
            <w:pPr>
              <w:spacing w:after="0"/>
              <w:ind w:left="131"/>
              <w:rPr>
                <w:rFonts w:ascii="Arial Narrow" w:hAnsi="Arial Narrow"/>
                <w:sz w:val="20"/>
                <w:szCs w:val="20"/>
              </w:rPr>
            </w:pPr>
            <w:r w:rsidRPr="00455C1E">
              <w:rPr>
                <w:rFonts w:ascii="Arial Narrow" w:hAnsi="Arial Narrow"/>
                <w:sz w:val="20"/>
                <w:szCs w:val="20"/>
              </w:rPr>
              <w:t>Рынок услуг связи</w:t>
            </w:r>
          </w:p>
        </w:tc>
        <w:tc>
          <w:tcPr>
            <w:tcW w:w="1701" w:type="dxa"/>
            <w:vMerge/>
          </w:tcPr>
          <w:p w:rsidR="00A64028" w:rsidRPr="00455C1E" w:rsidRDefault="00A64028" w:rsidP="00103148">
            <w:pPr>
              <w:spacing w:after="0"/>
              <w:jc w:val="center"/>
              <w:rPr>
                <w:rFonts w:ascii="Arial Narrow" w:hAnsi="Arial Narrow"/>
                <w:sz w:val="20"/>
                <w:szCs w:val="20"/>
              </w:rPr>
            </w:pPr>
          </w:p>
        </w:tc>
      </w:tr>
      <w:tr w:rsidR="00A64028" w:rsidRPr="00455C1E" w:rsidTr="00A96FB4">
        <w:tc>
          <w:tcPr>
            <w:tcW w:w="578" w:type="dxa"/>
            <w:vMerge/>
            <w:shd w:val="clear" w:color="auto" w:fill="auto"/>
            <w:vAlign w:val="center"/>
            <w:hideMark/>
          </w:tcPr>
          <w:p w:rsidR="00A64028" w:rsidRPr="00455C1E" w:rsidRDefault="00A64028" w:rsidP="00103148">
            <w:pPr>
              <w:spacing w:after="0"/>
              <w:rPr>
                <w:rFonts w:ascii="Arial Narrow" w:hAnsi="Arial Narrow"/>
                <w:sz w:val="20"/>
                <w:szCs w:val="20"/>
              </w:rPr>
            </w:pPr>
          </w:p>
        </w:tc>
        <w:tc>
          <w:tcPr>
            <w:tcW w:w="7786" w:type="dxa"/>
            <w:shd w:val="clear" w:color="auto" w:fill="auto"/>
            <w:noWrap/>
            <w:vAlign w:val="center"/>
            <w:hideMark/>
          </w:tcPr>
          <w:p w:rsidR="00A64028" w:rsidRPr="00455C1E" w:rsidRDefault="00A64028" w:rsidP="00A96FB4">
            <w:pPr>
              <w:spacing w:after="0"/>
              <w:ind w:left="131"/>
              <w:rPr>
                <w:rFonts w:ascii="Arial Narrow" w:hAnsi="Arial Narrow"/>
                <w:sz w:val="20"/>
                <w:szCs w:val="20"/>
              </w:rPr>
            </w:pPr>
            <w:r w:rsidRPr="00455C1E">
              <w:rPr>
                <w:rFonts w:ascii="Arial Narrow" w:hAnsi="Arial Narrow"/>
                <w:sz w:val="20"/>
                <w:szCs w:val="20"/>
              </w:rPr>
              <w:t>61.1 – Деятельность в области связи на базе проводных технологий</w:t>
            </w:r>
          </w:p>
        </w:tc>
        <w:tc>
          <w:tcPr>
            <w:tcW w:w="1701" w:type="dxa"/>
            <w:vMerge/>
          </w:tcPr>
          <w:p w:rsidR="00A64028" w:rsidRPr="00455C1E" w:rsidRDefault="00A64028" w:rsidP="00103148">
            <w:pPr>
              <w:spacing w:after="0"/>
              <w:jc w:val="center"/>
              <w:rPr>
                <w:rFonts w:ascii="Arial Narrow" w:hAnsi="Arial Narrow"/>
                <w:sz w:val="20"/>
                <w:szCs w:val="20"/>
              </w:rPr>
            </w:pPr>
          </w:p>
        </w:tc>
      </w:tr>
      <w:tr w:rsidR="00A64028" w:rsidRPr="00455C1E" w:rsidTr="00A96FB4">
        <w:tc>
          <w:tcPr>
            <w:tcW w:w="578" w:type="dxa"/>
            <w:vMerge/>
            <w:shd w:val="clear" w:color="auto" w:fill="auto"/>
            <w:vAlign w:val="center"/>
            <w:hideMark/>
          </w:tcPr>
          <w:p w:rsidR="00A64028" w:rsidRPr="00455C1E" w:rsidRDefault="00A64028" w:rsidP="00103148">
            <w:pPr>
              <w:spacing w:after="0"/>
              <w:rPr>
                <w:rFonts w:ascii="Arial Narrow" w:hAnsi="Arial Narrow"/>
                <w:sz w:val="20"/>
                <w:szCs w:val="20"/>
              </w:rPr>
            </w:pPr>
          </w:p>
        </w:tc>
        <w:tc>
          <w:tcPr>
            <w:tcW w:w="7786" w:type="dxa"/>
            <w:shd w:val="clear" w:color="auto" w:fill="auto"/>
            <w:noWrap/>
            <w:vAlign w:val="center"/>
            <w:hideMark/>
          </w:tcPr>
          <w:p w:rsidR="00A64028" w:rsidRPr="00455C1E" w:rsidRDefault="00A64028" w:rsidP="00A96FB4">
            <w:pPr>
              <w:spacing w:after="0"/>
              <w:ind w:left="131"/>
              <w:rPr>
                <w:rFonts w:ascii="Arial Narrow" w:hAnsi="Arial Narrow"/>
                <w:sz w:val="20"/>
                <w:szCs w:val="20"/>
              </w:rPr>
            </w:pPr>
            <w:r w:rsidRPr="00455C1E">
              <w:rPr>
                <w:rFonts w:ascii="Arial Narrow" w:hAnsi="Arial Narrow"/>
                <w:sz w:val="20"/>
                <w:szCs w:val="20"/>
              </w:rPr>
              <w:t>61.20 – Деятельность в области связи на базе беспроводных технологий</w:t>
            </w:r>
          </w:p>
        </w:tc>
        <w:tc>
          <w:tcPr>
            <w:tcW w:w="1701" w:type="dxa"/>
            <w:vMerge/>
          </w:tcPr>
          <w:p w:rsidR="00A64028" w:rsidRPr="00455C1E" w:rsidRDefault="00A64028" w:rsidP="00103148">
            <w:pPr>
              <w:spacing w:after="0"/>
              <w:jc w:val="center"/>
              <w:rPr>
                <w:rFonts w:ascii="Arial Narrow" w:hAnsi="Arial Narrow"/>
                <w:sz w:val="20"/>
                <w:szCs w:val="20"/>
              </w:rPr>
            </w:pPr>
          </w:p>
        </w:tc>
      </w:tr>
      <w:tr w:rsidR="00A64028" w:rsidRPr="00455C1E" w:rsidTr="00A96FB4">
        <w:tc>
          <w:tcPr>
            <w:tcW w:w="578" w:type="dxa"/>
            <w:vMerge w:val="restart"/>
            <w:shd w:val="clear" w:color="auto" w:fill="auto"/>
            <w:noWrap/>
            <w:vAlign w:val="center"/>
            <w:hideMark/>
          </w:tcPr>
          <w:p w:rsidR="00A64028" w:rsidRPr="00455C1E" w:rsidRDefault="00A64028" w:rsidP="00103148">
            <w:pPr>
              <w:spacing w:after="0"/>
              <w:jc w:val="center"/>
              <w:rPr>
                <w:rFonts w:ascii="Arial Narrow" w:hAnsi="Arial Narrow"/>
                <w:sz w:val="20"/>
                <w:szCs w:val="20"/>
              </w:rPr>
            </w:pPr>
            <w:r w:rsidRPr="00455C1E">
              <w:rPr>
                <w:rFonts w:ascii="Arial Narrow" w:hAnsi="Arial Narrow"/>
                <w:sz w:val="20"/>
                <w:szCs w:val="20"/>
              </w:rPr>
              <w:t>11</w:t>
            </w:r>
          </w:p>
        </w:tc>
        <w:tc>
          <w:tcPr>
            <w:tcW w:w="7786" w:type="dxa"/>
            <w:shd w:val="clear" w:color="auto" w:fill="auto"/>
            <w:noWrap/>
            <w:vAlign w:val="center"/>
            <w:hideMark/>
          </w:tcPr>
          <w:p w:rsidR="00A64028" w:rsidRPr="00455C1E" w:rsidRDefault="00A64028" w:rsidP="00A96FB4">
            <w:pPr>
              <w:spacing w:after="0"/>
              <w:ind w:left="131"/>
              <w:rPr>
                <w:rFonts w:ascii="Arial Narrow" w:hAnsi="Arial Narrow"/>
                <w:sz w:val="20"/>
                <w:szCs w:val="20"/>
              </w:rPr>
            </w:pPr>
            <w:r w:rsidRPr="00455C1E">
              <w:rPr>
                <w:rFonts w:ascii="Arial Narrow" w:hAnsi="Arial Narrow"/>
                <w:sz w:val="20"/>
                <w:szCs w:val="20"/>
              </w:rPr>
              <w:t>Рынок услуг социального обслуживания населения</w:t>
            </w:r>
          </w:p>
        </w:tc>
        <w:tc>
          <w:tcPr>
            <w:tcW w:w="1701" w:type="dxa"/>
            <w:vMerge/>
          </w:tcPr>
          <w:p w:rsidR="00A64028" w:rsidRPr="00455C1E" w:rsidRDefault="00A64028" w:rsidP="00103148">
            <w:pPr>
              <w:spacing w:after="0"/>
              <w:jc w:val="center"/>
              <w:rPr>
                <w:rFonts w:ascii="Arial Narrow" w:hAnsi="Arial Narrow"/>
                <w:sz w:val="20"/>
                <w:szCs w:val="20"/>
              </w:rPr>
            </w:pPr>
          </w:p>
        </w:tc>
      </w:tr>
      <w:tr w:rsidR="00A64028" w:rsidRPr="00455C1E" w:rsidTr="00A96FB4">
        <w:tc>
          <w:tcPr>
            <w:tcW w:w="578" w:type="dxa"/>
            <w:vMerge/>
            <w:shd w:val="clear" w:color="auto" w:fill="auto"/>
            <w:vAlign w:val="center"/>
            <w:hideMark/>
          </w:tcPr>
          <w:p w:rsidR="00A64028" w:rsidRPr="00455C1E" w:rsidRDefault="00A64028" w:rsidP="00103148">
            <w:pPr>
              <w:spacing w:after="0"/>
              <w:rPr>
                <w:rFonts w:ascii="Arial Narrow" w:hAnsi="Arial Narrow"/>
                <w:sz w:val="20"/>
                <w:szCs w:val="20"/>
              </w:rPr>
            </w:pPr>
          </w:p>
        </w:tc>
        <w:tc>
          <w:tcPr>
            <w:tcW w:w="7786" w:type="dxa"/>
            <w:shd w:val="clear" w:color="auto" w:fill="auto"/>
            <w:noWrap/>
            <w:vAlign w:val="center"/>
            <w:hideMark/>
          </w:tcPr>
          <w:p w:rsidR="00A64028" w:rsidRPr="00455C1E" w:rsidRDefault="00A64028" w:rsidP="00A96FB4">
            <w:pPr>
              <w:spacing w:after="0"/>
              <w:ind w:left="131"/>
              <w:rPr>
                <w:rFonts w:ascii="Arial Narrow" w:hAnsi="Arial Narrow"/>
                <w:sz w:val="20"/>
                <w:szCs w:val="20"/>
              </w:rPr>
            </w:pPr>
            <w:r w:rsidRPr="00455C1E">
              <w:rPr>
                <w:rFonts w:ascii="Arial Narrow" w:hAnsi="Arial Narrow"/>
                <w:sz w:val="20"/>
                <w:szCs w:val="20"/>
              </w:rPr>
              <w:t>87 – Деятельность по уходу с обеспечением проживания</w:t>
            </w:r>
          </w:p>
        </w:tc>
        <w:tc>
          <w:tcPr>
            <w:tcW w:w="1701" w:type="dxa"/>
            <w:vMerge/>
          </w:tcPr>
          <w:p w:rsidR="00A64028" w:rsidRPr="00455C1E" w:rsidRDefault="00A64028" w:rsidP="00103148">
            <w:pPr>
              <w:spacing w:after="0"/>
              <w:jc w:val="center"/>
              <w:rPr>
                <w:rFonts w:ascii="Arial Narrow" w:hAnsi="Arial Narrow"/>
                <w:sz w:val="20"/>
                <w:szCs w:val="20"/>
              </w:rPr>
            </w:pPr>
          </w:p>
        </w:tc>
      </w:tr>
      <w:tr w:rsidR="00A64028" w:rsidRPr="00455C1E" w:rsidTr="00A96FB4">
        <w:tc>
          <w:tcPr>
            <w:tcW w:w="578" w:type="dxa"/>
            <w:vMerge/>
            <w:shd w:val="clear" w:color="auto" w:fill="auto"/>
            <w:vAlign w:val="center"/>
            <w:hideMark/>
          </w:tcPr>
          <w:p w:rsidR="00A64028" w:rsidRPr="00455C1E" w:rsidRDefault="00A64028" w:rsidP="00103148">
            <w:pPr>
              <w:spacing w:after="0"/>
              <w:rPr>
                <w:rFonts w:ascii="Arial Narrow" w:hAnsi="Arial Narrow"/>
                <w:sz w:val="20"/>
                <w:szCs w:val="20"/>
              </w:rPr>
            </w:pPr>
          </w:p>
        </w:tc>
        <w:tc>
          <w:tcPr>
            <w:tcW w:w="7786" w:type="dxa"/>
            <w:shd w:val="clear" w:color="auto" w:fill="auto"/>
            <w:noWrap/>
            <w:vAlign w:val="center"/>
            <w:hideMark/>
          </w:tcPr>
          <w:p w:rsidR="00A64028" w:rsidRPr="00455C1E" w:rsidRDefault="00A64028" w:rsidP="00A96FB4">
            <w:pPr>
              <w:spacing w:after="0"/>
              <w:ind w:left="131"/>
              <w:rPr>
                <w:rFonts w:ascii="Arial Narrow" w:hAnsi="Arial Narrow"/>
                <w:sz w:val="20"/>
                <w:szCs w:val="20"/>
              </w:rPr>
            </w:pPr>
            <w:r w:rsidRPr="00455C1E">
              <w:rPr>
                <w:rFonts w:ascii="Arial Narrow" w:hAnsi="Arial Narrow"/>
                <w:sz w:val="20"/>
                <w:szCs w:val="20"/>
              </w:rPr>
              <w:t>88 – Предоставление социальных услуг без обеспечения проживания</w:t>
            </w:r>
          </w:p>
        </w:tc>
        <w:tc>
          <w:tcPr>
            <w:tcW w:w="1701" w:type="dxa"/>
            <w:vMerge/>
          </w:tcPr>
          <w:p w:rsidR="00A64028" w:rsidRPr="00455C1E" w:rsidRDefault="00A64028" w:rsidP="00103148">
            <w:pPr>
              <w:spacing w:after="0"/>
              <w:jc w:val="center"/>
              <w:rPr>
                <w:rFonts w:ascii="Arial Narrow" w:hAnsi="Arial Narrow"/>
                <w:sz w:val="20"/>
                <w:szCs w:val="20"/>
              </w:rPr>
            </w:pPr>
          </w:p>
        </w:tc>
      </w:tr>
      <w:tr w:rsidR="00A64028" w:rsidRPr="00455C1E" w:rsidTr="00A96FB4">
        <w:tc>
          <w:tcPr>
            <w:tcW w:w="8364" w:type="dxa"/>
            <w:gridSpan w:val="2"/>
            <w:shd w:val="clear" w:color="auto" w:fill="auto"/>
            <w:noWrap/>
            <w:vAlign w:val="center"/>
            <w:hideMark/>
          </w:tcPr>
          <w:p w:rsidR="00A64028" w:rsidRPr="00455C1E" w:rsidRDefault="00A64028" w:rsidP="00A96FB4">
            <w:pPr>
              <w:spacing w:after="0"/>
              <w:ind w:left="131"/>
              <w:rPr>
                <w:rFonts w:ascii="Arial Narrow" w:hAnsi="Arial Narrow"/>
                <w:b/>
                <w:bCs/>
                <w:sz w:val="20"/>
                <w:szCs w:val="20"/>
              </w:rPr>
            </w:pPr>
            <w:r w:rsidRPr="00455C1E">
              <w:rPr>
                <w:rFonts w:ascii="Arial Narrow" w:hAnsi="Arial Narrow"/>
                <w:b/>
                <w:bCs/>
                <w:sz w:val="20"/>
                <w:szCs w:val="20"/>
              </w:rPr>
              <w:t>Приоритетные рынки</w:t>
            </w:r>
          </w:p>
        </w:tc>
        <w:tc>
          <w:tcPr>
            <w:tcW w:w="1701" w:type="dxa"/>
            <w:vMerge/>
          </w:tcPr>
          <w:p w:rsidR="00A64028" w:rsidRPr="00455C1E" w:rsidRDefault="00A64028" w:rsidP="00103148">
            <w:pPr>
              <w:spacing w:after="0"/>
              <w:jc w:val="center"/>
              <w:rPr>
                <w:rFonts w:ascii="Arial Narrow" w:hAnsi="Arial Narrow"/>
                <w:b/>
                <w:bCs/>
                <w:sz w:val="20"/>
                <w:szCs w:val="20"/>
              </w:rPr>
            </w:pPr>
          </w:p>
        </w:tc>
      </w:tr>
      <w:tr w:rsidR="00A64028" w:rsidRPr="00455C1E" w:rsidTr="00A96FB4">
        <w:tc>
          <w:tcPr>
            <w:tcW w:w="578" w:type="dxa"/>
            <w:vMerge w:val="restart"/>
            <w:shd w:val="clear" w:color="auto" w:fill="auto"/>
            <w:noWrap/>
            <w:vAlign w:val="center"/>
            <w:hideMark/>
          </w:tcPr>
          <w:p w:rsidR="00A64028" w:rsidRPr="00455C1E" w:rsidRDefault="00A64028" w:rsidP="00103148">
            <w:pPr>
              <w:spacing w:after="0"/>
              <w:jc w:val="center"/>
              <w:rPr>
                <w:rFonts w:ascii="Arial Narrow" w:hAnsi="Arial Narrow"/>
                <w:sz w:val="20"/>
                <w:szCs w:val="20"/>
              </w:rPr>
            </w:pPr>
            <w:r w:rsidRPr="00455C1E">
              <w:rPr>
                <w:rFonts w:ascii="Arial Narrow" w:hAnsi="Arial Narrow"/>
                <w:sz w:val="20"/>
                <w:szCs w:val="20"/>
              </w:rPr>
              <w:t>12</w:t>
            </w:r>
          </w:p>
        </w:tc>
        <w:tc>
          <w:tcPr>
            <w:tcW w:w="7786" w:type="dxa"/>
            <w:shd w:val="clear" w:color="auto" w:fill="auto"/>
            <w:noWrap/>
            <w:vAlign w:val="center"/>
            <w:hideMark/>
          </w:tcPr>
          <w:p w:rsidR="00A64028" w:rsidRPr="00455C1E" w:rsidRDefault="00A64028" w:rsidP="00A96FB4">
            <w:pPr>
              <w:spacing w:after="0"/>
              <w:ind w:left="131"/>
              <w:rPr>
                <w:rFonts w:ascii="Arial Narrow" w:hAnsi="Arial Narrow"/>
                <w:sz w:val="20"/>
                <w:szCs w:val="20"/>
              </w:rPr>
            </w:pPr>
            <w:r w:rsidRPr="00455C1E">
              <w:rPr>
                <w:rFonts w:ascii="Arial Narrow" w:hAnsi="Arial Narrow"/>
                <w:sz w:val="20"/>
                <w:szCs w:val="20"/>
              </w:rPr>
              <w:t>Рынок развития, производства, переработки и хранения сельскохозяйственной продукции</w:t>
            </w:r>
          </w:p>
        </w:tc>
        <w:tc>
          <w:tcPr>
            <w:tcW w:w="1701" w:type="dxa"/>
            <w:vMerge/>
          </w:tcPr>
          <w:p w:rsidR="00A64028" w:rsidRPr="00455C1E" w:rsidRDefault="00A64028" w:rsidP="00103148">
            <w:pPr>
              <w:spacing w:after="0"/>
              <w:jc w:val="center"/>
              <w:rPr>
                <w:rFonts w:ascii="Arial Narrow" w:hAnsi="Arial Narrow"/>
                <w:sz w:val="20"/>
                <w:szCs w:val="20"/>
              </w:rPr>
            </w:pPr>
          </w:p>
        </w:tc>
      </w:tr>
      <w:tr w:rsidR="00A64028" w:rsidRPr="00455C1E" w:rsidTr="00A96FB4">
        <w:tc>
          <w:tcPr>
            <w:tcW w:w="578" w:type="dxa"/>
            <w:vMerge/>
            <w:shd w:val="clear" w:color="auto" w:fill="auto"/>
            <w:vAlign w:val="center"/>
            <w:hideMark/>
          </w:tcPr>
          <w:p w:rsidR="00A64028" w:rsidRPr="00455C1E" w:rsidRDefault="00A64028" w:rsidP="00103148">
            <w:pPr>
              <w:spacing w:after="0"/>
              <w:rPr>
                <w:rFonts w:ascii="Arial Narrow" w:hAnsi="Arial Narrow"/>
                <w:sz w:val="20"/>
                <w:szCs w:val="20"/>
              </w:rPr>
            </w:pPr>
          </w:p>
        </w:tc>
        <w:tc>
          <w:tcPr>
            <w:tcW w:w="7786" w:type="dxa"/>
            <w:shd w:val="clear" w:color="auto" w:fill="auto"/>
            <w:noWrap/>
            <w:vAlign w:val="center"/>
            <w:hideMark/>
          </w:tcPr>
          <w:p w:rsidR="00A64028" w:rsidRPr="00455C1E" w:rsidRDefault="00A64028" w:rsidP="00A96FB4">
            <w:pPr>
              <w:spacing w:after="0"/>
              <w:ind w:left="131"/>
              <w:rPr>
                <w:rFonts w:ascii="Arial Narrow" w:hAnsi="Arial Narrow"/>
                <w:sz w:val="20"/>
                <w:szCs w:val="20"/>
              </w:rPr>
            </w:pPr>
            <w:r w:rsidRPr="00455C1E">
              <w:rPr>
                <w:rFonts w:ascii="Arial Narrow" w:hAnsi="Arial Narrow"/>
                <w:sz w:val="20"/>
                <w:szCs w:val="20"/>
              </w:rPr>
              <w:t>01 – Растениеводство и животноводство, охота и предоставление соответствующих услуг в этих областях</w:t>
            </w:r>
          </w:p>
        </w:tc>
        <w:tc>
          <w:tcPr>
            <w:tcW w:w="1701" w:type="dxa"/>
            <w:vMerge/>
          </w:tcPr>
          <w:p w:rsidR="00A64028" w:rsidRPr="00455C1E" w:rsidRDefault="00A64028" w:rsidP="00103148">
            <w:pPr>
              <w:spacing w:after="0"/>
              <w:jc w:val="center"/>
              <w:rPr>
                <w:rFonts w:ascii="Arial Narrow" w:hAnsi="Arial Narrow"/>
                <w:sz w:val="20"/>
                <w:szCs w:val="20"/>
              </w:rPr>
            </w:pPr>
          </w:p>
        </w:tc>
      </w:tr>
    </w:tbl>
    <w:p w:rsidR="008A49B5" w:rsidRDefault="008A49B5" w:rsidP="00A96FB4">
      <w:pPr>
        <w:spacing w:after="0" w:line="240" w:lineRule="auto"/>
        <w:jc w:val="right"/>
        <w:rPr>
          <w:rFonts w:ascii="Arial Narrow" w:hAnsi="Arial Narrow"/>
          <w:sz w:val="24"/>
          <w:szCs w:val="24"/>
        </w:rPr>
      </w:pPr>
    </w:p>
    <w:p w:rsidR="00A96FB4" w:rsidRPr="00A96FB4" w:rsidRDefault="00A96FB4" w:rsidP="00A96FB4">
      <w:pPr>
        <w:spacing w:after="0" w:line="240" w:lineRule="auto"/>
        <w:jc w:val="right"/>
        <w:rPr>
          <w:rFonts w:ascii="Arial Narrow" w:hAnsi="Arial Narrow"/>
          <w:sz w:val="24"/>
          <w:szCs w:val="24"/>
        </w:rPr>
      </w:pPr>
      <w:r w:rsidRPr="004865F9">
        <w:rPr>
          <w:rFonts w:ascii="Arial Narrow" w:hAnsi="Arial Narrow"/>
          <w:sz w:val="24"/>
          <w:szCs w:val="24"/>
        </w:rPr>
        <w:lastRenderedPageBreak/>
        <w:t xml:space="preserve">Продолжение Таблицы </w:t>
      </w:r>
      <w:r>
        <w:rPr>
          <w:rFonts w:ascii="Arial Narrow" w:hAnsi="Arial Narrow"/>
          <w:sz w:val="24"/>
          <w:szCs w:val="24"/>
        </w:rPr>
        <w:t>7.2</w:t>
      </w:r>
    </w:p>
    <w:tbl>
      <w:tblPr>
        <w:tblW w:w="1006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578"/>
        <w:gridCol w:w="7786"/>
        <w:gridCol w:w="1701"/>
      </w:tblGrid>
      <w:tr w:rsidR="00A64028" w:rsidRPr="00455C1E" w:rsidTr="00A96FB4">
        <w:tc>
          <w:tcPr>
            <w:tcW w:w="578" w:type="dxa"/>
            <w:shd w:val="clear" w:color="auto" w:fill="auto"/>
            <w:vAlign w:val="center"/>
            <w:hideMark/>
          </w:tcPr>
          <w:p w:rsidR="00A64028" w:rsidRPr="00455C1E" w:rsidRDefault="00A64028" w:rsidP="00103148">
            <w:pPr>
              <w:spacing w:after="0"/>
              <w:rPr>
                <w:rFonts w:ascii="Arial Narrow" w:hAnsi="Arial Narrow"/>
                <w:sz w:val="20"/>
                <w:szCs w:val="20"/>
              </w:rPr>
            </w:pPr>
          </w:p>
        </w:tc>
        <w:tc>
          <w:tcPr>
            <w:tcW w:w="7786" w:type="dxa"/>
            <w:shd w:val="clear" w:color="auto" w:fill="auto"/>
            <w:noWrap/>
            <w:vAlign w:val="center"/>
            <w:hideMark/>
          </w:tcPr>
          <w:p w:rsidR="00A64028" w:rsidRPr="00455C1E" w:rsidRDefault="00A64028" w:rsidP="00A96FB4">
            <w:pPr>
              <w:spacing w:after="0"/>
              <w:ind w:left="131"/>
              <w:rPr>
                <w:rFonts w:ascii="Arial Narrow" w:hAnsi="Arial Narrow"/>
                <w:sz w:val="20"/>
                <w:szCs w:val="20"/>
              </w:rPr>
            </w:pPr>
            <w:r w:rsidRPr="00455C1E">
              <w:rPr>
                <w:rFonts w:ascii="Arial Narrow" w:hAnsi="Arial Narrow"/>
                <w:sz w:val="20"/>
                <w:szCs w:val="20"/>
              </w:rPr>
              <w:t>03 – Рыболовство и рыбоводство</w:t>
            </w:r>
          </w:p>
        </w:tc>
        <w:tc>
          <w:tcPr>
            <w:tcW w:w="1701" w:type="dxa"/>
            <w:tcBorders>
              <w:bottom w:val="nil"/>
            </w:tcBorders>
          </w:tcPr>
          <w:p w:rsidR="00A64028" w:rsidRPr="00455C1E" w:rsidRDefault="00A64028" w:rsidP="00103148">
            <w:pPr>
              <w:spacing w:after="0"/>
              <w:jc w:val="center"/>
              <w:rPr>
                <w:rFonts w:ascii="Arial Narrow" w:hAnsi="Arial Narrow"/>
                <w:sz w:val="20"/>
                <w:szCs w:val="20"/>
              </w:rPr>
            </w:pPr>
          </w:p>
        </w:tc>
      </w:tr>
      <w:tr w:rsidR="00A64028" w:rsidRPr="00455C1E" w:rsidTr="00A96FB4">
        <w:tc>
          <w:tcPr>
            <w:tcW w:w="578" w:type="dxa"/>
            <w:vMerge w:val="restart"/>
            <w:shd w:val="clear" w:color="auto" w:fill="auto"/>
            <w:vAlign w:val="center"/>
            <w:hideMark/>
          </w:tcPr>
          <w:p w:rsidR="00A64028" w:rsidRPr="00455C1E" w:rsidRDefault="00A64028" w:rsidP="00103148">
            <w:pPr>
              <w:spacing w:after="0"/>
              <w:rPr>
                <w:rFonts w:ascii="Arial Narrow" w:hAnsi="Arial Narrow"/>
                <w:sz w:val="20"/>
                <w:szCs w:val="20"/>
              </w:rPr>
            </w:pPr>
          </w:p>
        </w:tc>
        <w:tc>
          <w:tcPr>
            <w:tcW w:w="7786" w:type="dxa"/>
            <w:shd w:val="clear" w:color="auto" w:fill="auto"/>
            <w:noWrap/>
            <w:vAlign w:val="center"/>
            <w:hideMark/>
          </w:tcPr>
          <w:p w:rsidR="00A64028" w:rsidRPr="00455C1E" w:rsidRDefault="00A64028" w:rsidP="00A96FB4">
            <w:pPr>
              <w:spacing w:after="0"/>
              <w:ind w:left="131"/>
              <w:rPr>
                <w:rFonts w:ascii="Arial Narrow" w:hAnsi="Arial Narrow"/>
                <w:sz w:val="20"/>
                <w:szCs w:val="20"/>
              </w:rPr>
            </w:pPr>
            <w:r w:rsidRPr="00455C1E">
              <w:rPr>
                <w:rFonts w:ascii="Arial Narrow" w:hAnsi="Arial Narrow"/>
                <w:sz w:val="20"/>
                <w:szCs w:val="20"/>
              </w:rPr>
              <w:t>10 – Производство пищевых продуктов</w:t>
            </w:r>
          </w:p>
        </w:tc>
        <w:tc>
          <w:tcPr>
            <w:tcW w:w="1701" w:type="dxa"/>
            <w:vMerge w:val="restart"/>
            <w:tcBorders>
              <w:top w:val="nil"/>
            </w:tcBorders>
          </w:tcPr>
          <w:p w:rsidR="00A64028" w:rsidRPr="00455C1E" w:rsidRDefault="00A64028" w:rsidP="00103148">
            <w:pPr>
              <w:spacing w:after="0"/>
              <w:jc w:val="center"/>
              <w:rPr>
                <w:rFonts w:ascii="Arial Narrow" w:hAnsi="Arial Narrow"/>
                <w:sz w:val="20"/>
                <w:szCs w:val="20"/>
              </w:rPr>
            </w:pPr>
          </w:p>
        </w:tc>
      </w:tr>
      <w:tr w:rsidR="00A64028" w:rsidRPr="00455C1E" w:rsidTr="00A96FB4">
        <w:tc>
          <w:tcPr>
            <w:tcW w:w="578" w:type="dxa"/>
            <w:vMerge/>
            <w:shd w:val="clear" w:color="auto" w:fill="auto"/>
            <w:vAlign w:val="center"/>
            <w:hideMark/>
          </w:tcPr>
          <w:p w:rsidR="00A64028" w:rsidRPr="00455C1E" w:rsidRDefault="00A64028" w:rsidP="00103148">
            <w:pPr>
              <w:spacing w:after="0"/>
              <w:rPr>
                <w:rFonts w:ascii="Arial Narrow" w:hAnsi="Arial Narrow"/>
                <w:sz w:val="20"/>
                <w:szCs w:val="20"/>
              </w:rPr>
            </w:pPr>
          </w:p>
        </w:tc>
        <w:tc>
          <w:tcPr>
            <w:tcW w:w="7786" w:type="dxa"/>
            <w:shd w:val="clear" w:color="auto" w:fill="auto"/>
            <w:noWrap/>
            <w:vAlign w:val="center"/>
            <w:hideMark/>
          </w:tcPr>
          <w:p w:rsidR="00A64028" w:rsidRPr="00455C1E" w:rsidRDefault="00A64028" w:rsidP="00A96FB4">
            <w:pPr>
              <w:spacing w:after="0"/>
              <w:ind w:left="131"/>
              <w:rPr>
                <w:rFonts w:ascii="Arial Narrow" w:hAnsi="Arial Narrow"/>
                <w:sz w:val="20"/>
                <w:szCs w:val="20"/>
              </w:rPr>
            </w:pPr>
            <w:r w:rsidRPr="00455C1E">
              <w:rPr>
                <w:rFonts w:ascii="Arial Narrow" w:hAnsi="Arial Narrow"/>
                <w:sz w:val="20"/>
                <w:szCs w:val="20"/>
              </w:rPr>
              <w:t>11 – Производство напитков</w:t>
            </w:r>
          </w:p>
        </w:tc>
        <w:tc>
          <w:tcPr>
            <w:tcW w:w="1701" w:type="dxa"/>
            <w:vMerge/>
          </w:tcPr>
          <w:p w:rsidR="00A64028" w:rsidRPr="00455C1E" w:rsidRDefault="00A64028" w:rsidP="00103148">
            <w:pPr>
              <w:spacing w:after="0"/>
              <w:jc w:val="center"/>
              <w:rPr>
                <w:rFonts w:ascii="Arial Narrow" w:hAnsi="Arial Narrow"/>
                <w:sz w:val="20"/>
                <w:szCs w:val="20"/>
              </w:rPr>
            </w:pPr>
          </w:p>
        </w:tc>
      </w:tr>
      <w:tr w:rsidR="00A64028" w:rsidRPr="00455C1E" w:rsidTr="00A96FB4">
        <w:tc>
          <w:tcPr>
            <w:tcW w:w="578" w:type="dxa"/>
            <w:vMerge w:val="restart"/>
            <w:shd w:val="clear" w:color="auto" w:fill="auto"/>
            <w:noWrap/>
            <w:vAlign w:val="center"/>
            <w:hideMark/>
          </w:tcPr>
          <w:p w:rsidR="00A64028" w:rsidRPr="00455C1E" w:rsidRDefault="00A64028" w:rsidP="00103148">
            <w:pPr>
              <w:spacing w:after="0"/>
              <w:jc w:val="center"/>
              <w:rPr>
                <w:rFonts w:ascii="Arial Narrow" w:hAnsi="Arial Narrow"/>
                <w:sz w:val="20"/>
                <w:szCs w:val="20"/>
              </w:rPr>
            </w:pPr>
            <w:r w:rsidRPr="00455C1E">
              <w:rPr>
                <w:rFonts w:ascii="Arial Narrow" w:hAnsi="Arial Narrow"/>
                <w:sz w:val="20"/>
                <w:szCs w:val="20"/>
              </w:rPr>
              <w:t>13</w:t>
            </w:r>
          </w:p>
        </w:tc>
        <w:tc>
          <w:tcPr>
            <w:tcW w:w="7786" w:type="dxa"/>
            <w:shd w:val="clear" w:color="auto" w:fill="auto"/>
            <w:noWrap/>
            <w:vAlign w:val="center"/>
            <w:hideMark/>
          </w:tcPr>
          <w:p w:rsidR="00A64028" w:rsidRPr="00455C1E" w:rsidRDefault="00A64028" w:rsidP="00A96FB4">
            <w:pPr>
              <w:spacing w:after="0"/>
              <w:ind w:left="131"/>
              <w:rPr>
                <w:rFonts w:ascii="Arial Narrow" w:hAnsi="Arial Narrow"/>
                <w:sz w:val="20"/>
                <w:szCs w:val="20"/>
              </w:rPr>
            </w:pPr>
            <w:r w:rsidRPr="00455C1E">
              <w:rPr>
                <w:rFonts w:ascii="Arial Narrow" w:hAnsi="Arial Narrow"/>
                <w:sz w:val="20"/>
                <w:szCs w:val="20"/>
              </w:rPr>
              <w:t>Рынок услуг по сбору, сортировке и переработке твердых коммунальных (бытовых) отходов</w:t>
            </w:r>
          </w:p>
        </w:tc>
        <w:tc>
          <w:tcPr>
            <w:tcW w:w="1701" w:type="dxa"/>
            <w:vMerge/>
          </w:tcPr>
          <w:p w:rsidR="00A64028" w:rsidRPr="00455C1E" w:rsidRDefault="00A64028" w:rsidP="00103148">
            <w:pPr>
              <w:spacing w:after="0"/>
              <w:jc w:val="center"/>
              <w:rPr>
                <w:rFonts w:ascii="Arial Narrow" w:hAnsi="Arial Narrow"/>
                <w:sz w:val="20"/>
                <w:szCs w:val="20"/>
              </w:rPr>
            </w:pPr>
          </w:p>
        </w:tc>
      </w:tr>
      <w:tr w:rsidR="00A64028" w:rsidRPr="00455C1E" w:rsidTr="00A96FB4">
        <w:tc>
          <w:tcPr>
            <w:tcW w:w="578" w:type="dxa"/>
            <w:vMerge/>
            <w:shd w:val="clear" w:color="auto" w:fill="auto"/>
            <w:vAlign w:val="center"/>
            <w:hideMark/>
          </w:tcPr>
          <w:p w:rsidR="00A64028" w:rsidRPr="00455C1E" w:rsidRDefault="00A64028" w:rsidP="00103148">
            <w:pPr>
              <w:spacing w:after="0"/>
              <w:rPr>
                <w:rFonts w:ascii="Arial Narrow" w:hAnsi="Arial Narrow"/>
                <w:sz w:val="20"/>
                <w:szCs w:val="20"/>
              </w:rPr>
            </w:pPr>
          </w:p>
        </w:tc>
        <w:tc>
          <w:tcPr>
            <w:tcW w:w="7786" w:type="dxa"/>
            <w:shd w:val="clear" w:color="auto" w:fill="auto"/>
            <w:noWrap/>
            <w:vAlign w:val="center"/>
            <w:hideMark/>
          </w:tcPr>
          <w:p w:rsidR="00A64028" w:rsidRPr="00455C1E" w:rsidRDefault="00A64028" w:rsidP="00A96FB4">
            <w:pPr>
              <w:spacing w:after="0"/>
              <w:ind w:left="131"/>
              <w:rPr>
                <w:rFonts w:ascii="Arial Narrow" w:hAnsi="Arial Narrow"/>
                <w:sz w:val="20"/>
                <w:szCs w:val="20"/>
              </w:rPr>
            </w:pPr>
            <w:r w:rsidRPr="00455C1E">
              <w:rPr>
                <w:rFonts w:ascii="Arial Narrow" w:hAnsi="Arial Narrow"/>
                <w:sz w:val="20"/>
                <w:szCs w:val="20"/>
              </w:rPr>
              <w:t>38.1 – Сбор отходов</w:t>
            </w:r>
          </w:p>
        </w:tc>
        <w:tc>
          <w:tcPr>
            <w:tcW w:w="1701" w:type="dxa"/>
            <w:vMerge/>
          </w:tcPr>
          <w:p w:rsidR="00A64028" w:rsidRPr="00455C1E" w:rsidRDefault="00A64028" w:rsidP="00103148">
            <w:pPr>
              <w:spacing w:after="0"/>
              <w:jc w:val="center"/>
              <w:rPr>
                <w:rFonts w:ascii="Arial Narrow" w:hAnsi="Arial Narrow"/>
                <w:sz w:val="20"/>
                <w:szCs w:val="20"/>
              </w:rPr>
            </w:pPr>
          </w:p>
        </w:tc>
      </w:tr>
      <w:tr w:rsidR="00A64028" w:rsidRPr="00455C1E" w:rsidTr="00A96FB4">
        <w:tc>
          <w:tcPr>
            <w:tcW w:w="578" w:type="dxa"/>
            <w:vMerge/>
            <w:shd w:val="clear" w:color="auto" w:fill="auto"/>
            <w:vAlign w:val="center"/>
            <w:hideMark/>
          </w:tcPr>
          <w:p w:rsidR="00A64028" w:rsidRPr="00455C1E" w:rsidRDefault="00A64028" w:rsidP="00103148">
            <w:pPr>
              <w:spacing w:after="0"/>
              <w:rPr>
                <w:rFonts w:ascii="Arial Narrow" w:hAnsi="Arial Narrow"/>
                <w:sz w:val="20"/>
                <w:szCs w:val="20"/>
              </w:rPr>
            </w:pPr>
          </w:p>
        </w:tc>
        <w:tc>
          <w:tcPr>
            <w:tcW w:w="7786" w:type="dxa"/>
            <w:shd w:val="clear" w:color="auto" w:fill="auto"/>
            <w:noWrap/>
            <w:vAlign w:val="center"/>
            <w:hideMark/>
          </w:tcPr>
          <w:p w:rsidR="00A64028" w:rsidRPr="00455C1E" w:rsidRDefault="00A64028" w:rsidP="00A96FB4">
            <w:pPr>
              <w:spacing w:after="0"/>
              <w:ind w:left="131"/>
              <w:rPr>
                <w:rFonts w:ascii="Arial Narrow" w:hAnsi="Arial Narrow"/>
                <w:sz w:val="20"/>
                <w:szCs w:val="20"/>
              </w:rPr>
            </w:pPr>
            <w:r w:rsidRPr="00455C1E">
              <w:rPr>
                <w:rFonts w:ascii="Arial Narrow" w:hAnsi="Arial Narrow"/>
                <w:sz w:val="20"/>
                <w:szCs w:val="20"/>
              </w:rPr>
              <w:t>38.2 – Обработка и утилизация отходов</w:t>
            </w:r>
          </w:p>
        </w:tc>
        <w:tc>
          <w:tcPr>
            <w:tcW w:w="1701" w:type="dxa"/>
            <w:vMerge/>
          </w:tcPr>
          <w:p w:rsidR="00A64028" w:rsidRPr="00455C1E" w:rsidRDefault="00A64028" w:rsidP="00103148">
            <w:pPr>
              <w:spacing w:after="0"/>
              <w:jc w:val="center"/>
              <w:rPr>
                <w:rFonts w:ascii="Arial Narrow" w:hAnsi="Arial Narrow"/>
                <w:sz w:val="20"/>
                <w:szCs w:val="20"/>
              </w:rPr>
            </w:pPr>
          </w:p>
        </w:tc>
      </w:tr>
    </w:tbl>
    <w:p w:rsidR="00103148" w:rsidRDefault="00103148" w:rsidP="00103148">
      <w:pPr>
        <w:spacing w:after="0" w:line="360" w:lineRule="auto"/>
        <w:ind w:firstLine="284"/>
        <w:rPr>
          <w:rFonts w:ascii="Arial Narrow" w:hAnsi="Arial Narrow"/>
          <w:b/>
          <w:sz w:val="24"/>
        </w:rPr>
      </w:pPr>
    </w:p>
    <w:p w:rsidR="00A64028" w:rsidRPr="00455C1E" w:rsidRDefault="00A64028" w:rsidP="00103148">
      <w:pPr>
        <w:spacing w:after="0" w:line="360" w:lineRule="auto"/>
        <w:ind w:firstLine="284"/>
        <w:rPr>
          <w:rFonts w:ascii="Arial Narrow" w:hAnsi="Arial Narrow"/>
          <w:b/>
          <w:sz w:val="24"/>
        </w:rPr>
      </w:pPr>
      <w:r w:rsidRPr="00455C1E">
        <w:rPr>
          <w:rFonts w:ascii="Arial Narrow" w:hAnsi="Arial Narrow"/>
          <w:b/>
          <w:sz w:val="24"/>
        </w:rPr>
        <w:t>Значение показателя 1.1.2. Состав хозяйствующих субъектов, действующих на товарном рынке в качестве продавцов и покупателей</w:t>
      </w:r>
    </w:p>
    <w:p w:rsidR="00A64028" w:rsidRDefault="008A49B5" w:rsidP="00103148">
      <w:pPr>
        <w:spacing w:after="0" w:line="360" w:lineRule="auto"/>
        <w:ind w:firstLine="426"/>
        <w:jc w:val="both"/>
        <w:rPr>
          <w:rFonts w:ascii="Arial Narrow" w:hAnsi="Arial Narrow"/>
          <w:sz w:val="24"/>
          <w:szCs w:val="24"/>
        </w:rPr>
      </w:pPr>
      <w:r w:rsidRPr="008A49B5">
        <w:rPr>
          <w:rFonts w:ascii="Arial Narrow" w:hAnsi="Arial Narrow"/>
          <w:bCs/>
          <w:sz w:val="24"/>
          <w:szCs w:val="24"/>
        </w:rPr>
        <w:t xml:space="preserve">Самым многочисленным рынком по числу участников является рынок розничной торговли. Остальные предприятия насчитывают менее 1,5 тыс. организаций. Наименьшее количество хозяйствующих субъектов работает на рынках услуг </w:t>
      </w:r>
      <w:r w:rsidRPr="008A49B5">
        <w:rPr>
          <w:rFonts w:ascii="Arial Narrow" w:hAnsi="Arial Narrow"/>
          <w:sz w:val="24"/>
          <w:szCs w:val="24"/>
        </w:rPr>
        <w:t>психолого-педагогического сопровождения детей с ограниченными возможностями здоровья (12 организаций) и услуг по сбору, сортировке и переработке твердых коммунальных (бытовых) отходов (74 организации). Рынки с наибольшей долей государственных и муниципальных предприятий с долей собственности 50% и более – это рынок дошкольного образования (91,3%), услуг детского отдыха и оздоровления (78,6%), услуг в сфере культуры (66,7%), дополнительного образования детей (46,4%), социального обслуживания населения (42,2%). Влияние государственного сектора на частные организации данных рынках велико во всех территориях, где ведется указанная деятельность.</w:t>
      </w:r>
      <w:r w:rsidR="00A64028">
        <w:rPr>
          <w:rFonts w:ascii="Arial Narrow" w:hAnsi="Arial Narrow"/>
          <w:sz w:val="24"/>
          <w:szCs w:val="24"/>
        </w:rPr>
        <w:t xml:space="preserve"> </w:t>
      </w:r>
    </w:p>
    <w:p w:rsidR="00A64028" w:rsidRDefault="00A64028" w:rsidP="00103148">
      <w:pPr>
        <w:spacing w:after="0" w:line="360" w:lineRule="auto"/>
        <w:ind w:firstLine="426"/>
        <w:jc w:val="both"/>
        <w:rPr>
          <w:rFonts w:ascii="Arial Narrow" w:hAnsi="Arial Narrow"/>
          <w:sz w:val="24"/>
          <w:szCs w:val="24"/>
        </w:rPr>
      </w:pPr>
    </w:p>
    <w:p w:rsidR="00A64028" w:rsidRDefault="00A64028" w:rsidP="00BF6DC4">
      <w:pPr>
        <w:spacing w:after="0"/>
        <w:rPr>
          <w:rFonts w:ascii="Arial Narrow" w:hAnsi="Arial Narrow"/>
          <w:b/>
          <w:bCs/>
          <w:sz w:val="24"/>
          <w:szCs w:val="20"/>
        </w:rPr>
      </w:pPr>
      <w:r>
        <w:rPr>
          <w:rFonts w:ascii="Arial Narrow" w:eastAsia="Calibri" w:hAnsi="Arial Narrow"/>
          <w:sz w:val="24"/>
          <w:szCs w:val="24"/>
        </w:rPr>
        <w:t xml:space="preserve">Таблица </w:t>
      </w:r>
      <w:r w:rsidR="00262F71">
        <w:rPr>
          <w:rFonts w:ascii="Arial Narrow" w:eastAsia="Calibri" w:hAnsi="Arial Narrow"/>
          <w:sz w:val="24"/>
          <w:szCs w:val="24"/>
        </w:rPr>
        <w:t>7.3.</w:t>
      </w:r>
      <w:r w:rsidR="00BF6DC4">
        <w:rPr>
          <w:rFonts w:ascii="Arial Narrow" w:eastAsia="Calibri" w:hAnsi="Arial Narrow"/>
          <w:sz w:val="24"/>
          <w:szCs w:val="24"/>
        </w:rPr>
        <w:t xml:space="preserve"> </w:t>
      </w:r>
      <w:r>
        <w:rPr>
          <w:rFonts w:ascii="Arial Narrow" w:hAnsi="Arial Narrow"/>
          <w:bCs/>
          <w:sz w:val="20"/>
          <w:szCs w:val="20"/>
        </w:rPr>
        <w:t>–</w:t>
      </w:r>
      <w:r w:rsidRPr="008236DC">
        <w:rPr>
          <w:rFonts w:ascii="Arial Narrow" w:hAnsi="Arial Narrow"/>
          <w:bCs/>
          <w:sz w:val="20"/>
          <w:szCs w:val="20"/>
        </w:rPr>
        <w:t xml:space="preserve"> </w:t>
      </w:r>
      <w:r w:rsidRPr="002E7CCA">
        <w:rPr>
          <w:rFonts w:ascii="Arial Narrow" w:hAnsi="Arial Narrow"/>
          <w:b/>
          <w:bCs/>
          <w:sz w:val="24"/>
          <w:szCs w:val="20"/>
        </w:rPr>
        <w:t>Состав хозяйствующих субъектов, действующих на социально значимых и приоритетных рынках в качестве продавцов и покупателей</w:t>
      </w:r>
    </w:p>
    <w:tbl>
      <w:tblPr>
        <w:tblW w:w="10247" w:type="dxa"/>
        <w:tblInd w:w="-137" w:type="dxa"/>
        <w:tblLayout w:type="fixed"/>
        <w:tblCellMar>
          <w:left w:w="0" w:type="dxa"/>
          <w:right w:w="0" w:type="dxa"/>
        </w:tblCellMar>
        <w:tblLook w:val="04A0"/>
      </w:tblPr>
      <w:tblGrid>
        <w:gridCol w:w="318"/>
        <w:gridCol w:w="2409"/>
        <w:gridCol w:w="708"/>
        <w:gridCol w:w="883"/>
        <w:gridCol w:w="513"/>
        <w:gridCol w:w="479"/>
        <w:gridCol w:w="567"/>
        <w:gridCol w:w="567"/>
        <w:gridCol w:w="708"/>
        <w:gridCol w:w="961"/>
        <w:gridCol w:w="1134"/>
        <w:gridCol w:w="1000"/>
      </w:tblGrid>
      <w:tr w:rsidR="00F71F9D" w:rsidRPr="00130274" w:rsidTr="006E6091">
        <w:tc>
          <w:tcPr>
            <w:tcW w:w="31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w:t>
            </w:r>
          </w:p>
        </w:tc>
        <w:tc>
          <w:tcPr>
            <w:tcW w:w="240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Наименование рынков и продуктовые границы согласно ОКВЭД</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Общее количество предприятий</w:t>
            </w:r>
          </w:p>
        </w:tc>
        <w:tc>
          <w:tcPr>
            <w:tcW w:w="88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В том числе, % государственных предприятий</w:t>
            </w:r>
          </w:p>
        </w:tc>
        <w:tc>
          <w:tcPr>
            <w:tcW w:w="3795" w:type="dxa"/>
            <w:gridSpan w:val="6"/>
            <w:tcBorders>
              <w:top w:val="single" w:sz="4" w:space="0" w:color="auto"/>
              <w:left w:val="nil"/>
              <w:bottom w:val="single" w:sz="4" w:space="0" w:color="auto"/>
              <w:right w:val="single" w:sz="4" w:space="0" w:color="auto"/>
            </w:tcBorders>
            <w:shd w:val="clear" w:color="auto" w:fill="auto"/>
            <w:noWrap/>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Количество негосударственных организаций</w:t>
            </w:r>
          </w:p>
        </w:tc>
        <w:tc>
          <w:tcPr>
            <w:tcW w:w="1134" w:type="dxa"/>
            <w:vMerge w:val="restart"/>
            <w:tcBorders>
              <w:top w:val="single" w:sz="4" w:space="0" w:color="auto"/>
              <w:left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Количество государственных и муниципальных организаций с долей собственности 50% и более</w:t>
            </w:r>
          </w:p>
        </w:tc>
        <w:tc>
          <w:tcPr>
            <w:tcW w:w="996" w:type="dxa"/>
            <w:vMerge w:val="restart"/>
            <w:tcBorders>
              <w:top w:val="single" w:sz="4" w:space="0" w:color="auto"/>
              <w:left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Доля потребителей от общей численности населения региона за 2016 г., %</w:t>
            </w:r>
          </w:p>
        </w:tc>
      </w:tr>
      <w:tr w:rsidR="00F71F9D" w:rsidRPr="00130274" w:rsidTr="006E6091">
        <w:tc>
          <w:tcPr>
            <w:tcW w:w="318" w:type="dxa"/>
            <w:vMerge/>
            <w:tcBorders>
              <w:top w:val="single" w:sz="4" w:space="0" w:color="auto"/>
              <w:left w:val="single" w:sz="4" w:space="0" w:color="auto"/>
              <w:bottom w:val="single" w:sz="4" w:space="0" w:color="auto"/>
              <w:right w:val="single" w:sz="4" w:space="0" w:color="auto"/>
            </w:tcBorders>
            <w:vAlign w:val="center"/>
            <w:hideMark/>
          </w:tcPr>
          <w:p w:rsidR="00F71F9D" w:rsidRPr="00130274" w:rsidRDefault="00F71F9D" w:rsidP="006E6091">
            <w:pPr>
              <w:rPr>
                <w:rFonts w:ascii="Arial Narrow" w:hAnsi="Arial Narrow"/>
                <w:sz w:val="18"/>
                <w:szCs w:val="18"/>
              </w:rPr>
            </w:pPr>
          </w:p>
        </w:tc>
        <w:tc>
          <w:tcPr>
            <w:tcW w:w="2409" w:type="dxa"/>
            <w:vMerge/>
            <w:tcBorders>
              <w:top w:val="single" w:sz="4" w:space="0" w:color="auto"/>
              <w:left w:val="single" w:sz="4" w:space="0" w:color="auto"/>
              <w:bottom w:val="single" w:sz="4" w:space="0" w:color="auto"/>
              <w:right w:val="single" w:sz="4" w:space="0" w:color="auto"/>
            </w:tcBorders>
            <w:vAlign w:val="center"/>
            <w:hideMark/>
          </w:tcPr>
          <w:p w:rsidR="00F71F9D" w:rsidRPr="00130274" w:rsidRDefault="00F71F9D" w:rsidP="006E6091">
            <w:pPr>
              <w:rPr>
                <w:rFonts w:ascii="Arial Narrow" w:hAnsi="Arial Narrow"/>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rsidR="00F71F9D" w:rsidRPr="00130274" w:rsidRDefault="00F71F9D" w:rsidP="006E6091">
            <w:pPr>
              <w:rPr>
                <w:rFonts w:ascii="Arial Narrow" w:hAnsi="Arial Narrow"/>
                <w:sz w:val="18"/>
                <w:szCs w:val="18"/>
              </w:rPr>
            </w:pPr>
          </w:p>
        </w:tc>
        <w:tc>
          <w:tcPr>
            <w:tcW w:w="883" w:type="dxa"/>
            <w:vMerge/>
            <w:tcBorders>
              <w:top w:val="single" w:sz="4" w:space="0" w:color="auto"/>
              <w:left w:val="single" w:sz="4" w:space="0" w:color="auto"/>
              <w:bottom w:val="single" w:sz="4" w:space="0" w:color="auto"/>
              <w:right w:val="single" w:sz="4" w:space="0" w:color="auto"/>
            </w:tcBorders>
            <w:vAlign w:val="center"/>
            <w:hideMark/>
          </w:tcPr>
          <w:p w:rsidR="00F71F9D" w:rsidRPr="00130274" w:rsidRDefault="00F71F9D" w:rsidP="006E6091">
            <w:pPr>
              <w:rPr>
                <w:rFonts w:ascii="Arial Narrow" w:hAnsi="Arial Narrow"/>
                <w:sz w:val="18"/>
                <w:szCs w:val="18"/>
              </w:rPr>
            </w:pPr>
          </w:p>
        </w:tc>
        <w:tc>
          <w:tcPr>
            <w:tcW w:w="513" w:type="dxa"/>
            <w:tcBorders>
              <w:top w:val="nil"/>
              <w:left w:val="nil"/>
              <w:bottom w:val="single" w:sz="4" w:space="0" w:color="auto"/>
              <w:right w:val="single" w:sz="4" w:space="0" w:color="auto"/>
            </w:tcBorders>
            <w:shd w:val="clear" w:color="auto" w:fill="auto"/>
            <w:noWrap/>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Всего</w:t>
            </w:r>
          </w:p>
        </w:tc>
        <w:tc>
          <w:tcPr>
            <w:tcW w:w="479" w:type="dxa"/>
            <w:tcBorders>
              <w:top w:val="nil"/>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Микропредприятия</w:t>
            </w:r>
          </w:p>
        </w:tc>
        <w:tc>
          <w:tcPr>
            <w:tcW w:w="567" w:type="dxa"/>
            <w:tcBorders>
              <w:top w:val="nil"/>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Малые предприятия</w:t>
            </w:r>
          </w:p>
        </w:tc>
        <w:tc>
          <w:tcPr>
            <w:tcW w:w="567" w:type="dxa"/>
            <w:tcBorders>
              <w:top w:val="nil"/>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Средние предприятия</w:t>
            </w:r>
          </w:p>
        </w:tc>
        <w:tc>
          <w:tcPr>
            <w:tcW w:w="708" w:type="dxa"/>
            <w:tcBorders>
              <w:top w:val="nil"/>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Крупные предприятия (экспертно)</w:t>
            </w:r>
          </w:p>
        </w:tc>
        <w:tc>
          <w:tcPr>
            <w:tcW w:w="961" w:type="dxa"/>
            <w:tcBorders>
              <w:top w:val="nil"/>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Кол-во предприятий, получивших лицензии</w:t>
            </w:r>
          </w:p>
        </w:tc>
        <w:tc>
          <w:tcPr>
            <w:tcW w:w="1134" w:type="dxa"/>
            <w:vMerge/>
            <w:tcBorders>
              <w:left w:val="single" w:sz="4" w:space="0" w:color="auto"/>
              <w:bottom w:val="single" w:sz="4" w:space="0" w:color="auto"/>
              <w:right w:val="single" w:sz="4" w:space="0" w:color="auto"/>
            </w:tcBorders>
            <w:vAlign w:val="center"/>
            <w:hideMark/>
          </w:tcPr>
          <w:p w:rsidR="00F71F9D" w:rsidRPr="00130274" w:rsidRDefault="00F71F9D" w:rsidP="006E6091">
            <w:pPr>
              <w:rPr>
                <w:rFonts w:ascii="Arial Narrow" w:hAnsi="Arial Narrow"/>
                <w:sz w:val="18"/>
                <w:szCs w:val="18"/>
              </w:rPr>
            </w:pPr>
          </w:p>
        </w:tc>
        <w:tc>
          <w:tcPr>
            <w:tcW w:w="996" w:type="dxa"/>
            <w:vMerge/>
            <w:tcBorders>
              <w:left w:val="single" w:sz="4" w:space="0" w:color="auto"/>
              <w:bottom w:val="single" w:sz="4" w:space="0" w:color="auto"/>
              <w:right w:val="single" w:sz="4" w:space="0" w:color="auto"/>
            </w:tcBorders>
            <w:vAlign w:val="center"/>
            <w:hideMark/>
          </w:tcPr>
          <w:p w:rsidR="00F71F9D" w:rsidRPr="00130274" w:rsidRDefault="00F71F9D" w:rsidP="006E6091">
            <w:pPr>
              <w:rPr>
                <w:rFonts w:ascii="Arial Narrow" w:hAnsi="Arial Narrow"/>
                <w:sz w:val="18"/>
                <w:szCs w:val="18"/>
              </w:rPr>
            </w:pPr>
          </w:p>
        </w:tc>
      </w:tr>
      <w:tr w:rsidR="00F71F9D" w:rsidRPr="00130274" w:rsidTr="006E6091">
        <w:tc>
          <w:tcPr>
            <w:tcW w:w="10247" w:type="dxa"/>
            <w:gridSpan w:val="12"/>
            <w:tcBorders>
              <w:top w:val="single" w:sz="4" w:space="0" w:color="auto"/>
              <w:left w:val="single" w:sz="4" w:space="0" w:color="auto"/>
              <w:bottom w:val="single" w:sz="4" w:space="0" w:color="auto"/>
              <w:right w:val="single" w:sz="4" w:space="0" w:color="auto"/>
            </w:tcBorders>
            <w:shd w:val="clear" w:color="auto" w:fill="auto"/>
            <w:vAlign w:val="center"/>
            <w:hideMark/>
          </w:tcPr>
          <w:p w:rsidR="00F71F9D" w:rsidRPr="00130274" w:rsidRDefault="00B13240" w:rsidP="006E6091">
            <w:pPr>
              <w:rPr>
                <w:rFonts w:ascii="Arial Narrow" w:hAnsi="Arial Narrow"/>
                <w:b/>
                <w:bCs/>
                <w:sz w:val="18"/>
                <w:szCs w:val="18"/>
              </w:rPr>
            </w:pPr>
            <w:r w:rsidRPr="00B13240">
              <w:rPr>
                <w:rFonts w:ascii="Arial Narrow" w:hAnsi="Arial Narrow"/>
                <w:b/>
                <w:bCs/>
                <w:sz w:val="18"/>
                <w:szCs w:val="18"/>
              </w:rPr>
              <w:t>Социально значимые рынки</w:t>
            </w:r>
          </w:p>
        </w:tc>
      </w:tr>
      <w:tr w:rsidR="00F71F9D" w:rsidRPr="00130274" w:rsidTr="006E6091">
        <w:tc>
          <w:tcPr>
            <w:tcW w:w="318" w:type="dxa"/>
            <w:tcBorders>
              <w:top w:val="nil"/>
              <w:left w:val="single" w:sz="4" w:space="0" w:color="auto"/>
              <w:bottom w:val="single" w:sz="4" w:space="0" w:color="auto"/>
              <w:right w:val="single" w:sz="4" w:space="0" w:color="auto"/>
            </w:tcBorders>
            <w:shd w:val="clear" w:color="auto" w:fill="auto"/>
            <w:noWrap/>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1</w:t>
            </w:r>
          </w:p>
        </w:tc>
        <w:tc>
          <w:tcPr>
            <w:tcW w:w="2409" w:type="dxa"/>
            <w:tcBorders>
              <w:top w:val="single" w:sz="4" w:space="0" w:color="auto"/>
              <w:left w:val="nil"/>
              <w:bottom w:val="single" w:sz="4" w:space="0" w:color="auto"/>
              <w:right w:val="single" w:sz="4" w:space="0" w:color="auto"/>
            </w:tcBorders>
            <w:shd w:val="clear" w:color="auto" w:fill="auto"/>
            <w:noWrap/>
            <w:vAlign w:val="center"/>
            <w:hideMark/>
          </w:tcPr>
          <w:p w:rsidR="00F71F9D" w:rsidRPr="00130274" w:rsidRDefault="00B13240" w:rsidP="006E6091">
            <w:pPr>
              <w:rPr>
                <w:rFonts w:ascii="Arial Narrow" w:hAnsi="Arial Narrow"/>
                <w:sz w:val="18"/>
                <w:szCs w:val="18"/>
              </w:rPr>
            </w:pPr>
            <w:r w:rsidRPr="00B13240">
              <w:rPr>
                <w:rFonts w:ascii="Arial Narrow" w:hAnsi="Arial Narrow"/>
                <w:sz w:val="18"/>
                <w:szCs w:val="18"/>
              </w:rPr>
              <w:t>Рынок услуг дошкольного образования (коммерческие детские сады и учреждения пребывания неполного дня)</w:t>
            </w:r>
          </w:p>
        </w:tc>
        <w:tc>
          <w:tcPr>
            <w:tcW w:w="708" w:type="dxa"/>
            <w:tcBorders>
              <w:top w:val="nil"/>
              <w:left w:val="nil"/>
              <w:bottom w:val="single" w:sz="4" w:space="0" w:color="auto"/>
              <w:right w:val="single" w:sz="4" w:space="0" w:color="auto"/>
            </w:tcBorders>
            <w:shd w:val="clear" w:color="auto" w:fill="auto"/>
            <w:noWrap/>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835</w:t>
            </w:r>
          </w:p>
        </w:tc>
        <w:tc>
          <w:tcPr>
            <w:tcW w:w="883" w:type="dxa"/>
            <w:tcBorders>
              <w:top w:val="nil"/>
              <w:left w:val="nil"/>
              <w:bottom w:val="single" w:sz="4" w:space="0" w:color="auto"/>
              <w:right w:val="single" w:sz="4" w:space="0" w:color="auto"/>
            </w:tcBorders>
            <w:shd w:val="clear" w:color="auto" w:fill="auto"/>
            <w:noWrap/>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91,3%</w:t>
            </w:r>
          </w:p>
        </w:tc>
        <w:tc>
          <w:tcPr>
            <w:tcW w:w="513" w:type="dxa"/>
            <w:tcBorders>
              <w:top w:val="nil"/>
              <w:left w:val="nil"/>
              <w:bottom w:val="single" w:sz="4" w:space="0" w:color="auto"/>
              <w:right w:val="single" w:sz="4" w:space="0" w:color="auto"/>
            </w:tcBorders>
            <w:shd w:val="clear" w:color="auto" w:fill="auto"/>
            <w:noWrap/>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73</w:t>
            </w:r>
          </w:p>
        </w:tc>
        <w:tc>
          <w:tcPr>
            <w:tcW w:w="479" w:type="dxa"/>
            <w:tcBorders>
              <w:top w:val="nil"/>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73</w:t>
            </w:r>
          </w:p>
        </w:tc>
        <w:tc>
          <w:tcPr>
            <w:tcW w:w="567" w:type="dxa"/>
            <w:tcBorders>
              <w:top w:val="nil"/>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0</w:t>
            </w:r>
          </w:p>
        </w:tc>
        <w:tc>
          <w:tcPr>
            <w:tcW w:w="567" w:type="dxa"/>
            <w:tcBorders>
              <w:top w:val="nil"/>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0</w:t>
            </w:r>
          </w:p>
        </w:tc>
        <w:tc>
          <w:tcPr>
            <w:tcW w:w="708" w:type="dxa"/>
            <w:tcBorders>
              <w:top w:val="nil"/>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0</w:t>
            </w:r>
          </w:p>
        </w:tc>
        <w:tc>
          <w:tcPr>
            <w:tcW w:w="961" w:type="dxa"/>
            <w:tcBorders>
              <w:top w:val="nil"/>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1078 (на 02.02.2017)</w:t>
            </w:r>
          </w:p>
        </w:tc>
        <w:tc>
          <w:tcPr>
            <w:tcW w:w="1134" w:type="dxa"/>
            <w:tcBorders>
              <w:top w:val="nil"/>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762</w:t>
            </w:r>
          </w:p>
        </w:tc>
        <w:tc>
          <w:tcPr>
            <w:tcW w:w="996" w:type="dxa"/>
            <w:tcBorders>
              <w:top w:val="nil"/>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11,4%</w:t>
            </w:r>
          </w:p>
        </w:tc>
      </w:tr>
      <w:tr w:rsidR="00F71F9D" w:rsidRPr="00130274" w:rsidTr="006E6091">
        <w:tc>
          <w:tcPr>
            <w:tcW w:w="318" w:type="dxa"/>
            <w:tcBorders>
              <w:top w:val="nil"/>
              <w:left w:val="single" w:sz="4" w:space="0" w:color="auto"/>
              <w:bottom w:val="single" w:sz="4" w:space="0" w:color="auto"/>
              <w:right w:val="single" w:sz="4" w:space="0" w:color="auto"/>
            </w:tcBorders>
            <w:shd w:val="clear" w:color="auto" w:fill="auto"/>
            <w:noWrap/>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2</w:t>
            </w:r>
          </w:p>
        </w:tc>
        <w:tc>
          <w:tcPr>
            <w:tcW w:w="2409" w:type="dxa"/>
            <w:tcBorders>
              <w:top w:val="single" w:sz="4" w:space="0" w:color="auto"/>
              <w:left w:val="nil"/>
              <w:bottom w:val="single" w:sz="4" w:space="0" w:color="auto"/>
              <w:right w:val="single" w:sz="4" w:space="0" w:color="auto"/>
            </w:tcBorders>
            <w:shd w:val="clear" w:color="auto" w:fill="auto"/>
            <w:noWrap/>
            <w:vAlign w:val="center"/>
            <w:hideMark/>
          </w:tcPr>
          <w:p w:rsidR="00F71F9D" w:rsidRPr="00130274" w:rsidRDefault="00B13240" w:rsidP="006E6091">
            <w:pPr>
              <w:rPr>
                <w:rFonts w:ascii="Arial Narrow" w:hAnsi="Arial Narrow"/>
                <w:sz w:val="18"/>
                <w:szCs w:val="18"/>
              </w:rPr>
            </w:pPr>
            <w:r w:rsidRPr="00B13240">
              <w:rPr>
                <w:rFonts w:ascii="Arial Narrow" w:hAnsi="Arial Narrow"/>
                <w:sz w:val="18"/>
                <w:szCs w:val="18"/>
              </w:rPr>
              <w:t>Рынок услуг детского отдыха и оздоровления</w:t>
            </w:r>
          </w:p>
        </w:tc>
        <w:tc>
          <w:tcPr>
            <w:tcW w:w="708" w:type="dxa"/>
            <w:tcBorders>
              <w:top w:val="nil"/>
              <w:left w:val="nil"/>
              <w:bottom w:val="single" w:sz="4" w:space="0" w:color="auto"/>
              <w:right w:val="single" w:sz="4" w:space="0" w:color="auto"/>
            </w:tcBorders>
            <w:shd w:val="clear" w:color="auto" w:fill="auto"/>
            <w:noWrap/>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70</w:t>
            </w:r>
          </w:p>
        </w:tc>
        <w:tc>
          <w:tcPr>
            <w:tcW w:w="883" w:type="dxa"/>
            <w:tcBorders>
              <w:top w:val="nil"/>
              <w:left w:val="nil"/>
              <w:bottom w:val="single" w:sz="4" w:space="0" w:color="auto"/>
              <w:right w:val="single" w:sz="4" w:space="0" w:color="auto"/>
            </w:tcBorders>
            <w:shd w:val="clear" w:color="auto" w:fill="auto"/>
            <w:noWrap/>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78,6%</w:t>
            </w:r>
          </w:p>
        </w:tc>
        <w:tc>
          <w:tcPr>
            <w:tcW w:w="513" w:type="dxa"/>
            <w:tcBorders>
              <w:top w:val="nil"/>
              <w:left w:val="nil"/>
              <w:bottom w:val="single" w:sz="4" w:space="0" w:color="auto"/>
              <w:right w:val="single" w:sz="4" w:space="0" w:color="auto"/>
            </w:tcBorders>
            <w:shd w:val="clear" w:color="auto" w:fill="auto"/>
            <w:noWrap/>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15</w:t>
            </w:r>
          </w:p>
        </w:tc>
        <w:tc>
          <w:tcPr>
            <w:tcW w:w="479" w:type="dxa"/>
            <w:tcBorders>
              <w:top w:val="nil"/>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10</w:t>
            </w:r>
          </w:p>
        </w:tc>
        <w:tc>
          <w:tcPr>
            <w:tcW w:w="567" w:type="dxa"/>
            <w:tcBorders>
              <w:top w:val="nil"/>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3</w:t>
            </w:r>
          </w:p>
        </w:tc>
        <w:tc>
          <w:tcPr>
            <w:tcW w:w="567" w:type="dxa"/>
            <w:tcBorders>
              <w:top w:val="nil"/>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2</w:t>
            </w:r>
          </w:p>
        </w:tc>
        <w:tc>
          <w:tcPr>
            <w:tcW w:w="708" w:type="dxa"/>
            <w:tcBorders>
              <w:top w:val="nil"/>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0</w:t>
            </w:r>
          </w:p>
        </w:tc>
        <w:tc>
          <w:tcPr>
            <w:tcW w:w="961" w:type="dxa"/>
            <w:tcBorders>
              <w:top w:val="nil"/>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w:t>
            </w:r>
          </w:p>
        </w:tc>
        <w:tc>
          <w:tcPr>
            <w:tcW w:w="1134" w:type="dxa"/>
            <w:tcBorders>
              <w:top w:val="nil"/>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55</w:t>
            </w:r>
          </w:p>
        </w:tc>
        <w:tc>
          <w:tcPr>
            <w:tcW w:w="996" w:type="dxa"/>
            <w:tcBorders>
              <w:top w:val="nil"/>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2,5%</w:t>
            </w:r>
          </w:p>
        </w:tc>
      </w:tr>
      <w:tr w:rsidR="00F71F9D" w:rsidRPr="00130274" w:rsidTr="006E6091">
        <w:tc>
          <w:tcPr>
            <w:tcW w:w="318" w:type="dxa"/>
            <w:tcBorders>
              <w:top w:val="nil"/>
              <w:left w:val="single" w:sz="4" w:space="0" w:color="auto"/>
              <w:bottom w:val="single" w:sz="4" w:space="0" w:color="auto"/>
              <w:right w:val="single" w:sz="4" w:space="0" w:color="auto"/>
            </w:tcBorders>
            <w:shd w:val="clear" w:color="auto" w:fill="auto"/>
            <w:noWrap/>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3</w:t>
            </w:r>
          </w:p>
        </w:tc>
        <w:tc>
          <w:tcPr>
            <w:tcW w:w="2409" w:type="dxa"/>
            <w:tcBorders>
              <w:top w:val="single" w:sz="4" w:space="0" w:color="auto"/>
              <w:left w:val="nil"/>
              <w:bottom w:val="single" w:sz="4" w:space="0" w:color="auto"/>
              <w:right w:val="single" w:sz="4" w:space="0" w:color="auto"/>
            </w:tcBorders>
            <w:shd w:val="clear" w:color="auto" w:fill="auto"/>
            <w:noWrap/>
            <w:vAlign w:val="center"/>
            <w:hideMark/>
          </w:tcPr>
          <w:p w:rsidR="00F71F9D" w:rsidRPr="00130274" w:rsidRDefault="00B13240" w:rsidP="006E6091">
            <w:pPr>
              <w:rPr>
                <w:rFonts w:ascii="Arial Narrow" w:hAnsi="Arial Narrow"/>
                <w:sz w:val="18"/>
                <w:szCs w:val="18"/>
              </w:rPr>
            </w:pPr>
            <w:r w:rsidRPr="00B13240">
              <w:rPr>
                <w:rFonts w:ascii="Arial Narrow" w:hAnsi="Arial Narrow"/>
                <w:sz w:val="18"/>
                <w:szCs w:val="18"/>
              </w:rPr>
              <w:t>Рынок услуг дополнительного образования детей</w:t>
            </w:r>
          </w:p>
        </w:tc>
        <w:tc>
          <w:tcPr>
            <w:tcW w:w="708" w:type="dxa"/>
            <w:tcBorders>
              <w:top w:val="nil"/>
              <w:left w:val="nil"/>
              <w:bottom w:val="single" w:sz="4" w:space="0" w:color="auto"/>
              <w:right w:val="single" w:sz="4" w:space="0" w:color="auto"/>
            </w:tcBorders>
            <w:shd w:val="clear" w:color="auto" w:fill="auto"/>
            <w:noWrap/>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507</w:t>
            </w:r>
          </w:p>
        </w:tc>
        <w:tc>
          <w:tcPr>
            <w:tcW w:w="883" w:type="dxa"/>
            <w:tcBorders>
              <w:top w:val="nil"/>
              <w:left w:val="nil"/>
              <w:bottom w:val="single" w:sz="4" w:space="0" w:color="auto"/>
              <w:right w:val="single" w:sz="4" w:space="0" w:color="auto"/>
            </w:tcBorders>
            <w:shd w:val="clear" w:color="auto" w:fill="auto"/>
            <w:noWrap/>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46,4%</w:t>
            </w:r>
          </w:p>
        </w:tc>
        <w:tc>
          <w:tcPr>
            <w:tcW w:w="513" w:type="dxa"/>
            <w:tcBorders>
              <w:top w:val="nil"/>
              <w:left w:val="nil"/>
              <w:bottom w:val="single" w:sz="4" w:space="0" w:color="auto"/>
              <w:right w:val="single" w:sz="4" w:space="0" w:color="auto"/>
            </w:tcBorders>
            <w:shd w:val="clear" w:color="auto" w:fill="auto"/>
            <w:noWrap/>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272</w:t>
            </w:r>
          </w:p>
        </w:tc>
        <w:tc>
          <w:tcPr>
            <w:tcW w:w="479" w:type="dxa"/>
            <w:tcBorders>
              <w:top w:val="nil"/>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272</w:t>
            </w:r>
          </w:p>
        </w:tc>
        <w:tc>
          <w:tcPr>
            <w:tcW w:w="567" w:type="dxa"/>
            <w:tcBorders>
              <w:top w:val="nil"/>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0</w:t>
            </w:r>
          </w:p>
        </w:tc>
        <w:tc>
          <w:tcPr>
            <w:tcW w:w="567" w:type="dxa"/>
            <w:tcBorders>
              <w:top w:val="nil"/>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0</w:t>
            </w:r>
          </w:p>
        </w:tc>
        <w:tc>
          <w:tcPr>
            <w:tcW w:w="708" w:type="dxa"/>
            <w:tcBorders>
              <w:top w:val="nil"/>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0</w:t>
            </w:r>
          </w:p>
        </w:tc>
        <w:tc>
          <w:tcPr>
            <w:tcW w:w="961" w:type="dxa"/>
            <w:tcBorders>
              <w:top w:val="nil"/>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w:t>
            </w:r>
          </w:p>
        </w:tc>
        <w:tc>
          <w:tcPr>
            <w:tcW w:w="1134" w:type="dxa"/>
            <w:tcBorders>
              <w:top w:val="nil"/>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235</w:t>
            </w:r>
          </w:p>
        </w:tc>
        <w:tc>
          <w:tcPr>
            <w:tcW w:w="996" w:type="dxa"/>
            <w:tcBorders>
              <w:top w:val="nil"/>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12,6%</w:t>
            </w:r>
          </w:p>
        </w:tc>
      </w:tr>
      <w:tr w:rsidR="00F71F9D" w:rsidRPr="00130274" w:rsidTr="00130274">
        <w:tc>
          <w:tcPr>
            <w:tcW w:w="318" w:type="dxa"/>
            <w:tcBorders>
              <w:top w:val="nil"/>
              <w:left w:val="single" w:sz="4" w:space="0" w:color="auto"/>
              <w:bottom w:val="single" w:sz="4" w:space="0" w:color="auto"/>
              <w:right w:val="single" w:sz="4" w:space="0" w:color="auto"/>
            </w:tcBorders>
            <w:shd w:val="clear" w:color="auto" w:fill="auto"/>
            <w:noWrap/>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4</w:t>
            </w:r>
          </w:p>
        </w:tc>
        <w:tc>
          <w:tcPr>
            <w:tcW w:w="2409" w:type="dxa"/>
            <w:tcBorders>
              <w:top w:val="single" w:sz="4" w:space="0" w:color="auto"/>
              <w:left w:val="nil"/>
              <w:bottom w:val="single" w:sz="4" w:space="0" w:color="auto"/>
              <w:right w:val="single" w:sz="4" w:space="0" w:color="auto"/>
            </w:tcBorders>
            <w:shd w:val="clear" w:color="auto" w:fill="auto"/>
            <w:noWrap/>
            <w:vAlign w:val="center"/>
            <w:hideMark/>
          </w:tcPr>
          <w:p w:rsidR="00F71F9D" w:rsidRPr="00130274" w:rsidRDefault="00B13240" w:rsidP="006E6091">
            <w:pPr>
              <w:rPr>
                <w:rFonts w:ascii="Arial Narrow" w:hAnsi="Arial Narrow"/>
                <w:sz w:val="18"/>
                <w:szCs w:val="18"/>
              </w:rPr>
            </w:pPr>
            <w:r w:rsidRPr="00B13240">
              <w:rPr>
                <w:rFonts w:ascii="Arial Narrow" w:hAnsi="Arial Narrow"/>
                <w:sz w:val="18"/>
                <w:szCs w:val="18"/>
              </w:rPr>
              <w:t>Рынок медицинских услуг</w:t>
            </w:r>
          </w:p>
        </w:tc>
        <w:tc>
          <w:tcPr>
            <w:tcW w:w="708" w:type="dxa"/>
            <w:tcBorders>
              <w:top w:val="nil"/>
              <w:left w:val="nil"/>
              <w:bottom w:val="single" w:sz="4" w:space="0" w:color="auto"/>
              <w:right w:val="single" w:sz="4" w:space="0" w:color="auto"/>
            </w:tcBorders>
            <w:shd w:val="clear" w:color="auto" w:fill="auto"/>
            <w:noWrap/>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1276</w:t>
            </w:r>
          </w:p>
        </w:tc>
        <w:tc>
          <w:tcPr>
            <w:tcW w:w="883" w:type="dxa"/>
            <w:tcBorders>
              <w:top w:val="nil"/>
              <w:left w:val="nil"/>
              <w:bottom w:val="single" w:sz="4" w:space="0" w:color="auto"/>
              <w:right w:val="single" w:sz="4" w:space="0" w:color="auto"/>
            </w:tcBorders>
            <w:shd w:val="clear" w:color="auto" w:fill="auto"/>
            <w:noWrap/>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8,7%</w:t>
            </w:r>
          </w:p>
        </w:tc>
        <w:tc>
          <w:tcPr>
            <w:tcW w:w="513" w:type="dxa"/>
            <w:tcBorders>
              <w:top w:val="nil"/>
              <w:left w:val="nil"/>
              <w:bottom w:val="single" w:sz="4" w:space="0" w:color="auto"/>
              <w:right w:val="single" w:sz="4" w:space="0" w:color="auto"/>
            </w:tcBorders>
            <w:shd w:val="clear" w:color="auto" w:fill="auto"/>
            <w:noWrap/>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1165</w:t>
            </w:r>
          </w:p>
        </w:tc>
        <w:tc>
          <w:tcPr>
            <w:tcW w:w="479" w:type="dxa"/>
            <w:tcBorders>
              <w:top w:val="nil"/>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1041</w:t>
            </w:r>
          </w:p>
        </w:tc>
        <w:tc>
          <w:tcPr>
            <w:tcW w:w="567" w:type="dxa"/>
            <w:tcBorders>
              <w:top w:val="nil"/>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120</w:t>
            </w:r>
          </w:p>
        </w:tc>
        <w:tc>
          <w:tcPr>
            <w:tcW w:w="567" w:type="dxa"/>
            <w:tcBorders>
              <w:top w:val="nil"/>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4</w:t>
            </w:r>
          </w:p>
        </w:tc>
        <w:tc>
          <w:tcPr>
            <w:tcW w:w="708" w:type="dxa"/>
            <w:tcBorders>
              <w:top w:val="nil"/>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0</w:t>
            </w:r>
          </w:p>
        </w:tc>
        <w:tc>
          <w:tcPr>
            <w:tcW w:w="961" w:type="dxa"/>
            <w:tcBorders>
              <w:top w:val="nil"/>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1130 (на 01.01.2016)</w:t>
            </w:r>
          </w:p>
        </w:tc>
        <w:tc>
          <w:tcPr>
            <w:tcW w:w="1134" w:type="dxa"/>
            <w:tcBorders>
              <w:top w:val="nil"/>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111</w:t>
            </w:r>
          </w:p>
        </w:tc>
        <w:tc>
          <w:tcPr>
            <w:tcW w:w="996" w:type="dxa"/>
            <w:tcBorders>
              <w:top w:val="nil"/>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75,2%</w:t>
            </w:r>
          </w:p>
        </w:tc>
      </w:tr>
      <w:tr w:rsidR="00F71F9D" w:rsidRPr="00130274" w:rsidTr="00130274">
        <w:trPr>
          <w:trHeight w:val="383"/>
        </w:trPr>
        <w:tc>
          <w:tcPr>
            <w:tcW w:w="31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lastRenderedPageBreak/>
              <w:t>5</w:t>
            </w:r>
          </w:p>
        </w:tc>
        <w:tc>
          <w:tcPr>
            <w:tcW w:w="240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1F9D" w:rsidRPr="00130274" w:rsidRDefault="00B13240" w:rsidP="006E6091">
            <w:pPr>
              <w:rPr>
                <w:rFonts w:ascii="Arial Narrow" w:hAnsi="Arial Narrow"/>
                <w:sz w:val="18"/>
                <w:szCs w:val="18"/>
              </w:rPr>
            </w:pPr>
            <w:r w:rsidRPr="00B13240">
              <w:rPr>
                <w:rFonts w:ascii="Arial Narrow" w:hAnsi="Arial Narrow"/>
                <w:sz w:val="18"/>
                <w:szCs w:val="18"/>
              </w:rPr>
              <w:t>Рынок услуг психолого-педагогического сопровождения детей с ограниченными возможностями здоровья</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12</w:t>
            </w:r>
          </w:p>
        </w:tc>
        <w:tc>
          <w:tcPr>
            <w:tcW w:w="88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33,3%</w:t>
            </w:r>
          </w:p>
        </w:tc>
        <w:tc>
          <w:tcPr>
            <w:tcW w:w="51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8</w:t>
            </w:r>
          </w:p>
        </w:tc>
        <w:tc>
          <w:tcPr>
            <w:tcW w:w="47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8</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0</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0</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0</w:t>
            </w:r>
          </w:p>
        </w:tc>
        <w:tc>
          <w:tcPr>
            <w:tcW w:w="96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Ряду организаций выдаются лицензии на осуществление мед. деятельности</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4</w:t>
            </w:r>
          </w:p>
        </w:tc>
        <w:tc>
          <w:tcPr>
            <w:tcW w:w="9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Нет данных</w:t>
            </w:r>
          </w:p>
        </w:tc>
      </w:tr>
      <w:tr w:rsidR="00F71F9D" w:rsidRPr="00130274" w:rsidTr="00130274">
        <w:trPr>
          <w:trHeight w:val="383"/>
        </w:trPr>
        <w:tc>
          <w:tcPr>
            <w:tcW w:w="318" w:type="dxa"/>
            <w:vMerge/>
            <w:tcBorders>
              <w:top w:val="single" w:sz="4" w:space="0" w:color="auto"/>
              <w:left w:val="single" w:sz="4" w:space="0" w:color="auto"/>
              <w:bottom w:val="single" w:sz="4" w:space="0" w:color="auto"/>
              <w:right w:val="single" w:sz="4" w:space="0" w:color="auto"/>
            </w:tcBorders>
            <w:vAlign w:val="center"/>
            <w:hideMark/>
          </w:tcPr>
          <w:p w:rsidR="00F71F9D" w:rsidRPr="00130274" w:rsidRDefault="00F71F9D" w:rsidP="006E6091">
            <w:pPr>
              <w:rPr>
                <w:rFonts w:ascii="Arial Narrow" w:hAnsi="Arial Narrow"/>
                <w:sz w:val="18"/>
                <w:szCs w:val="18"/>
              </w:rPr>
            </w:pPr>
          </w:p>
        </w:tc>
        <w:tc>
          <w:tcPr>
            <w:tcW w:w="2409" w:type="dxa"/>
            <w:vMerge/>
            <w:tcBorders>
              <w:top w:val="single" w:sz="4" w:space="0" w:color="auto"/>
              <w:left w:val="single" w:sz="4" w:space="0" w:color="auto"/>
              <w:bottom w:val="single" w:sz="4" w:space="0" w:color="auto"/>
              <w:right w:val="single" w:sz="4" w:space="0" w:color="auto"/>
            </w:tcBorders>
            <w:vAlign w:val="center"/>
            <w:hideMark/>
          </w:tcPr>
          <w:p w:rsidR="00F71F9D" w:rsidRPr="00130274" w:rsidRDefault="00F71F9D" w:rsidP="006E6091">
            <w:pPr>
              <w:rPr>
                <w:rFonts w:ascii="Arial Narrow" w:hAnsi="Arial Narrow"/>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rsidR="00F71F9D" w:rsidRPr="00130274" w:rsidRDefault="00F71F9D" w:rsidP="006E6091">
            <w:pPr>
              <w:rPr>
                <w:rFonts w:ascii="Arial Narrow" w:hAnsi="Arial Narrow"/>
                <w:sz w:val="18"/>
                <w:szCs w:val="18"/>
              </w:rPr>
            </w:pPr>
          </w:p>
        </w:tc>
        <w:tc>
          <w:tcPr>
            <w:tcW w:w="883" w:type="dxa"/>
            <w:vMerge/>
            <w:tcBorders>
              <w:top w:val="single" w:sz="4" w:space="0" w:color="auto"/>
              <w:left w:val="single" w:sz="4" w:space="0" w:color="auto"/>
              <w:bottom w:val="single" w:sz="4" w:space="0" w:color="auto"/>
              <w:right w:val="single" w:sz="4" w:space="0" w:color="auto"/>
            </w:tcBorders>
            <w:vAlign w:val="center"/>
            <w:hideMark/>
          </w:tcPr>
          <w:p w:rsidR="00F71F9D" w:rsidRPr="00130274" w:rsidRDefault="00F71F9D" w:rsidP="006E6091">
            <w:pPr>
              <w:rPr>
                <w:rFonts w:ascii="Arial Narrow" w:hAnsi="Arial Narrow"/>
                <w:sz w:val="18"/>
                <w:szCs w:val="18"/>
              </w:rPr>
            </w:pPr>
          </w:p>
        </w:tc>
        <w:tc>
          <w:tcPr>
            <w:tcW w:w="513" w:type="dxa"/>
            <w:vMerge/>
            <w:tcBorders>
              <w:top w:val="single" w:sz="4" w:space="0" w:color="auto"/>
              <w:left w:val="single" w:sz="4" w:space="0" w:color="auto"/>
              <w:bottom w:val="single" w:sz="4" w:space="0" w:color="auto"/>
              <w:right w:val="single" w:sz="4" w:space="0" w:color="auto"/>
            </w:tcBorders>
            <w:vAlign w:val="center"/>
            <w:hideMark/>
          </w:tcPr>
          <w:p w:rsidR="00F71F9D" w:rsidRPr="00130274" w:rsidRDefault="00F71F9D" w:rsidP="006E6091">
            <w:pPr>
              <w:rPr>
                <w:rFonts w:ascii="Arial Narrow" w:hAnsi="Arial Narrow"/>
                <w:sz w:val="18"/>
                <w:szCs w:val="18"/>
              </w:rPr>
            </w:pPr>
          </w:p>
        </w:tc>
        <w:tc>
          <w:tcPr>
            <w:tcW w:w="479" w:type="dxa"/>
            <w:vMerge/>
            <w:tcBorders>
              <w:top w:val="single" w:sz="4" w:space="0" w:color="auto"/>
              <w:left w:val="single" w:sz="4" w:space="0" w:color="auto"/>
              <w:bottom w:val="single" w:sz="4" w:space="0" w:color="auto"/>
              <w:right w:val="single" w:sz="4" w:space="0" w:color="auto"/>
            </w:tcBorders>
            <w:vAlign w:val="center"/>
            <w:hideMark/>
          </w:tcPr>
          <w:p w:rsidR="00F71F9D" w:rsidRPr="00130274" w:rsidRDefault="00F71F9D" w:rsidP="006E6091">
            <w:pPr>
              <w:rPr>
                <w:rFonts w:ascii="Arial Narrow" w:hAnsi="Arial Narrow"/>
                <w:sz w:val="18"/>
                <w:szCs w:val="18"/>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F71F9D" w:rsidRPr="00130274" w:rsidRDefault="00F71F9D" w:rsidP="006E6091">
            <w:pPr>
              <w:rPr>
                <w:rFonts w:ascii="Arial Narrow" w:hAnsi="Arial Narrow"/>
                <w:sz w:val="18"/>
                <w:szCs w:val="18"/>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F71F9D" w:rsidRPr="00130274" w:rsidRDefault="00F71F9D" w:rsidP="006E6091">
            <w:pPr>
              <w:rPr>
                <w:rFonts w:ascii="Arial Narrow" w:hAnsi="Arial Narrow"/>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rsidR="00F71F9D" w:rsidRPr="00130274" w:rsidRDefault="00F71F9D" w:rsidP="006E6091">
            <w:pPr>
              <w:rPr>
                <w:rFonts w:ascii="Arial Narrow" w:hAnsi="Arial Narrow"/>
                <w:sz w:val="18"/>
                <w:szCs w:val="18"/>
              </w:rPr>
            </w:pPr>
          </w:p>
        </w:tc>
        <w:tc>
          <w:tcPr>
            <w:tcW w:w="961" w:type="dxa"/>
            <w:vMerge/>
            <w:tcBorders>
              <w:top w:val="single" w:sz="4" w:space="0" w:color="auto"/>
              <w:left w:val="single" w:sz="4" w:space="0" w:color="auto"/>
              <w:bottom w:val="single" w:sz="4" w:space="0" w:color="auto"/>
              <w:right w:val="single" w:sz="4" w:space="0" w:color="auto"/>
            </w:tcBorders>
            <w:vAlign w:val="center"/>
            <w:hideMark/>
          </w:tcPr>
          <w:p w:rsidR="00F71F9D" w:rsidRPr="00130274" w:rsidRDefault="00F71F9D" w:rsidP="006E6091">
            <w:pPr>
              <w:rPr>
                <w:rFonts w:ascii="Arial Narrow" w:hAnsi="Arial Narrow"/>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F71F9D" w:rsidRPr="00130274" w:rsidRDefault="00F71F9D" w:rsidP="006E6091">
            <w:pPr>
              <w:rPr>
                <w:rFonts w:ascii="Arial Narrow" w:hAnsi="Arial Narrow"/>
                <w:sz w:val="18"/>
                <w:szCs w:val="18"/>
              </w:rPr>
            </w:pPr>
          </w:p>
        </w:tc>
        <w:tc>
          <w:tcPr>
            <w:tcW w:w="996" w:type="dxa"/>
            <w:vMerge/>
            <w:tcBorders>
              <w:top w:val="single" w:sz="4" w:space="0" w:color="auto"/>
              <w:left w:val="single" w:sz="4" w:space="0" w:color="auto"/>
              <w:bottom w:val="single" w:sz="4" w:space="0" w:color="auto"/>
              <w:right w:val="single" w:sz="4" w:space="0" w:color="auto"/>
            </w:tcBorders>
            <w:vAlign w:val="center"/>
            <w:hideMark/>
          </w:tcPr>
          <w:p w:rsidR="00F71F9D" w:rsidRPr="00130274" w:rsidRDefault="00F71F9D" w:rsidP="006E6091">
            <w:pPr>
              <w:rPr>
                <w:rFonts w:ascii="Arial Narrow" w:hAnsi="Arial Narrow"/>
                <w:sz w:val="18"/>
                <w:szCs w:val="18"/>
              </w:rPr>
            </w:pPr>
          </w:p>
        </w:tc>
      </w:tr>
      <w:tr w:rsidR="00F71F9D" w:rsidRPr="00130274" w:rsidTr="00130274">
        <w:tc>
          <w:tcPr>
            <w:tcW w:w="3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6</w:t>
            </w:r>
          </w:p>
        </w:tc>
        <w:tc>
          <w:tcPr>
            <w:tcW w:w="2409" w:type="dxa"/>
            <w:tcBorders>
              <w:top w:val="single" w:sz="4" w:space="0" w:color="auto"/>
              <w:left w:val="nil"/>
              <w:bottom w:val="single" w:sz="4" w:space="0" w:color="auto"/>
              <w:right w:val="single" w:sz="4" w:space="0" w:color="auto"/>
            </w:tcBorders>
            <w:shd w:val="clear" w:color="auto" w:fill="auto"/>
            <w:noWrap/>
            <w:vAlign w:val="center"/>
            <w:hideMark/>
          </w:tcPr>
          <w:p w:rsidR="00F71F9D" w:rsidRPr="00130274" w:rsidRDefault="00B13240" w:rsidP="006E6091">
            <w:pPr>
              <w:rPr>
                <w:rFonts w:ascii="Arial Narrow" w:hAnsi="Arial Narrow"/>
                <w:sz w:val="18"/>
                <w:szCs w:val="18"/>
              </w:rPr>
            </w:pPr>
            <w:r w:rsidRPr="00B13240">
              <w:rPr>
                <w:rFonts w:ascii="Arial Narrow" w:hAnsi="Arial Narrow"/>
                <w:sz w:val="18"/>
                <w:szCs w:val="18"/>
              </w:rPr>
              <w:t>Рынок услуг в сфере культуры</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809</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66,7%</w:t>
            </w:r>
          </w:p>
        </w:tc>
        <w:tc>
          <w:tcPr>
            <w:tcW w:w="513" w:type="dxa"/>
            <w:tcBorders>
              <w:top w:val="single" w:sz="4" w:space="0" w:color="auto"/>
              <w:left w:val="nil"/>
              <w:bottom w:val="single" w:sz="4" w:space="0" w:color="auto"/>
              <w:right w:val="single" w:sz="4" w:space="0" w:color="auto"/>
            </w:tcBorders>
            <w:shd w:val="clear" w:color="auto" w:fill="auto"/>
            <w:noWrap/>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269</w:t>
            </w:r>
          </w:p>
        </w:tc>
        <w:tc>
          <w:tcPr>
            <w:tcW w:w="479" w:type="dxa"/>
            <w:tcBorders>
              <w:top w:val="single" w:sz="4" w:space="0" w:color="auto"/>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267</w:t>
            </w:r>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2</w:t>
            </w:r>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0</w:t>
            </w:r>
          </w:p>
        </w:tc>
        <w:tc>
          <w:tcPr>
            <w:tcW w:w="708" w:type="dxa"/>
            <w:tcBorders>
              <w:top w:val="single" w:sz="4" w:space="0" w:color="auto"/>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0</w:t>
            </w:r>
          </w:p>
        </w:tc>
        <w:tc>
          <w:tcPr>
            <w:tcW w:w="961" w:type="dxa"/>
            <w:tcBorders>
              <w:top w:val="single" w:sz="4" w:space="0" w:color="auto"/>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540</w:t>
            </w:r>
          </w:p>
        </w:tc>
        <w:tc>
          <w:tcPr>
            <w:tcW w:w="996" w:type="dxa"/>
            <w:tcBorders>
              <w:top w:val="single" w:sz="4" w:space="0" w:color="auto"/>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78,6%</w:t>
            </w:r>
          </w:p>
        </w:tc>
      </w:tr>
      <w:tr w:rsidR="00F71F9D" w:rsidRPr="00130274" w:rsidTr="00130274">
        <w:tc>
          <w:tcPr>
            <w:tcW w:w="3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7</w:t>
            </w:r>
          </w:p>
        </w:tc>
        <w:tc>
          <w:tcPr>
            <w:tcW w:w="2409" w:type="dxa"/>
            <w:tcBorders>
              <w:top w:val="single" w:sz="4" w:space="0" w:color="auto"/>
              <w:left w:val="nil"/>
              <w:bottom w:val="single" w:sz="4" w:space="0" w:color="auto"/>
              <w:right w:val="single" w:sz="4" w:space="0" w:color="auto"/>
            </w:tcBorders>
            <w:shd w:val="clear" w:color="auto" w:fill="auto"/>
            <w:noWrap/>
            <w:vAlign w:val="center"/>
            <w:hideMark/>
          </w:tcPr>
          <w:p w:rsidR="00F71F9D" w:rsidRPr="00130274" w:rsidRDefault="00B13240" w:rsidP="006E6091">
            <w:pPr>
              <w:rPr>
                <w:rFonts w:ascii="Arial Narrow" w:hAnsi="Arial Narrow"/>
                <w:sz w:val="18"/>
                <w:szCs w:val="18"/>
              </w:rPr>
            </w:pPr>
            <w:r w:rsidRPr="00B13240">
              <w:rPr>
                <w:rFonts w:ascii="Arial Narrow" w:hAnsi="Arial Narrow"/>
                <w:sz w:val="18"/>
                <w:szCs w:val="18"/>
              </w:rPr>
              <w:t>Рынок услуг жилищно-коммунального хозяйства (управляющие компании)</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1756</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18,3%</w:t>
            </w:r>
          </w:p>
        </w:tc>
        <w:tc>
          <w:tcPr>
            <w:tcW w:w="513" w:type="dxa"/>
            <w:tcBorders>
              <w:top w:val="single" w:sz="4" w:space="0" w:color="auto"/>
              <w:left w:val="nil"/>
              <w:bottom w:val="single" w:sz="4" w:space="0" w:color="auto"/>
              <w:right w:val="single" w:sz="4" w:space="0" w:color="auto"/>
            </w:tcBorders>
            <w:shd w:val="clear" w:color="auto" w:fill="auto"/>
            <w:noWrap/>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1435</w:t>
            </w:r>
          </w:p>
        </w:tc>
        <w:tc>
          <w:tcPr>
            <w:tcW w:w="479" w:type="dxa"/>
            <w:tcBorders>
              <w:top w:val="single" w:sz="4" w:space="0" w:color="auto"/>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1222</w:t>
            </w:r>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205</w:t>
            </w:r>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8</w:t>
            </w:r>
          </w:p>
        </w:tc>
        <w:tc>
          <w:tcPr>
            <w:tcW w:w="708" w:type="dxa"/>
            <w:tcBorders>
              <w:top w:val="single" w:sz="4" w:space="0" w:color="auto"/>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0</w:t>
            </w:r>
          </w:p>
        </w:tc>
        <w:tc>
          <w:tcPr>
            <w:tcW w:w="961" w:type="dxa"/>
            <w:tcBorders>
              <w:top w:val="single" w:sz="4" w:space="0" w:color="auto"/>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324 (на 01.01.2017)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321 (все предприятия ЖКХ, включая поставщиков услуг)</w:t>
            </w:r>
          </w:p>
        </w:tc>
        <w:tc>
          <w:tcPr>
            <w:tcW w:w="996" w:type="dxa"/>
            <w:tcBorders>
              <w:top w:val="single" w:sz="4" w:space="0" w:color="auto"/>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64,5%</w:t>
            </w:r>
          </w:p>
        </w:tc>
      </w:tr>
      <w:tr w:rsidR="00F71F9D" w:rsidRPr="00130274" w:rsidTr="00130274">
        <w:tc>
          <w:tcPr>
            <w:tcW w:w="3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8</w:t>
            </w:r>
          </w:p>
        </w:tc>
        <w:tc>
          <w:tcPr>
            <w:tcW w:w="2409" w:type="dxa"/>
            <w:tcBorders>
              <w:top w:val="single" w:sz="4" w:space="0" w:color="auto"/>
              <w:left w:val="nil"/>
              <w:bottom w:val="single" w:sz="4" w:space="0" w:color="auto"/>
              <w:right w:val="single" w:sz="4" w:space="0" w:color="auto"/>
            </w:tcBorders>
            <w:shd w:val="clear" w:color="auto" w:fill="auto"/>
            <w:noWrap/>
            <w:vAlign w:val="center"/>
            <w:hideMark/>
          </w:tcPr>
          <w:p w:rsidR="00F71F9D" w:rsidRPr="00130274" w:rsidRDefault="00B13240" w:rsidP="006E6091">
            <w:pPr>
              <w:rPr>
                <w:rFonts w:ascii="Arial Narrow" w:hAnsi="Arial Narrow"/>
                <w:sz w:val="18"/>
                <w:szCs w:val="18"/>
              </w:rPr>
            </w:pPr>
            <w:r w:rsidRPr="00B13240">
              <w:rPr>
                <w:rFonts w:ascii="Arial Narrow" w:hAnsi="Arial Narrow"/>
                <w:sz w:val="18"/>
                <w:szCs w:val="18"/>
              </w:rPr>
              <w:t>Розничная торговля (продажа продуктов питания и непродовольственных товаров)</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25500</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w:t>
            </w:r>
          </w:p>
        </w:tc>
        <w:tc>
          <w:tcPr>
            <w:tcW w:w="513" w:type="dxa"/>
            <w:tcBorders>
              <w:top w:val="single" w:sz="4" w:space="0" w:color="auto"/>
              <w:left w:val="nil"/>
              <w:bottom w:val="single" w:sz="4" w:space="0" w:color="auto"/>
              <w:right w:val="single" w:sz="4" w:space="0" w:color="auto"/>
            </w:tcBorders>
            <w:shd w:val="clear" w:color="auto" w:fill="auto"/>
            <w:noWrap/>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25500</w:t>
            </w:r>
          </w:p>
        </w:tc>
        <w:tc>
          <w:tcPr>
            <w:tcW w:w="479" w:type="dxa"/>
            <w:tcBorders>
              <w:top w:val="single" w:sz="4" w:space="0" w:color="auto"/>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24768</w:t>
            </w:r>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702</w:t>
            </w:r>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30</w:t>
            </w:r>
          </w:p>
        </w:tc>
        <w:tc>
          <w:tcPr>
            <w:tcW w:w="708" w:type="dxa"/>
            <w:tcBorders>
              <w:top w:val="single" w:sz="4" w:space="0" w:color="auto"/>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3</w:t>
            </w:r>
          </w:p>
        </w:tc>
        <w:tc>
          <w:tcPr>
            <w:tcW w:w="961" w:type="dxa"/>
            <w:tcBorders>
              <w:top w:val="single" w:sz="4" w:space="0" w:color="auto"/>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w:t>
            </w:r>
          </w:p>
        </w:tc>
        <w:tc>
          <w:tcPr>
            <w:tcW w:w="996" w:type="dxa"/>
            <w:tcBorders>
              <w:top w:val="single" w:sz="4" w:space="0" w:color="auto"/>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100,0%</w:t>
            </w:r>
          </w:p>
        </w:tc>
      </w:tr>
      <w:tr w:rsidR="00F71F9D" w:rsidRPr="00130274" w:rsidTr="00130274">
        <w:tc>
          <w:tcPr>
            <w:tcW w:w="3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9</w:t>
            </w:r>
          </w:p>
        </w:tc>
        <w:tc>
          <w:tcPr>
            <w:tcW w:w="2409" w:type="dxa"/>
            <w:tcBorders>
              <w:top w:val="single" w:sz="4" w:space="0" w:color="auto"/>
              <w:left w:val="nil"/>
              <w:bottom w:val="single" w:sz="4" w:space="0" w:color="auto"/>
              <w:right w:val="single" w:sz="4" w:space="0" w:color="auto"/>
            </w:tcBorders>
            <w:shd w:val="clear" w:color="auto" w:fill="auto"/>
            <w:noWrap/>
            <w:vAlign w:val="center"/>
            <w:hideMark/>
          </w:tcPr>
          <w:p w:rsidR="00F71F9D" w:rsidRPr="00130274" w:rsidRDefault="00B13240" w:rsidP="006E6091">
            <w:pPr>
              <w:rPr>
                <w:rFonts w:ascii="Arial Narrow" w:hAnsi="Arial Narrow"/>
                <w:sz w:val="18"/>
                <w:szCs w:val="18"/>
              </w:rPr>
            </w:pPr>
            <w:r w:rsidRPr="00B13240">
              <w:rPr>
                <w:rFonts w:ascii="Arial Narrow" w:hAnsi="Arial Narrow"/>
                <w:sz w:val="18"/>
                <w:szCs w:val="18"/>
              </w:rPr>
              <w:t>Рынок услуг перевозок пассажиров наземным транспортом (автобусные перевозки и такси)</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831</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2,2%</w:t>
            </w:r>
          </w:p>
        </w:tc>
        <w:tc>
          <w:tcPr>
            <w:tcW w:w="513" w:type="dxa"/>
            <w:tcBorders>
              <w:top w:val="single" w:sz="4" w:space="0" w:color="auto"/>
              <w:left w:val="nil"/>
              <w:bottom w:val="single" w:sz="4" w:space="0" w:color="auto"/>
              <w:right w:val="single" w:sz="4" w:space="0" w:color="auto"/>
            </w:tcBorders>
            <w:shd w:val="clear" w:color="auto" w:fill="auto"/>
            <w:noWrap/>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813</w:t>
            </w:r>
          </w:p>
        </w:tc>
        <w:tc>
          <w:tcPr>
            <w:tcW w:w="479" w:type="dxa"/>
            <w:tcBorders>
              <w:top w:val="single" w:sz="4" w:space="0" w:color="auto"/>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799</w:t>
            </w:r>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14</w:t>
            </w:r>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0</w:t>
            </w:r>
          </w:p>
        </w:tc>
        <w:tc>
          <w:tcPr>
            <w:tcW w:w="708" w:type="dxa"/>
            <w:tcBorders>
              <w:top w:val="single" w:sz="4" w:space="0" w:color="auto"/>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0</w:t>
            </w:r>
          </w:p>
        </w:tc>
        <w:tc>
          <w:tcPr>
            <w:tcW w:w="961" w:type="dxa"/>
            <w:tcBorders>
              <w:top w:val="single" w:sz="4" w:space="0" w:color="auto"/>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Нет данных</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18 (на междугородних маршрутах)</w:t>
            </w:r>
          </w:p>
        </w:tc>
        <w:tc>
          <w:tcPr>
            <w:tcW w:w="996" w:type="dxa"/>
            <w:tcBorders>
              <w:top w:val="single" w:sz="4" w:space="0" w:color="auto"/>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89,1%</w:t>
            </w:r>
          </w:p>
        </w:tc>
      </w:tr>
      <w:tr w:rsidR="00F71F9D" w:rsidRPr="00130274" w:rsidTr="00130274">
        <w:tc>
          <w:tcPr>
            <w:tcW w:w="3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10</w:t>
            </w:r>
          </w:p>
        </w:tc>
        <w:tc>
          <w:tcPr>
            <w:tcW w:w="2409" w:type="dxa"/>
            <w:tcBorders>
              <w:top w:val="single" w:sz="4" w:space="0" w:color="auto"/>
              <w:left w:val="nil"/>
              <w:bottom w:val="single" w:sz="4" w:space="0" w:color="auto"/>
              <w:right w:val="single" w:sz="4" w:space="0" w:color="auto"/>
            </w:tcBorders>
            <w:shd w:val="clear" w:color="auto" w:fill="auto"/>
            <w:noWrap/>
            <w:vAlign w:val="center"/>
            <w:hideMark/>
          </w:tcPr>
          <w:p w:rsidR="00F71F9D" w:rsidRPr="00130274" w:rsidRDefault="00B13240" w:rsidP="006E6091">
            <w:pPr>
              <w:rPr>
                <w:rFonts w:ascii="Arial Narrow" w:hAnsi="Arial Narrow"/>
                <w:sz w:val="18"/>
                <w:szCs w:val="18"/>
              </w:rPr>
            </w:pPr>
            <w:r w:rsidRPr="00B13240">
              <w:rPr>
                <w:rFonts w:ascii="Arial Narrow" w:hAnsi="Arial Narrow"/>
                <w:sz w:val="18"/>
                <w:szCs w:val="18"/>
              </w:rPr>
              <w:t>Рынок услуг связи</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240</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w:t>
            </w:r>
          </w:p>
        </w:tc>
        <w:tc>
          <w:tcPr>
            <w:tcW w:w="513" w:type="dxa"/>
            <w:tcBorders>
              <w:top w:val="single" w:sz="4" w:space="0" w:color="auto"/>
              <w:left w:val="nil"/>
              <w:bottom w:val="single" w:sz="4" w:space="0" w:color="auto"/>
              <w:right w:val="single" w:sz="4" w:space="0" w:color="auto"/>
            </w:tcBorders>
            <w:shd w:val="clear" w:color="auto" w:fill="auto"/>
            <w:noWrap/>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240</w:t>
            </w:r>
          </w:p>
        </w:tc>
        <w:tc>
          <w:tcPr>
            <w:tcW w:w="479" w:type="dxa"/>
            <w:tcBorders>
              <w:top w:val="single" w:sz="4" w:space="0" w:color="auto"/>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227</w:t>
            </w:r>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13</w:t>
            </w:r>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0</w:t>
            </w:r>
          </w:p>
        </w:tc>
        <w:tc>
          <w:tcPr>
            <w:tcW w:w="708" w:type="dxa"/>
            <w:tcBorders>
              <w:top w:val="single" w:sz="4" w:space="0" w:color="auto"/>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1</w:t>
            </w:r>
          </w:p>
        </w:tc>
        <w:tc>
          <w:tcPr>
            <w:tcW w:w="961" w:type="dxa"/>
            <w:tcBorders>
              <w:top w:val="single" w:sz="4" w:space="0" w:color="auto"/>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Выдача производится Минкомсвязи</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w:t>
            </w:r>
          </w:p>
        </w:tc>
        <w:tc>
          <w:tcPr>
            <w:tcW w:w="996" w:type="dxa"/>
            <w:tcBorders>
              <w:top w:val="single" w:sz="4" w:space="0" w:color="auto"/>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98,3%</w:t>
            </w:r>
          </w:p>
        </w:tc>
      </w:tr>
      <w:tr w:rsidR="00F71F9D" w:rsidRPr="00130274" w:rsidTr="006E6091">
        <w:tc>
          <w:tcPr>
            <w:tcW w:w="318" w:type="dxa"/>
            <w:tcBorders>
              <w:top w:val="nil"/>
              <w:left w:val="single" w:sz="4" w:space="0" w:color="auto"/>
              <w:bottom w:val="single" w:sz="4" w:space="0" w:color="auto"/>
              <w:right w:val="single" w:sz="4" w:space="0" w:color="auto"/>
            </w:tcBorders>
            <w:shd w:val="clear" w:color="auto" w:fill="auto"/>
            <w:noWrap/>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11</w:t>
            </w:r>
          </w:p>
        </w:tc>
        <w:tc>
          <w:tcPr>
            <w:tcW w:w="2409" w:type="dxa"/>
            <w:tcBorders>
              <w:top w:val="single" w:sz="4" w:space="0" w:color="auto"/>
              <w:left w:val="nil"/>
              <w:bottom w:val="single" w:sz="4" w:space="0" w:color="auto"/>
              <w:right w:val="single" w:sz="4" w:space="0" w:color="auto"/>
            </w:tcBorders>
            <w:shd w:val="clear" w:color="auto" w:fill="auto"/>
            <w:noWrap/>
            <w:vAlign w:val="center"/>
            <w:hideMark/>
          </w:tcPr>
          <w:p w:rsidR="00F71F9D" w:rsidRPr="00130274" w:rsidRDefault="00B13240" w:rsidP="006E6091">
            <w:pPr>
              <w:rPr>
                <w:rFonts w:ascii="Arial Narrow" w:hAnsi="Arial Narrow"/>
                <w:sz w:val="18"/>
                <w:szCs w:val="18"/>
              </w:rPr>
            </w:pPr>
            <w:r w:rsidRPr="00B13240">
              <w:rPr>
                <w:rFonts w:ascii="Arial Narrow" w:hAnsi="Arial Narrow"/>
                <w:sz w:val="18"/>
                <w:szCs w:val="18"/>
              </w:rPr>
              <w:t>Рынок услуг социального обслуживания населения</w:t>
            </w:r>
          </w:p>
        </w:tc>
        <w:tc>
          <w:tcPr>
            <w:tcW w:w="708" w:type="dxa"/>
            <w:tcBorders>
              <w:top w:val="nil"/>
              <w:left w:val="nil"/>
              <w:bottom w:val="single" w:sz="4" w:space="0" w:color="auto"/>
              <w:right w:val="single" w:sz="4" w:space="0" w:color="auto"/>
            </w:tcBorders>
            <w:shd w:val="clear" w:color="auto" w:fill="auto"/>
            <w:noWrap/>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300</w:t>
            </w:r>
          </w:p>
        </w:tc>
        <w:tc>
          <w:tcPr>
            <w:tcW w:w="883" w:type="dxa"/>
            <w:tcBorders>
              <w:top w:val="nil"/>
              <w:left w:val="nil"/>
              <w:bottom w:val="single" w:sz="4" w:space="0" w:color="auto"/>
              <w:right w:val="single" w:sz="4" w:space="0" w:color="auto"/>
            </w:tcBorders>
            <w:shd w:val="clear" w:color="auto" w:fill="auto"/>
            <w:noWrap/>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29,7%</w:t>
            </w:r>
          </w:p>
        </w:tc>
        <w:tc>
          <w:tcPr>
            <w:tcW w:w="513" w:type="dxa"/>
            <w:tcBorders>
              <w:top w:val="nil"/>
              <w:left w:val="nil"/>
              <w:bottom w:val="single" w:sz="4" w:space="0" w:color="auto"/>
              <w:right w:val="single" w:sz="4" w:space="0" w:color="auto"/>
            </w:tcBorders>
            <w:shd w:val="clear" w:color="auto" w:fill="auto"/>
            <w:noWrap/>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211</w:t>
            </w:r>
          </w:p>
        </w:tc>
        <w:tc>
          <w:tcPr>
            <w:tcW w:w="479" w:type="dxa"/>
            <w:tcBorders>
              <w:top w:val="nil"/>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208</w:t>
            </w:r>
          </w:p>
        </w:tc>
        <w:tc>
          <w:tcPr>
            <w:tcW w:w="567" w:type="dxa"/>
            <w:tcBorders>
              <w:top w:val="nil"/>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3</w:t>
            </w:r>
          </w:p>
        </w:tc>
        <w:tc>
          <w:tcPr>
            <w:tcW w:w="567" w:type="dxa"/>
            <w:tcBorders>
              <w:top w:val="nil"/>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0</w:t>
            </w:r>
          </w:p>
        </w:tc>
        <w:tc>
          <w:tcPr>
            <w:tcW w:w="708" w:type="dxa"/>
            <w:tcBorders>
              <w:top w:val="nil"/>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0</w:t>
            </w:r>
          </w:p>
        </w:tc>
        <w:tc>
          <w:tcPr>
            <w:tcW w:w="961" w:type="dxa"/>
            <w:tcBorders>
              <w:top w:val="nil"/>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Ряду организаций выдаются лицензии на осуществление мед. деятельности</w:t>
            </w:r>
          </w:p>
        </w:tc>
        <w:tc>
          <w:tcPr>
            <w:tcW w:w="1134" w:type="dxa"/>
            <w:tcBorders>
              <w:top w:val="nil"/>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В реестре социальных услуг - 115 организаций, в том числе 2 негосударственных, 24 общественных организации, 89 гос. и муниципальных</w:t>
            </w:r>
          </w:p>
        </w:tc>
        <w:tc>
          <w:tcPr>
            <w:tcW w:w="996" w:type="dxa"/>
            <w:tcBorders>
              <w:top w:val="nil"/>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Нет данных</w:t>
            </w:r>
          </w:p>
        </w:tc>
      </w:tr>
      <w:tr w:rsidR="00F71F9D" w:rsidRPr="00130274" w:rsidTr="006E6091">
        <w:tc>
          <w:tcPr>
            <w:tcW w:w="10247" w:type="dxa"/>
            <w:gridSpan w:val="12"/>
            <w:tcBorders>
              <w:top w:val="single" w:sz="4" w:space="0" w:color="auto"/>
              <w:left w:val="single" w:sz="4" w:space="0" w:color="auto"/>
              <w:bottom w:val="single" w:sz="4" w:space="0" w:color="auto"/>
              <w:right w:val="single" w:sz="4" w:space="0" w:color="auto"/>
            </w:tcBorders>
            <w:shd w:val="clear" w:color="auto" w:fill="auto"/>
            <w:vAlign w:val="center"/>
            <w:hideMark/>
          </w:tcPr>
          <w:p w:rsidR="00F71F9D" w:rsidRPr="00130274" w:rsidRDefault="00B13240" w:rsidP="006E6091">
            <w:pPr>
              <w:rPr>
                <w:rFonts w:ascii="Arial Narrow" w:hAnsi="Arial Narrow"/>
                <w:b/>
                <w:bCs/>
                <w:sz w:val="18"/>
                <w:szCs w:val="18"/>
              </w:rPr>
            </w:pPr>
            <w:r w:rsidRPr="00B13240">
              <w:rPr>
                <w:rFonts w:ascii="Arial Narrow" w:hAnsi="Arial Narrow"/>
                <w:b/>
                <w:bCs/>
                <w:sz w:val="18"/>
                <w:szCs w:val="18"/>
              </w:rPr>
              <w:t>Приоритетные рынки</w:t>
            </w:r>
          </w:p>
        </w:tc>
      </w:tr>
      <w:tr w:rsidR="00F71F9D" w:rsidRPr="00130274" w:rsidTr="006E6091">
        <w:tc>
          <w:tcPr>
            <w:tcW w:w="318" w:type="dxa"/>
            <w:tcBorders>
              <w:top w:val="nil"/>
              <w:left w:val="single" w:sz="4" w:space="0" w:color="auto"/>
              <w:bottom w:val="single" w:sz="4" w:space="0" w:color="auto"/>
              <w:right w:val="single" w:sz="4" w:space="0" w:color="auto"/>
            </w:tcBorders>
            <w:shd w:val="clear" w:color="auto" w:fill="auto"/>
            <w:noWrap/>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12</w:t>
            </w:r>
          </w:p>
        </w:tc>
        <w:tc>
          <w:tcPr>
            <w:tcW w:w="2409" w:type="dxa"/>
            <w:tcBorders>
              <w:top w:val="single" w:sz="4" w:space="0" w:color="auto"/>
              <w:left w:val="nil"/>
              <w:bottom w:val="single" w:sz="4" w:space="0" w:color="auto"/>
              <w:right w:val="single" w:sz="4" w:space="0" w:color="auto"/>
            </w:tcBorders>
            <w:shd w:val="clear" w:color="auto" w:fill="auto"/>
            <w:noWrap/>
            <w:vAlign w:val="center"/>
            <w:hideMark/>
          </w:tcPr>
          <w:p w:rsidR="00F71F9D" w:rsidRPr="00130274" w:rsidRDefault="00B13240" w:rsidP="006E6091">
            <w:pPr>
              <w:rPr>
                <w:rFonts w:ascii="Arial Narrow" w:hAnsi="Arial Narrow"/>
                <w:sz w:val="18"/>
                <w:szCs w:val="18"/>
              </w:rPr>
            </w:pPr>
            <w:r w:rsidRPr="00B13240">
              <w:rPr>
                <w:rFonts w:ascii="Arial Narrow" w:hAnsi="Arial Narrow"/>
                <w:sz w:val="18"/>
                <w:szCs w:val="18"/>
              </w:rPr>
              <w:t>Рынок развития, производства, переработки и хранения сельскохозяйственной продукции</w:t>
            </w:r>
          </w:p>
        </w:tc>
        <w:tc>
          <w:tcPr>
            <w:tcW w:w="708" w:type="dxa"/>
            <w:tcBorders>
              <w:top w:val="nil"/>
              <w:left w:val="nil"/>
              <w:bottom w:val="single" w:sz="4" w:space="0" w:color="auto"/>
              <w:right w:val="single" w:sz="4" w:space="0" w:color="auto"/>
            </w:tcBorders>
            <w:shd w:val="clear" w:color="auto" w:fill="auto"/>
            <w:noWrap/>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4243</w:t>
            </w:r>
          </w:p>
        </w:tc>
        <w:tc>
          <w:tcPr>
            <w:tcW w:w="883" w:type="dxa"/>
            <w:tcBorders>
              <w:top w:val="nil"/>
              <w:left w:val="nil"/>
              <w:bottom w:val="single" w:sz="4" w:space="0" w:color="auto"/>
              <w:right w:val="single" w:sz="4" w:space="0" w:color="auto"/>
            </w:tcBorders>
            <w:shd w:val="clear" w:color="auto" w:fill="auto"/>
            <w:noWrap/>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w:t>
            </w:r>
          </w:p>
        </w:tc>
        <w:tc>
          <w:tcPr>
            <w:tcW w:w="513" w:type="dxa"/>
            <w:tcBorders>
              <w:top w:val="nil"/>
              <w:left w:val="nil"/>
              <w:bottom w:val="single" w:sz="4" w:space="0" w:color="auto"/>
              <w:right w:val="single" w:sz="4" w:space="0" w:color="auto"/>
            </w:tcBorders>
            <w:shd w:val="clear" w:color="auto" w:fill="auto"/>
            <w:noWrap/>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4243</w:t>
            </w:r>
          </w:p>
        </w:tc>
        <w:tc>
          <w:tcPr>
            <w:tcW w:w="479" w:type="dxa"/>
            <w:tcBorders>
              <w:top w:val="nil"/>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3870</w:t>
            </w:r>
          </w:p>
        </w:tc>
        <w:tc>
          <w:tcPr>
            <w:tcW w:w="567" w:type="dxa"/>
            <w:tcBorders>
              <w:top w:val="nil"/>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327</w:t>
            </w:r>
          </w:p>
        </w:tc>
        <w:tc>
          <w:tcPr>
            <w:tcW w:w="567" w:type="dxa"/>
            <w:tcBorders>
              <w:top w:val="nil"/>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46</w:t>
            </w:r>
          </w:p>
        </w:tc>
        <w:tc>
          <w:tcPr>
            <w:tcW w:w="708" w:type="dxa"/>
            <w:tcBorders>
              <w:top w:val="nil"/>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10</w:t>
            </w:r>
          </w:p>
        </w:tc>
        <w:tc>
          <w:tcPr>
            <w:tcW w:w="961" w:type="dxa"/>
            <w:tcBorders>
              <w:top w:val="nil"/>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w:t>
            </w:r>
          </w:p>
        </w:tc>
        <w:tc>
          <w:tcPr>
            <w:tcW w:w="1134" w:type="dxa"/>
            <w:tcBorders>
              <w:top w:val="nil"/>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w:t>
            </w:r>
          </w:p>
        </w:tc>
        <w:tc>
          <w:tcPr>
            <w:tcW w:w="996" w:type="dxa"/>
            <w:tcBorders>
              <w:top w:val="nil"/>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72,4%</w:t>
            </w:r>
          </w:p>
        </w:tc>
      </w:tr>
      <w:tr w:rsidR="00F71F9D" w:rsidRPr="00130274" w:rsidTr="006E6091">
        <w:tc>
          <w:tcPr>
            <w:tcW w:w="318" w:type="dxa"/>
            <w:tcBorders>
              <w:top w:val="nil"/>
              <w:left w:val="single" w:sz="4" w:space="0" w:color="auto"/>
              <w:bottom w:val="single" w:sz="4" w:space="0" w:color="auto"/>
              <w:right w:val="single" w:sz="4" w:space="0" w:color="auto"/>
            </w:tcBorders>
            <w:shd w:val="clear" w:color="auto" w:fill="auto"/>
            <w:noWrap/>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13</w:t>
            </w:r>
          </w:p>
        </w:tc>
        <w:tc>
          <w:tcPr>
            <w:tcW w:w="2409" w:type="dxa"/>
            <w:tcBorders>
              <w:top w:val="single" w:sz="4" w:space="0" w:color="auto"/>
              <w:left w:val="nil"/>
              <w:bottom w:val="single" w:sz="4" w:space="0" w:color="auto"/>
              <w:right w:val="single" w:sz="4" w:space="0" w:color="auto"/>
            </w:tcBorders>
            <w:shd w:val="clear" w:color="auto" w:fill="auto"/>
            <w:noWrap/>
            <w:vAlign w:val="center"/>
            <w:hideMark/>
          </w:tcPr>
          <w:p w:rsidR="00F71F9D" w:rsidRPr="00130274" w:rsidRDefault="00B13240" w:rsidP="006E6091">
            <w:pPr>
              <w:rPr>
                <w:rFonts w:ascii="Arial Narrow" w:hAnsi="Arial Narrow"/>
                <w:sz w:val="18"/>
                <w:szCs w:val="18"/>
              </w:rPr>
            </w:pPr>
            <w:r w:rsidRPr="00B13240">
              <w:rPr>
                <w:rFonts w:ascii="Arial Narrow" w:hAnsi="Arial Narrow"/>
                <w:sz w:val="18"/>
                <w:szCs w:val="18"/>
              </w:rPr>
              <w:t>Рынок услуг по сбору, сортировке и переработке твердых коммунальных (бытовых) отходов</w:t>
            </w:r>
          </w:p>
        </w:tc>
        <w:tc>
          <w:tcPr>
            <w:tcW w:w="708" w:type="dxa"/>
            <w:tcBorders>
              <w:top w:val="nil"/>
              <w:left w:val="nil"/>
              <w:bottom w:val="single" w:sz="4" w:space="0" w:color="auto"/>
              <w:right w:val="single" w:sz="4" w:space="0" w:color="auto"/>
            </w:tcBorders>
            <w:shd w:val="clear" w:color="auto" w:fill="auto"/>
            <w:noWrap/>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74</w:t>
            </w:r>
          </w:p>
        </w:tc>
        <w:tc>
          <w:tcPr>
            <w:tcW w:w="883" w:type="dxa"/>
            <w:tcBorders>
              <w:top w:val="nil"/>
              <w:left w:val="nil"/>
              <w:bottom w:val="single" w:sz="4" w:space="0" w:color="auto"/>
              <w:right w:val="single" w:sz="4" w:space="0" w:color="auto"/>
            </w:tcBorders>
            <w:shd w:val="clear" w:color="auto" w:fill="auto"/>
            <w:noWrap/>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1,4%</w:t>
            </w:r>
          </w:p>
        </w:tc>
        <w:tc>
          <w:tcPr>
            <w:tcW w:w="513" w:type="dxa"/>
            <w:tcBorders>
              <w:top w:val="nil"/>
              <w:left w:val="nil"/>
              <w:bottom w:val="single" w:sz="4" w:space="0" w:color="auto"/>
              <w:right w:val="single" w:sz="4" w:space="0" w:color="auto"/>
            </w:tcBorders>
            <w:shd w:val="clear" w:color="auto" w:fill="auto"/>
            <w:noWrap/>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73</w:t>
            </w:r>
          </w:p>
        </w:tc>
        <w:tc>
          <w:tcPr>
            <w:tcW w:w="479" w:type="dxa"/>
            <w:tcBorders>
              <w:top w:val="nil"/>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67</w:t>
            </w:r>
          </w:p>
        </w:tc>
        <w:tc>
          <w:tcPr>
            <w:tcW w:w="567" w:type="dxa"/>
            <w:tcBorders>
              <w:top w:val="nil"/>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6</w:t>
            </w:r>
          </w:p>
        </w:tc>
        <w:tc>
          <w:tcPr>
            <w:tcW w:w="567" w:type="dxa"/>
            <w:tcBorders>
              <w:top w:val="nil"/>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0</w:t>
            </w:r>
          </w:p>
        </w:tc>
        <w:tc>
          <w:tcPr>
            <w:tcW w:w="708" w:type="dxa"/>
            <w:tcBorders>
              <w:top w:val="nil"/>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0</w:t>
            </w:r>
          </w:p>
        </w:tc>
        <w:tc>
          <w:tcPr>
            <w:tcW w:w="961" w:type="dxa"/>
            <w:tcBorders>
              <w:top w:val="nil"/>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w:t>
            </w:r>
          </w:p>
        </w:tc>
        <w:tc>
          <w:tcPr>
            <w:tcW w:w="1134" w:type="dxa"/>
            <w:tcBorders>
              <w:top w:val="nil"/>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1</w:t>
            </w:r>
          </w:p>
        </w:tc>
        <w:tc>
          <w:tcPr>
            <w:tcW w:w="996" w:type="dxa"/>
            <w:tcBorders>
              <w:top w:val="nil"/>
              <w:left w:val="nil"/>
              <w:bottom w:val="single" w:sz="4" w:space="0" w:color="auto"/>
              <w:right w:val="single" w:sz="4" w:space="0" w:color="auto"/>
            </w:tcBorders>
            <w:shd w:val="clear" w:color="auto" w:fill="auto"/>
            <w:vAlign w:val="center"/>
            <w:hideMark/>
          </w:tcPr>
          <w:p w:rsidR="00F71F9D" w:rsidRPr="00130274" w:rsidRDefault="00B13240" w:rsidP="006E6091">
            <w:pPr>
              <w:jc w:val="center"/>
              <w:rPr>
                <w:rFonts w:ascii="Arial Narrow" w:hAnsi="Arial Narrow"/>
                <w:sz w:val="18"/>
                <w:szCs w:val="18"/>
              </w:rPr>
            </w:pPr>
            <w:r w:rsidRPr="00B13240">
              <w:rPr>
                <w:rFonts w:ascii="Arial Narrow" w:hAnsi="Arial Narrow"/>
                <w:sz w:val="18"/>
                <w:szCs w:val="18"/>
              </w:rPr>
              <w:t>100,0%</w:t>
            </w:r>
          </w:p>
        </w:tc>
      </w:tr>
      <w:tr w:rsidR="00F71F9D" w:rsidRPr="00A90B1F" w:rsidTr="006E6091">
        <w:tc>
          <w:tcPr>
            <w:tcW w:w="2727"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F71F9D" w:rsidRPr="00130274" w:rsidRDefault="00B13240" w:rsidP="006E6091">
            <w:pPr>
              <w:rPr>
                <w:rFonts w:ascii="Arial Narrow" w:hAnsi="Arial Narrow"/>
                <w:b/>
                <w:bCs/>
                <w:i/>
                <w:iCs/>
                <w:sz w:val="18"/>
                <w:szCs w:val="18"/>
              </w:rPr>
            </w:pPr>
            <w:r w:rsidRPr="00B13240">
              <w:rPr>
                <w:rFonts w:ascii="Arial Narrow" w:hAnsi="Arial Narrow"/>
                <w:b/>
                <w:bCs/>
                <w:i/>
                <w:iCs/>
                <w:sz w:val="18"/>
                <w:szCs w:val="18"/>
              </w:rPr>
              <w:t>ВСЕГО по социально значимым и приоритетным рынкам</w:t>
            </w:r>
          </w:p>
        </w:tc>
        <w:tc>
          <w:tcPr>
            <w:tcW w:w="708" w:type="dxa"/>
            <w:tcBorders>
              <w:top w:val="nil"/>
              <w:left w:val="nil"/>
              <w:bottom w:val="single" w:sz="4" w:space="0" w:color="auto"/>
              <w:right w:val="single" w:sz="4" w:space="0" w:color="auto"/>
            </w:tcBorders>
            <w:shd w:val="clear" w:color="000000" w:fill="D9D9D9"/>
            <w:noWrap/>
            <w:vAlign w:val="center"/>
            <w:hideMark/>
          </w:tcPr>
          <w:p w:rsidR="00F71F9D" w:rsidRPr="00130274" w:rsidRDefault="00B13240" w:rsidP="006E6091">
            <w:pPr>
              <w:jc w:val="center"/>
              <w:rPr>
                <w:rFonts w:ascii="Arial Narrow" w:hAnsi="Arial Narrow"/>
                <w:b/>
                <w:bCs/>
                <w:i/>
                <w:iCs/>
                <w:sz w:val="18"/>
                <w:szCs w:val="18"/>
              </w:rPr>
            </w:pPr>
            <w:r w:rsidRPr="00B13240">
              <w:rPr>
                <w:rFonts w:ascii="Arial Narrow" w:hAnsi="Arial Narrow"/>
                <w:b/>
                <w:bCs/>
                <w:i/>
                <w:iCs/>
                <w:sz w:val="18"/>
                <w:szCs w:val="18"/>
              </w:rPr>
              <w:t>36453</w:t>
            </w:r>
          </w:p>
        </w:tc>
        <w:tc>
          <w:tcPr>
            <w:tcW w:w="883" w:type="dxa"/>
            <w:tcBorders>
              <w:top w:val="nil"/>
              <w:left w:val="nil"/>
              <w:bottom w:val="single" w:sz="4" w:space="0" w:color="auto"/>
              <w:right w:val="single" w:sz="4" w:space="0" w:color="auto"/>
            </w:tcBorders>
            <w:shd w:val="clear" w:color="000000" w:fill="D9D9D9"/>
            <w:noWrap/>
            <w:vAlign w:val="center"/>
            <w:hideMark/>
          </w:tcPr>
          <w:p w:rsidR="00F71F9D" w:rsidRPr="00130274" w:rsidRDefault="00B13240" w:rsidP="006E6091">
            <w:pPr>
              <w:jc w:val="center"/>
              <w:rPr>
                <w:rFonts w:ascii="Arial Narrow" w:hAnsi="Arial Narrow"/>
                <w:b/>
                <w:bCs/>
                <w:i/>
                <w:iCs/>
                <w:sz w:val="18"/>
                <w:szCs w:val="18"/>
              </w:rPr>
            </w:pPr>
            <w:r w:rsidRPr="00B13240">
              <w:rPr>
                <w:rFonts w:ascii="Arial Narrow" w:hAnsi="Arial Narrow"/>
                <w:b/>
                <w:bCs/>
                <w:i/>
                <w:iCs/>
                <w:sz w:val="18"/>
                <w:szCs w:val="18"/>
              </w:rPr>
              <w:t> </w:t>
            </w:r>
          </w:p>
        </w:tc>
        <w:tc>
          <w:tcPr>
            <w:tcW w:w="513" w:type="dxa"/>
            <w:tcBorders>
              <w:top w:val="nil"/>
              <w:left w:val="nil"/>
              <w:bottom w:val="single" w:sz="4" w:space="0" w:color="auto"/>
              <w:right w:val="single" w:sz="4" w:space="0" w:color="auto"/>
            </w:tcBorders>
            <w:shd w:val="clear" w:color="000000" w:fill="D9D9D9"/>
            <w:noWrap/>
            <w:vAlign w:val="center"/>
            <w:hideMark/>
          </w:tcPr>
          <w:p w:rsidR="00F71F9D" w:rsidRPr="00130274" w:rsidRDefault="00B13240" w:rsidP="006E6091">
            <w:pPr>
              <w:jc w:val="center"/>
              <w:rPr>
                <w:rFonts w:ascii="Arial Narrow" w:hAnsi="Arial Narrow"/>
                <w:b/>
                <w:bCs/>
                <w:i/>
                <w:iCs/>
                <w:sz w:val="18"/>
                <w:szCs w:val="18"/>
              </w:rPr>
            </w:pPr>
            <w:r w:rsidRPr="00B13240">
              <w:rPr>
                <w:rFonts w:ascii="Arial Narrow" w:hAnsi="Arial Narrow"/>
                <w:b/>
                <w:bCs/>
                <w:i/>
                <w:iCs/>
                <w:sz w:val="18"/>
                <w:szCs w:val="18"/>
              </w:rPr>
              <w:t>34317</w:t>
            </w:r>
          </w:p>
        </w:tc>
        <w:tc>
          <w:tcPr>
            <w:tcW w:w="479" w:type="dxa"/>
            <w:tcBorders>
              <w:top w:val="nil"/>
              <w:left w:val="nil"/>
              <w:bottom w:val="single" w:sz="4" w:space="0" w:color="auto"/>
              <w:right w:val="single" w:sz="4" w:space="0" w:color="auto"/>
            </w:tcBorders>
            <w:shd w:val="clear" w:color="000000" w:fill="D9D9D9"/>
            <w:noWrap/>
            <w:vAlign w:val="center"/>
            <w:hideMark/>
          </w:tcPr>
          <w:p w:rsidR="00F71F9D" w:rsidRPr="00130274" w:rsidRDefault="00B13240" w:rsidP="006E6091">
            <w:pPr>
              <w:jc w:val="center"/>
              <w:rPr>
                <w:rFonts w:ascii="Arial Narrow" w:hAnsi="Arial Narrow"/>
                <w:b/>
                <w:bCs/>
                <w:i/>
                <w:iCs/>
                <w:sz w:val="18"/>
                <w:szCs w:val="18"/>
              </w:rPr>
            </w:pPr>
            <w:r w:rsidRPr="00B13240">
              <w:rPr>
                <w:rFonts w:ascii="Arial Narrow" w:hAnsi="Arial Narrow"/>
                <w:b/>
                <w:bCs/>
                <w:i/>
                <w:iCs/>
                <w:sz w:val="18"/>
                <w:szCs w:val="18"/>
              </w:rPr>
              <w:t>32832</w:t>
            </w:r>
          </w:p>
        </w:tc>
        <w:tc>
          <w:tcPr>
            <w:tcW w:w="567" w:type="dxa"/>
            <w:tcBorders>
              <w:top w:val="nil"/>
              <w:left w:val="nil"/>
              <w:bottom w:val="single" w:sz="4" w:space="0" w:color="auto"/>
              <w:right w:val="single" w:sz="4" w:space="0" w:color="auto"/>
            </w:tcBorders>
            <w:shd w:val="clear" w:color="000000" w:fill="D9D9D9"/>
            <w:noWrap/>
            <w:vAlign w:val="center"/>
            <w:hideMark/>
          </w:tcPr>
          <w:p w:rsidR="00F71F9D" w:rsidRPr="00130274" w:rsidRDefault="00B13240" w:rsidP="006E6091">
            <w:pPr>
              <w:jc w:val="center"/>
              <w:rPr>
                <w:rFonts w:ascii="Arial Narrow" w:hAnsi="Arial Narrow"/>
                <w:b/>
                <w:bCs/>
                <w:i/>
                <w:iCs/>
                <w:sz w:val="18"/>
                <w:szCs w:val="18"/>
              </w:rPr>
            </w:pPr>
            <w:r w:rsidRPr="00B13240">
              <w:rPr>
                <w:rFonts w:ascii="Arial Narrow" w:hAnsi="Arial Narrow"/>
                <w:b/>
                <w:bCs/>
                <w:i/>
                <w:iCs/>
                <w:sz w:val="18"/>
                <w:szCs w:val="18"/>
              </w:rPr>
              <w:t>1395</w:t>
            </w:r>
          </w:p>
        </w:tc>
        <w:tc>
          <w:tcPr>
            <w:tcW w:w="567" w:type="dxa"/>
            <w:tcBorders>
              <w:top w:val="nil"/>
              <w:left w:val="nil"/>
              <w:bottom w:val="single" w:sz="4" w:space="0" w:color="auto"/>
              <w:right w:val="single" w:sz="4" w:space="0" w:color="auto"/>
            </w:tcBorders>
            <w:shd w:val="clear" w:color="000000" w:fill="D9D9D9"/>
            <w:noWrap/>
            <w:vAlign w:val="center"/>
            <w:hideMark/>
          </w:tcPr>
          <w:p w:rsidR="00F71F9D" w:rsidRPr="00130274" w:rsidRDefault="00B13240" w:rsidP="006E6091">
            <w:pPr>
              <w:jc w:val="center"/>
              <w:rPr>
                <w:rFonts w:ascii="Arial Narrow" w:hAnsi="Arial Narrow"/>
                <w:b/>
                <w:bCs/>
                <w:i/>
                <w:iCs/>
                <w:sz w:val="18"/>
                <w:szCs w:val="18"/>
              </w:rPr>
            </w:pPr>
            <w:r w:rsidRPr="00B13240">
              <w:rPr>
                <w:rFonts w:ascii="Arial Narrow" w:hAnsi="Arial Narrow"/>
                <w:b/>
                <w:bCs/>
                <w:i/>
                <w:iCs/>
                <w:sz w:val="18"/>
                <w:szCs w:val="18"/>
              </w:rPr>
              <w:t>90</w:t>
            </w:r>
          </w:p>
        </w:tc>
        <w:tc>
          <w:tcPr>
            <w:tcW w:w="708" w:type="dxa"/>
            <w:tcBorders>
              <w:top w:val="nil"/>
              <w:left w:val="nil"/>
              <w:bottom w:val="single" w:sz="4" w:space="0" w:color="auto"/>
              <w:right w:val="single" w:sz="4" w:space="0" w:color="auto"/>
            </w:tcBorders>
            <w:shd w:val="clear" w:color="000000" w:fill="D9D9D9"/>
            <w:noWrap/>
            <w:vAlign w:val="center"/>
            <w:hideMark/>
          </w:tcPr>
          <w:p w:rsidR="00F71F9D" w:rsidRPr="00130274" w:rsidRDefault="00B13240" w:rsidP="006E6091">
            <w:pPr>
              <w:jc w:val="center"/>
              <w:rPr>
                <w:rFonts w:ascii="Arial Narrow" w:hAnsi="Arial Narrow"/>
                <w:b/>
                <w:bCs/>
                <w:i/>
                <w:iCs/>
                <w:sz w:val="18"/>
                <w:szCs w:val="18"/>
              </w:rPr>
            </w:pPr>
            <w:r w:rsidRPr="00B13240">
              <w:rPr>
                <w:rFonts w:ascii="Arial Narrow" w:hAnsi="Arial Narrow"/>
                <w:b/>
                <w:bCs/>
                <w:i/>
                <w:iCs/>
                <w:sz w:val="18"/>
                <w:szCs w:val="18"/>
              </w:rPr>
              <w:t>14</w:t>
            </w:r>
          </w:p>
        </w:tc>
        <w:tc>
          <w:tcPr>
            <w:tcW w:w="961" w:type="dxa"/>
            <w:tcBorders>
              <w:top w:val="nil"/>
              <w:left w:val="nil"/>
              <w:bottom w:val="single" w:sz="4" w:space="0" w:color="auto"/>
              <w:right w:val="single" w:sz="4" w:space="0" w:color="auto"/>
            </w:tcBorders>
            <w:shd w:val="clear" w:color="000000" w:fill="D9D9D9"/>
            <w:vAlign w:val="center"/>
            <w:hideMark/>
          </w:tcPr>
          <w:p w:rsidR="00F71F9D" w:rsidRPr="00130274" w:rsidRDefault="00B13240" w:rsidP="006E6091">
            <w:pPr>
              <w:jc w:val="center"/>
              <w:rPr>
                <w:rFonts w:ascii="Arial Narrow" w:hAnsi="Arial Narrow"/>
                <w:b/>
                <w:bCs/>
                <w:i/>
                <w:iCs/>
                <w:sz w:val="18"/>
                <w:szCs w:val="18"/>
              </w:rPr>
            </w:pPr>
            <w:r w:rsidRPr="00B13240">
              <w:rPr>
                <w:rFonts w:ascii="Arial Narrow" w:hAnsi="Arial Narrow"/>
                <w:b/>
                <w:bCs/>
                <w:i/>
                <w:iCs/>
                <w:sz w:val="18"/>
                <w:szCs w:val="18"/>
              </w:rPr>
              <w:t> </w:t>
            </w:r>
          </w:p>
        </w:tc>
        <w:tc>
          <w:tcPr>
            <w:tcW w:w="1134" w:type="dxa"/>
            <w:tcBorders>
              <w:top w:val="nil"/>
              <w:left w:val="nil"/>
              <w:bottom w:val="single" w:sz="4" w:space="0" w:color="auto"/>
              <w:right w:val="single" w:sz="4" w:space="0" w:color="auto"/>
            </w:tcBorders>
            <w:shd w:val="clear" w:color="000000" w:fill="D9D9D9"/>
            <w:vAlign w:val="center"/>
            <w:hideMark/>
          </w:tcPr>
          <w:p w:rsidR="00F71F9D" w:rsidRPr="00A90B1F" w:rsidRDefault="00B13240" w:rsidP="006E6091">
            <w:pPr>
              <w:jc w:val="center"/>
              <w:rPr>
                <w:rFonts w:ascii="Arial Narrow" w:hAnsi="Arial Narrow"/>
                <w:b/>
                <w:bCs/>
                <w:i/>
                <w:iCs/>
                <w:sz w:val="18"/>
                <w:szCs w:val="18"/>
              </w:rPr>
            </w:pPr>
            <w:r w:rsidRPr="00B13240">
              <w:rPr>
                <w:rFonts w:ascii="Arial Narrow" w:hAnsi="Arial Narrow"/>
                <w:b/>
                <w:bCs/>
                <w:i/>
                <w:iCs/>
                <w:sz w:val="18"/>
                <w:szCs w:val="18"/>
              </w:rPr>
              <w:t>2136</w:t>
            </w:r>
          </w:p>
        </w:tc>
        <w:tc>
          <w:tcPr>
            <w:tcW w:w="996" w:type="dxa"/>
            <w:tcBorders>
              <w:top w:val="nil"/>
              <w:left w:val="nil"/>
              <w:bottom w:val="single" w:sz="4" w:space="0" w:color="auto"/>
              <w:right w:val="single" w:sz="4" w:space="0" w:color="auto"/>
            </w:tcBorders>
            <w:shd w:val="clear" w:color="000000" w:fill="D9D9D9"/>
            <w:vAlign w:val="center"/>
            <w:hideMark/>
          </w:tcPr>
          <w:p w:rsidR="00F71F9D" w:rsidRPr="00A90B1F" w:rsidRDefault="00F71F9D" w:rsidP="006E6091">
            <w:pPr>
              <w:jc w:val="center"/>
              <w:rPr>
                <w:rFonts w:ascii="Arial Narrow" w:hAnsi="Arial Narrow"/>
                <w:b/>
                <w:bCs/>
                <w:i/>
                <w:iCs/>
                <w:sz w:val="18"/>
                <w:szCs w:val="18"/>
              </w:rPr>
            </w:pPr>
            <w:r w:rsidRPr="00A90B1F">
              <w:rPr>
                <w:rFonts w:ascii="Arial Narrow" w:hAnsi="Arial Narrow"/>
                <w:b/>
                <w:bCs/>
                <w:i/>
                <w:iCs/>
                <w:sz w:val="18"/>
                <w:szCs w:val="18"/>
              </w:rPr>
              <w:t> </w:t>
            </w:r>
          </w:p>
        </w:tc>
      </w:tr>
    </w:tbl>
    <w:p w:rsidR="00A96FB4" w:rsidRDefault="00A96FB4" w:rsidP="00BF6DC4">
      <w:pPr>
        <w:spacing w:after="0" w:line="360" w:lineRule="auto"/>
        <w:ind w:firstLine="284"/>
        <w:rPr>
          <w:rFonts w:ascii="Arial Narrow" w:hAnsi="Arial Narrow"/>
          <w:b/>
          <w:sz w:val="24"/>
        </w:rPr>
      </w:pPr>
    </w:p>
    <w:p w:rsidR="00130274" w:rsidRDefault="00130274">
      <w:pPr>
        <w:rPr>
          <w:rFonts w:ascii="Arial Narrow" w:hAnsi="Arial Narrow"/>
          <w:b/>
          <w:sz w:val="24"/>
        </w:rPr>
      </w:pPr>
      <w:r>
        <w:rPr>
          <w:rFonts w:ascii="Arial Narrow" w:hAnsi="Arial Narrow"/>
          <w:b/>
          <w:sz w:val="24"/>
        </w:rPr>
        <w:br w:type="page"/>
      </w:r>
    </w:p>
    <w:p w:rsidR="00A64028" w:rsidRDefault="00A64028" w:rsidP="00BF6DC4">
      <w:pPr>
        <w:spacing w:after="0" w:line="360" w:lineRule="auto"/>
        <w:ind w:firstLine="284"/>
        <w:rPr>
          <w:rFonts w:ascii="Arial Narrow" w:hAnsi="Arial Narrow"/>
          <w:b/>
          <w:sz w:val="24"/>
        </w:rPr>
      </w:pPr>
      <w:r w:rsidRPr="00455C1E">
        <w:rPr>
          <w:rFonts w:ascii="Arial Narrow" w:hAnsi="Arial Narrow"/>
          <w:b/>
          <w:sz w:val="24"/>
        </w:rPr>
        <w:lastRenderedPageBreak/>
        <w:t>Значение показателя 1.1.3. Объем товарного рынка в денежном выражении (млн. рублей).</w:t>
      </w:r>
    </w:p>
    <w:p w:rsidR="00754B4E" w:rsidRDefault="00754B4E" w:rsidP="00103148">
      <w:pPr>
        <w:spacing w:after="0"/>
        <w:rPr>
          <w:rFonts w:ascii="Arial Narrow" w:eastAsia="Calibri" w:hAnsi="Arial Narrow"/>
          <w:sz w:val="24"/>
          <w:szCs w:val="24"/>
        </w:rPr>
      </w:pPr>
    </w:p>
    <w:p w:rsidR="00A64028" w:rsidRPr="002E7CCA" w:rsidRDefault="00A64028" w:rsidP="00103148">
      <w:pPr>
        <w:spacing w:after="0"/>
        <w:rPr>
          <w:rFonts w:ascii="Arial Narrow" w:eastAsia="Calibri" w:hAnsi="Arial Narrow"/>
          <w:b/>
          <w:sz w:val="24"/>
        </w:rPr>
      </w:pPr>
      <w:r>
        <w:rPr>
          <w:rFonts w:ascii="Arial Narrow" w:eastAsia="Calibri" w:hAnsi="Arial Narrow"/>
          <w:sz w:val="24"/>
          <w:szCs w:val="24"/>
        </w:rPr>
        <w:t xml:space="preserve">Таблица </w:t>
      </w:r>
      <w:r w:rsidR="00262F71">
        <w:rPr>
          <w:rFonts w:ascii="Arial Narrow" w:eastAsia="Calibri" w:hAnsi="Arial Narrow"/>
          <w:sz w:val="24"/>
          <w:szCs w:val="24"/>
        </w:rPr>
        <w:t xml:space="preserve">7.4. </w:t>
      </w:r>
      <w:r w:rsidRPr="000D7D7E">
        <w:rPr>
          <w:rFonts w:ascii="Arial Narrow" w:eastAsia="Calibri" w:hAnsi="Arial Narrow"/>
        </w:rPr>
        <w:t xml:space="preserve">– </w:t>
      </w:r>
      <w:r w:rsidRPr="002E7CCA">
        <w:rPr>
          <w:rFonts w:ascii="Arial Narrow" w:eastAsia="Calibri" w:hAnsi="Arial Narrow"/>
          <w:b/>
          <w:sz w:val="24"/>
        </w:rPr>
        <w:t>Объем товарного рынка в денежном выражении в 2015-2016 гг., в текущих рыночных ценах (млн. рублей)</w:t>
      </w:r>
    </w:p>
    <w:tbl>
      <w:tblPr>
        <w:tblW w:w="4993" w:type="pct"/>
        <w:tblLayout w:type="fixed"/>
        <w:tblLook w:val="04A0"/>
      </w:tblPr>
      <w:tblGrid>
        <w:gridCol w:w="427"/>
        <w:gridCol w:w="5954"/>
        <w:gridCol w:w="1168"/>
        <w:gridCol w:w="1099"/>
        <w:gridCol w:w="1526"/>
      </w:tblGrid>
      <w:tr w:rsidR="00A64028" w:rsidRPr="00A96FB4" w:rsidTr="00A96FB4">
        <w:trPr>
          <w:trHeight w:val="20"/>
        </w:trPr>
        <w:tc>
          <w:tcPr>
            <w:tcW w:w="210" w:type="pct"/>
            <w:tcBorders>
              <w:top w:val="single" w:sz="4" w:space="0" w:color="auto"/>
              <w:left w:val="single" w:sz="4" w:space="0" w:color="auto"/>
              <w:bottom w:val="single" w:sz="4" w:space="0" w:color="auto"/>
              <w:right w:val="single" w:sz="4" w:space="0" w:color="auto"/>
            </w:tcBorders>
          </w:tcPr>
          <w:p w:rsidR="00A64028" w:rsidRPr="00A96FB4" w:rsidRDefault="00A64028" w:rsidP="00103148">
            <w:pPr>
              <w:spacing w:after="0" w:line="276" w:lineRule="auto"/>
              <w:rPr>
                <w:rFonts w:ascii="Arial Narrow" w:hAnsi="Arial Narrow"/>
                <w:b/>
                <w:sz w:val="20"/>
                <w:szCs w:val="20"/>
              </w:rPr>
            </w:pPr>
          </w:p>
        </w:tc>
        <w:tc>
          <w:tcPr>
            <w:tcW w:w="292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64028" w:rsidRPr="00A96FB4" w:rsidRDefault="00A64028" w:rsidP="00103148">
            <w:pPr>
              <w:spacing w:after="0" w:line="276" w:lineRule="auto"/>
              <w:rPr>
                <w:rFonts w:ascii="Arial Narrow" w:hAnsi="Arial Narrow"/>
                <w:b/>
                <w:sz w:val="20"/>
                <w:szCs w:val="20"/>
              </w:rPr>
            </w:pPr>
          </w:p>
        </w:tc>
        <w:tc>
          <w:tcPr>
            <w:tcW w:w="57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64028" w:rsidRPr="00A96FB4" w:rsidRDefault="00A64028" w:rsidP="00A96FB4">
            <w:pPr>
              <w:spacing w:after="0" w:line="276" w:lineRule="auto"/>
              <w:ind w:leftChars="-28" w:left="-6" w:hangingChars="28" w:hanging="56"/>
              <w:jc w:val="center"/>
              <w:rPr>
                <w:rFonts w:ascii="Arial Narrow" w:hAnsi="Arial Narrow"/>
                <w:b/>
                <w:sz w:val="20"/>
                <w:szCs w:val="20"/>
              </w:rPr>
            </w:pPr>
            <w:r w:rsidRPr="00A96FB4">
              <w:rPr>
                <w:rFonts w:ascii="Arial Narrow" w:hAnsi="Arial Narrow"/>
                <w:b/>
                <w:sz w:val="20"/>
                <w:szCs w:val="20"/>
              </w:rPr>
              <w:t>В 2015 г.</w:t>
            </w:r>
          </w:p>
        </w:tc>
        <w:tc>
          <w:tcPr>
            <w:tcW w:w="54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64028" w:rsidRPr="00A96FB4" w:rsidRDefault="00A64028" w:rsidP="00103148">
            <w:pPr>
              <w:spacing w:after="0" w:line="276" w:lineRule="auto"/>
              <w:jc w:val="center"/>
              <w:rPr>
                <w:rFonts w:ascii="Arial Narrow" w:hAnsi="Arial Narrow"/>
                <w:b/>
                <w:sz w:val="20"/>
                <w:szCs w:val="20"/>
              </w:rPr>
            </w:pPr>
            <w:r w:rsidRPr="00A96FB4">
              <w:rPr>
                <w:rFonts w:ascii="Arial Narrow" w:hAnsi="Arial Narrow"/>
                <w:b/>
                <w:sz w:val="20"/>
                <w:szCs w:val="20"/>
              </w:rPr>
              <w:t>В 2016 г.</w:t>
            </w:r>
          </w:p>
        </w:tc>
        <w:tc>
          <w:tcPr>
            <w:tcW w:w="7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64028" w:rsidRPr="00A96FB4" w:rsidRDefault="00A64028" w:rsidP="00103148">
            <w:pPr>
              <w:spacing w:after="0" w:line="276" w:lineRule="auto"/>
              <w:jc w:val="center"/>
              <w:rPr>
                <w:rFonts w:ascii="Arial Narrow" w:hAnsi="Arial Narrow"/>
                <w:b/>
                <w:sz w:val="20"/>
                <w:szCs w:val="20"/>
              </w:rPr>
            </w:pPr>
            <w:r w:rsidRPr="00A96FB4">
              <w:rPr>
                <w:rFonts w:ascii="Arial Narrow" w:hAnsi="Arial Narrow"/>
                <w:b/>
                <w:sz w:val="20"/>
                <w:szCs w:val="20"/>
              </w:rPr>
              <w:t>Динамика, % к 2015 г.</w:t>
            </w:r>
          </w:p>
        </w:tc>
      </w:tr>
      <w:tr w:rsidR="00A64028" w:rsidRPr="00A96FB4" w:rsidTr="00A96FB4">
        <w:trPr>
          <w:trHeight w:val="20"/>
        </w:trPr>
        <w:tc>
          <w:tcPr>
            <w:tcW w:w="210" w:type="pct"/>
            <w:tcBorders>
              <w:top w:val="nil"/>
              <w:left w:val="single" w:sz="8" w:space="0" w:color="auto"/>
              <w:bottom w:val="single" w:sz="4" w:space="0" w:color="auto"/>
              <w:right w:val="single" w:sz="8" w:space="0" w:color="auto"/>
            </w:tcBorders>
            <w:shd w:val="clear" w:color="000000" w:fill="FFFFFF"/>
          </w:tcPr>
          <w:p w:rsidR="00A64028" w:rsidRPr="00A96FB4" w:rsidRDefault="00A64028" w:rsidP="00103148">
            <w:pPr>
              <w:spacing w:after="0" w:line="276" w:lineRule="auto"/>
              <w:rPr>
                <w:rFonts w:ascii="Arial Narrow" w:hAnsi="Arial Narrow" w:cs="Arial"/>
                <w:sz w:val="20"/>
                <w:szCs w:val="20"/>
              </w:rPr>
            </w:pPr>
            <w:r w:rsidRPr="00A96FB4">
              <w:rPr>
                <w:rFonts w:ascii="Arial Narrow" w:hAnsi="Arial Narrow" w:cs="Arial"/>
                <w:sz w:val="20"/>
                <w:szCs w:val="20"/>
              </w:rPr>
              <w:t>1</w:t>
            </w:r>
          </w:p>
        </w:tc>
        <w:tc>
          <w:tcPr>
            <w:tcW w:w="2926" w:type="pct"/>
            <w:tcBorders>
              <w:top w:val="nil"/>
              <w:left w:val="single" w:sz="8" w:space="0" w:color="auto"/>
              <w:bottom w:val="single" w:sz="4" w:space="0" w:color="auto"/>
              <w:right w:val="single" w:sz="8" w:space="0" w:color="auto"/>
            </w:tcBorders>
            <w:shd w:val="clear" w:color="000000" w:fill="FFFFFF"/>
            <w:vAlign w:val="center"/>
            <w:hideMark/>
          </w:tcPr>
          <w:p w:rsidR="00A64028" w:rsidRPr="00A96FB4" w:rsidRDefault="00A64028" w:rsidP="00103148">
            <w:pPr>
              <w:spacing w:after="0" w:line="276" w:lineRule="auto"/>
              <w:rPr>
                <w:rFonts w:ascii="Arial Narrow" w:hAnsi="Arial Narrow"/>
                <w:sz w:val="20"/>
                <w:szCs w:val="20"/>
              </w:rPr>
            </w:pPr>
            <w:r w:rsidRPr="00A96FB4">
              <w:rPr>
                <w:rFonts w:ascii="Arial Narrow" w:hAnsi="Arial Narrow" w:cs="Arial"/>
                <w:sz w:val="20"/>
                <w:szCs w:val="20"/>
              </w:rPr>
              <w:t>Рынок услуг дошкольного образования</w:t>
            </w:r>
          </w:p>
        </w:tc>
        <w:tc>
          <w:tcPr>
            <w:tcW w:w="574" w:type="pct"/>
            <w:tcBorders>
              <w:top w:val="nil"/>
              <w:left w:val="nil"/>
              <w:bottom w:val="single" w:sz="4" w:space="0" w:color="auto"/>
              <w:right w:val="single" w:sz="8" w:space="0" w:color="auto"/>
            </w:tcBorders>
            <w:shd w:val="clear" w:color="000000" w:fill="FFFFFF"/>
            <w:vAlign w:val="center"/>
          </w:tcPr>
          <w:p w:rsidR="00A64028" w:rsidRPr="00A96FB4" w:rsidRDefault="00A64028" w:rsidP="00103148">
            <w:pPr>
              <w:spacing w:after="0" w:line="276" w:lineRule="auto"/>
              <w:jc w:val="center"/>
              <w:rPr>
                <w:rFonts w:ascii="Arial Narrow" w:hAnsi="Arial Narrow"/>
                <w:sz w:val="20"/>
                <w:szCs w:val="20"/>
              </w:rPr>
            </w:pPr>
            <w:r w:rsidRPr="00A96FB4">
              <w:rPr>
                <w:rFonts w:ascii="Arial Narrow" w:hAnsi="Arial Narrow"/>
                <w:sz w:val="20"/>
                <w:szCs w:val="20"/>
              </w:rPr>
              <w:t>Нет данных</w:t>
            </w:r>
          </w:p>
        </w:tc>
        <w:tc>
          <w:tcPr>
            <w:tcW w:w="540" w:type="pct"/>
            <w:tcBorders>
              <w:top w:val="nil"/>
              <w:left w:val="nil"/>
              <w:bottom w:val="single" w:sz="4" w:space="0" w:color="auto"/>
              <w:right w:val="nil"/>
            </w:tcBorders>
            <w:shd w:val="clear" w:color="000000" w:fill="FFFFFF"/>
            <w:vAlign w:val="center"/>
          </w:tcPr>
          <w:p w:rsidR="00A64028" w:rsidRPr="00A96FB4" w:rsidRDefault="00A64028" w:rsidP="00103148">
            <w:pPr>
              <w:spacing w:after="0" w:line="276" w:lineRule="auto"/>
              <w:jc w:val="center"/>
              <w:rPr>
                <w:rFonts w:ascii="Arial Narrow" w:hAnsi="Arial Narrow"/>
                <w:sz w:val="20"/>
                <w:szCs w:val="20"/>
              </w:rPr>
            </w:pPr>
            <w:r w:rsidRPr="00A96FB4">
              <w:rPr>
                <w:rFonts w:ascii="Arial Narrow" w:hAnsi="Arial Narrow"/>
                <w:sz w:val="20"/>
                <w:szCs w:val="20"/>
              </w:rPr>
              <w:t>Нет данных</w:t>
            </w:r>
          </w:p>
        </w:tc>
        <w:tc>
          <w:tcPr>
            <w:tcW w:w="750" w:type="pct"/>
            <w:tcBorders>
              <w:top w:val="nil"/>
              <w:left w:val="single" w:sz="4" w:space="0" w:color="auto"/>
              <w:bottom w:val="single" w:sz="4" w:space="0" w:color="auto"/>
              <w:right w:val="single" w:sz="4" w:space="0" w:color="auto"/>
            </w:tcBorders>
            <w:shd w:val="clear" w:color="auto" w:fill="auto"/>
            <w:noWrap/>
            <w:vAlign w:val="center"/>
          </w:tcPr>
          <w:p w:rsidR="00A64028" w:rsidRPr="00A96FB4" w:rsidRDefault="00A64028" w:rsidP="00103148">
            <w:pPr>
              <w:spacing w:after="0" w:line="276" w:lineRule="auto"/>
              <w:jc w:val="center"/>
              <w:rPr>
                <w:rFonts w:ascii="Arial Narrow" w:hAnsi="Arial Narrow"/>
                <w:sz w:val="20"/>
                <w:szCs w:val="20"/>
              </w:rPr>
            </w:pPr>
            <w:r w:rsidRPr="00A96FB4">
              <w:rPr>
                <w:rFonts w:ascii="Arial Narrow" w:hAnsi="Arial Narrow"/>
                <w:sz w:val="20"/>
                <w:szCs w:val="20"/>
              </w:rPr>
              <w:t>Нет данных</w:t>
            </w:r>
          </w:p>
        </w:tc>
      </w:tr>
      <w:tr w:rsidR="00A64028" w:rsidRPr="00A96FB4" w:rsidTr="00A96FB4">
        <w:trPr>
          <w:trHeight w:val="20"/>
        </w:trPr>
        <w:tc>
          <w:tcPr>
            <w:tcW w:w="210" w:type="pct"/>
            <w:tcBorders>
              <w:top w:val="single" w:sz="4" w:space="0" w:color="auto"/>
              <w:left w:val="single" w:sz="4" w:space="0" w:color="auto"/>
              <w:bottom w:val="single" w:sz="4" w:space="0" w:color="auto"/>
              <w:right w:val="single" w:sz="4" w:space="0" w:color="auto"/>
            </w:tcBorders>
            <w:shd w:val="clear" w:color="000000" w:fill="FFFFFF"/>
          </w:tcPr>
          <w:p w:rsidR="00A64028" w:rsidRPr="00A96FB4" w:rsidRDefault="00A64028" w:rsidP="00103148">
            <w:pPr>
              <w:spacing w:after="0" w:line="276" w:lineRule="auto"/>
              <w:rPr>
                <w:rFonts w:ascii="Arial Narrow" w:hAnsi="Arial Narrow" w:cs="Arial"/>
                <w:sz w:val="20"/>
                <w:szCs w:val="20"/>
              </w:rPr>
            </w:pPr>
            <w:r w:rsidRPr="00A96FB4">
              <w:rPr>
                <w:rFonts w:ascii="Arial Narrow" w:hAnsi="Arial Narrow" w:cs="Arial"/>
                <w:sz w:val="20"/>
                <w:szCs w:val="20"/>
              </w:rPr>
              <w:t>2</w:t>
            </w:r>
          </w:p>
        </w:tc>
        <w:tc>
          <w:tcPr>
            <w:tcW w:w="2926" w:type="pct"/>
            <w:tcBorders>
              <w:top w:val="single" w:sz="4" w:space="0" w:color="auto"/>
              <w:left w:val="single" w:sz="4" w:space="0" w:color="auto"/>
              <w:bottom w:val="single" w:sz="4" w:space="0" w:color="auto"/>
              <w:right w:val="single" w:sz="4" w:space="0" w:color="auto"/>
            </w:tcBorders>
            <w:shd w:val="clear" w:color="000000" w:fill="FFFFFF"/>
            <w:vAlign w:val="center"/>
          </w:tcPr>
          <w:p w:rsidR="00A64028" w:rsidRPr="00A96FB4" w:rsidRDefault="00A64028" w:rsidP="00103148">
            <w:pPr>
              <w:spacing w:after="0" w:line="276" w:lineRule="auto"/>
              <w:rPr>
                <w:rFonts w:ascii="Arial Narrow" w:hAnsi="Arial Narrow" w:cs="Arial"/>
                <w:sz w:val="20"/>
                <w:szCs w:val="20"/>
              </w:rPr>
            </w:pPr>
            <w:r w:rsidRPr="00A96FB4">
              <w:rPr>
                <w:rFonts w:ascii="Arial Narrow" w:hAnsi="Arial Narrow" w:cs="Arial"/>
                <w:sz w:val="20"/>
                <w:szCs w:val="20"/>
              </w:rPr>
              <w:t>Рынок услуг детского отдыха и оздоровления</w:t>
            </w:r>
          </w:p>
        </w:tc>
        <w:tc>
          <w:tcPr>
            <w:tcW w:w="574" w:type="pct"/>
            <w:tcBorders>
              <w:top w:val="single" w:sz="4" w:space="0" w:color="auto"/>
              <w:left w:val="single" w:sz="4" w:space="0" w:color="auto"/>
              <w:bottom w:val="single" w:sz="4" w:space="0" w:color="auto"/>
              <w:right w:val="single" w:sz="4" w:space="0" w:color="auto"/>
            </w:tcBorders>
            <w:shd w:val="clear" w:color="000000" w:fill="FFFFFF"/>
            <w:vAlign w:val="center"/>
          </w:tcPr>
          <w:p w:rsidR="00A64028" w:rsidRPr="00A96FB4" w:rsidRDefault="00A64028" w:rsidP="00103148">
            <w:pPr>
              <w:spacing w:after="0" w:line="276" w:lineRule="auto"/>
              <w:jc w:val="center"/>
              <w:rPr>
                <w:rFonts w:ascii="Arial Narrow" w:hAnsi="Arial Narrow" w:cs="Arial"/>
                <w:sz w:val="20"/>
                <w:szCs w:val="20"/>
              </w:rPr>
            </w:pPr>
            <w:r w:rsidRPr="00A96FB4">
              <w:rPr>
                <w:rFonts w:ascii="Arial Narrow" w:hAnsi="Arial Narrow"/>
                <w:sz w:val="20"/>
                <w:szCs w:val="20"/>
              </w:rPr>
              <w:t>Нет данных</w:t>
            </w:r>
          </w:p>
        </w:tc>
        <w:tc>
          <w:tcPr>
            <w:tcW w:w="540" w:type="pct"/>
            <w:tcBorders>
              <w:top w:val="single" w:sz="4" w:space="0" w:color="auto"/>
              <w:left w:val="single" w:sz="4" w:space="0" w:color="auto"/>
              <w:bottom w:val="single" w:sz="4" w:space="0" w:color="auto"/>
              <w:right w:val="single" w:sz="4" w:space="0" w:color="auto"/>
            </w:tcBorders>
            <w:shd w:val="clear" w:color="000000" w:fill="FFFFFF"/>
            <w:vAlign w:val="center"/>
          </w:tcPr>
          <w:p w:rsidR="00A64028" w:rsidRPr="00A96FB4" w:rsidRDefault="00A64028" w:rsidP="00103148">
            <w:pPr>
              <w:spacing w:after="0" w:line="276" w:lineRule="auto"/>
              <w:jc w:val="center"/>
              <w:rPr>
                <w:rFonts w:ascii="Arial Narrow" w:hAnsi="Arial Narrow" w:cs="Arial"/>
                <w:sz w:val="20"/>
                <w:szCs w:val="20"/>
              </w:rPr>
            </w:pPr>
            <w:r w:rsidRPr="00A96FB4">
              <w:rPr>
                <w:rFonts w:ascii="Arial Narrow" w:hAnsi="Arial Narrow"/>
                <w:sz w:val="20"/>
                <w:szCs w:val="20"/>
              </w:rPr>
              <w:t>Нет данных</w:t>
            </w:r>
          </w:p>
        </w:tc>
        <w:tc>
          <w:tcPr>
            <w:tcW w:w="750" w:type="pct"/>
            <w:tcBorders>
              <w:top w:val="single" w:sz="4" w:space="0" w:color="auto"/>
              <w:left w:val="single" w:sz="4" w:space="0" w:color="auto"/>
              <w:bottom w:val="single" w:sz="4" w:space="0" w:color="auto"/>
              <w:right w:val="single" w:sz="4" w:space="0" w:color="auto"/>
            </w:tcBorders>
            <w:shd w:val="clear" w:color="auto" w:fill="auto"/>
            <w:noWrap/>
            <w:vAlign w:val="center"/>
          </w:tcPr>
          <w:p w:rsidR="00A64028" w:rsidRPr="00A96FB4" w:rsidRDefault="00A64028" w:rsidP="00103148">
            <w:pPr>
              <w:spacing w:after="0" w:line="276" w:lineRule="auto"/>
              <w:jc w:val="center"/>
              <w:rPr>
                <w:rFonts w:ascii="Arial Narrow" w:hAnsi="Arial Narrow"/>
                <w:sz w:val="20"/>
                <w:szCs w:val="20"/>
              </w:rPr>
            </w:pPr>
            <w:r w:rsidRPr="00A96FB4">
              <w:rPr>
                <w:rFonts w:ascii="Arial Narrow" w:hAnsi="Arial Narrow"/>
                <w:sz w:val="20"/>
                <w:szCs w:val="20"/>
              </w:rPr>
              <w:t>Нет данных</w:t>
            </w:r>
          </w:p>
        </w:tc>
      </w:tr>
      <w:tr w:rsidR="00A64028" w:rsidRPr="00A96FB4" w:rsidTr="00A96FB4">
        <w:trPr>
          <w:trHeight w:val="20"/>
        </w:trPr>
        <w:tc>
          <w:tcPr>
            <w:tcW w:w="210" w:type="pct"/>
            <w:tcBorders>
              <w:top w:val="nil"/>
              <w:left w:val="single" w:sz="8" w:space="0" w:color="auto"/>
              <w:bottom w:val="single" w:sz="8" w:space="0" w:color="auto"/>
              <w:right w:val="single" w:sz="8" w:space="0" w:color="auto"/>
            </w:tcBorders>
            <w:shd w:val="clear" w:color="000000" w:fill="FFFFFF"/>
          </w:tcPr>
          <w:p w:rsidR="00A64028" w:rsidRPr="00A96FB4" w:rsidRDefault="00A64028" w:rsidP="00103148">
            <w:pPr>
              <w:spacing w:after="0" w:line="276" w:lineRule="auto"/>
              <w:rPr>
                <w:rFonts w:ascii="Arial Narrow" w:hAnsi="Arial Narrow" w:cs="Arial"/>
                <w:sz w:val="20"/>
                <w:szCs w:val="20"/>
              </w:rPr>
            </w:pPr>
            <w:r w:rsidRPr="00A96FB4">
              <w:rPr>
                <w:rFonts w:ascii="Arial Narrow" w:hAnsi="Arial Narrow" w:cs="Arial"/>
                <w:sz w:val="20"/>
                <w:szCs w:val="20"/>
              </w:rPr>
              <w:t>3</w:t>
            </w:r>
          </w:p>
        </w:tc>
        <w:tc>
          <w:tcPr>
            <w:tcW w:w="2926" w:type="pct"/>
            <w:tcBorders>
              <w:top w:val="nil"/>
              <w:left w:val="single" w:sz="8" w:space="0" w:color="auto"/>
              <w:bottom w:val="single" w:sz="8" w:space="0" w:color="auto"/>
              <w:right w:val="single" w:sz="8" w:space="0" w:color="auto"/>
            </w:tcBorders>
            <w:shd w:val="clear" w:color="000000" w:fill="FFFFFF"/>
            <w:vAlign w:val="center"/>
            <w:hideMark/>
          </w:tcPr>
          <w:p w:rsidR="00A64028" w:rsidRPr="00A96FB4" w:rsidRDefault="00A64028" w:rsidP="00103148">
            <w:pPr>
              <w:spacing w:after="0" w:line="276" w:lineRule="auto"/>
              <w:rPr>
                <w:rFonts w:ascii="Arial Narrow" w:hAnsi="Arial Narrow" w:cs="Arial"/>
                <w:sz w:val="20"/>
                <w:szCs w:val="20"/>
              </w:rPr>
            </w:pPr>
            <w:r w:rsidRPr="00A96FB4">
              <w:rPr>
                <w:rFonts w:ascii="Arial Narrow" w:hAnsi="Arial Narrow" w:cs="Arial"/>
                <w:sz w:val="20"/>
                <w:szCs w:val="20"/>
              </w:rPr>
              <w:t>Рынок дополнительного образования детей</w:t>
            </w:r>
          </w:p>
        </w:tc>
        <w:tc>
          <w:tcPr>
            <w:tcW w:w="574" w:type="pct"/>
            <w:tcBorders>
              <w:top w:val="nil"/>
              <w:left w:val="nil"/>
              <w:bottom w:val="single" w:sz="8" w:space="0" w:color="auto"/>
              <w:right w:val="single" w:sz="8" w:space="0" w:color="auto"/>
            </w:tcBorders>
            <w:shd w:val="clear" w:color="000000" w:fill="FFFFFF"/>
            <w:vAlign w:val="center"/>
            <w:hideMark/>
          </w:tcPr>
          <w:p w:rsidR="00A64028" w:rsidRPr="00A96FB4" w:rsidRDefault="00A64028" w:rsidP="00103148">
            <w:pPr>
              <w:spacing w:after="0" w:line="276" w:lineRule="auto"/>
              <w:jc w:val="center"/>
              <w:rPr>
                <w:rFonts w:ascii="Arial Narrow" w:hAnsi="Arial Narrow" w:cs="Arial"/>
                <w:sz w:val="20"/>
                <w:szCs w:val="20"/>
              </w:rPr>
            </w:pPr>
            <w:r w:rsidRPr="00A96FB4">
              <w:rPr>
                <w:rFonts w:ascii="Arial Narrow" w:hAnsi="Arial Narrow" w:cs="Arial"/>
                <w:sz w:val="20"/>
                <w:szCs w:val="20"/>
              </w:rPr>
              <w:t>4,3</w:t>
            </w:r>
          </w:p>
        </w:tc>
        <w:tc>
          <w:tcPr>
            <w:tcW w:w="540" w:type="pct"/>
            <w:tcBorders>
              <w:top w:val="nil"/>
              <w:left w:val="nil"/>
              <w:bottom w:val="single" w:sz="8" w:space="0" w:color="auto"/>
              <w:right w:val="nil"/>
            </w:tcBorders>
            <w:shd w:val="clear" w:color="000000" w:fill="FFFFFF"/>
            <w:vAlign w:val="center"/>
            <w:hideMark/>
          </w:tcPr>
          <w:p w:rsidR="00A64028" w:rsidRPr="00A96FB4" w:rsidRDefault="00A64028" w:rsidP="00103148">
            <w:pPr>
              <w:spacing w:after="0" w:line="276" w:lineRule="auto"/>
              <w:jc w:val="center"/>
              <w:rPr>
                <w:rFonts w:ascii="Arial Narrow" w:hAnsi="Arial Narrow" w:cs="Arial"/>
                <w:sz w:val="20"/>
                <w:szCs w:val="20"/>
              </w:rPr>
            </w:pPr>
            <w:r w:rsidRPr="00A96FB4">
              <w:rPr>
                <w:rFonts w:ascii="Arial Narrow" w:hAnsi="Arial Narrow" w:cs="Arial"/>
                <w:sz w:val="20"/>
                <w:szCs w:val="20"/>
              </w:rPr>
              <w:t>6</w:t>
            </w:r>
          </w:p>
        </w:tc>
        <w:tc>
          <w:tcPr>
            <w:tcW w:w="750" w:type="pct"/>
            <w:tcBorders>
              <w:top w:val="nil"/>
              <w:left w:val="single" w:sz="4" w:space="0" w:color="auto"/>
              <w:bottom w:val="single" w:sz="4" w:space="0" w:color="auto"/>
              <w:right w:val="single" w:sz="4" w:space="0" w:color="auto"/>
            </w:tcBorders>
            <w:shd w:val="clear" w:color="auto" w:fill="auto"/>
            <w:noWrap/>
            <w:vAlign w:val="center"/>
            <w:hideMark/>
          </w:tcPr>
          <w:p w:rsidR="00A64028" w:rsidRPr="00A96FB4" w:rsidRDefault="00A64028" w:rsidP="00103148">
            <w:pPr>
              <w:spacing w:after="0" w:line="276" w:lineRule="auto"/>
              <w:jc w:val="center"/>
              <w:rPr>
                <w:rFonts w:ascii="Arial Narrow" w:hAnsi="Arial Narrow"/>
                <w:sz w:val="20"/>
                <w:szCs w:val="20"/>
              </w:rPr>
            </w:pPr>
            <w:r w:rsidRPr="00A96FB4">
              <w:rPr>
                <w:rFonts w:ascii="Arial Narrow" w:hAnsi="Arial Narrow"/>
                <w:sz w:val="20"/>
                <w:szCs w:val="20"/>
              </w:rPr>
              <w:t>1,7</w:t>
            </w:r>
          </w:p>
        </w:tc>
      </w:tr>
      <w:tr w:rsidR="00A64028" w:rsidRPr="00A96FB4" w:rsidTr="00A96FB4">
        <w:trPr>
          <w:trHeight w:val="20"/>
        </w:trPr>
        <w:tc>
          <w:tcPr>
            <w:tcW w:w="210" w:type="pct"/>
            <w:tcBorders>
              <w:top w:val="nil"/>
              <w:left w:val="single" w:sz="8" w:space="0" w:color="auto"/>
              <w:bottom w:val="single" w:sz="8" w:space="0" w:color="auto"/>
              <w:right w:val="single" w:sz="8" w:space="0" w:color="auto"/>
            </w:tcBorders>
            <w:shd w:val="clear" w:color="000000" w:fill="FFFFFF"/>
          </w:tcPr>
          <w:p w:rsidR="00A64028" w:rsidRPr="00A96FB4" w:rsidRDefault="00A64028" w:rsidP="00103148">
            <w:pPr>
              <w:spacing w:after="0" w:line="276" w:lineRule="auto"/>
              <w:rPr>
                <w:rFonts w:ascii="Arial Narrow" w:hAnsi="Arial Narrow" w:cs="Arial"/>
                <w:sz w:val="20"/>
                <w:szCs w:val="20"/>
              </w:rPr>
            </w:pPr>
            <w:r w:rsidRPr="00A96FB4">
              <w:rPr>
                <w:rFonts w:ascii="Arial Narrow" w:hAnsi="Arial Narrow" w:cs="Arial"/>
                <w:sz w:val="20"/>
                <w:szCs w:val="20"/>
              </w:rPr>
              <w:t>4</w:t>
            </w:r>
          </w:p>
        </w:tc>
        <w:tc>
          <w:tcPr>
            <w:tcW w:w="2926" w:type="pct"/>
            <w:tcBorders>
              <w:top w:val="nil"/>
              <w:left w:val="single" w:sz="8" w:space="0" w:color="auto"/>
              <w:bottom w:val="single" w:sz="8" w:space="0" w:color="auto"/>
              <w:right w:val="single" w:sz="8" w:space="0" w:color="auto"/>
            </w:tcBorders>
            <w:shd w:val="clear" w:color="000000" w:fill="FFFFFF"/>
            <w:vAlign w:val="center"/>
            <w:hideMark/>
          </w:tcPr>
          <w:p w:rsidR="00A64028" w:rsidRPr="00A96FB4" w:rsidRDefault="00A64028" w:rsidP="00103148">
            <w:pPr>
              <w:spacing w:after="0" w:line="276" w:lineRule="auto"/>
              <w:rPr>
                <w:rFonts w:ascii="Arial Narrow" w:hAnsi="Arial Narrow" w:cs="Arial"/>
                <w:sz w:val="20"/>
                <w:szCs w:val="20"/>
              </w:rPr>
            </w:pPr>
            <w:r w:rsidRPr="00A96FB4">
              <w:rPr>
                <w:rFonts w:ascii="Arial Narrow" w:hAnsi="Arial Narrow" w:cs="Arial"/>
                <w:sz w:val="20"/>
                <w:szCs w:val="20"/>
              </w:rPr>
              <w:t>Рынок медицинских услуг</w:t>
            </w:r>
          </w:p>
        </w:tc>
        <w:tc>
          <w:tcPr>
            <w:tcW w:w="574" w:type="pct"/>
            <w:tcBorders>
              <w:top w:val="nil"/>
              <w:left w:val="nil"/>
              <w:bottom w:val="single" w:sz="8" w:space="0" w:color="auto"/>
              <w:right w:val="single" w:sz="8" w:space="0" w:color="auto"/>
            </w:tcBorders>
            <w:shd w:val="clear" w:color="000000" w:fill="FFFFFF"/>
            <w:vAlign w:val="center"/>
            <w:hideMark/>
          </w:tcPr>
          <w:p w:rsidR="00A64028" w:rsidRPr="00A96FB4" w:rsidRDefault="00A64028" w:rsidP="00103148">
            <w:pPr>
              <w:spacing w:after="0" w:line="276" w:lineRule="auto"/>
              <w:jc w:val="center"/>
              <w:rPr>
                <w:rFonts w:ascii="Arial Narrow" w:hAnsi="Arial Narrow"/>
                <w:sz w:val="20"/>
                <w:szCs w:val="20"/>
                <w:lang w:val="en-US"/>
              </w:rPr>
            </w:pPr>
            <w:r w:rsidRPr="00A96FB4">
              <w:rPr>
                <w:rFonts w:ascii="Arial Narrow" w:hAnsi="Arial Narrow" w:cs="Arial"/>
                <w:sz w:val="20"/>
                <w:szCs w:val="20"/>
              </w:rPr>
              <w:t>147,63</w:t>
            </w:r>
          </w:p>
        </w:tc>
        <w:tc>
          <w:tcPr>
            <w:tcW w:w="540" w:type="pct"/>
            <w:tcBorders>
              <w:top w:val="nil"/>
              <w:left w:val="nil"/>
              <w:bottom w:val="single" w:sz="8" w:space="0" w:color="auto"/>
              <w:right w:val="nil"/>
            </w:tcBorders>
            <w:shd w:val="clear" w:color="000000" w:fill="FFFFFF"/>
            <w:vAlign w:val="center"/>
            <w:hideMark/>
          </w:tcPr>
          <w:p w:rsidR="00A64028" w:rsidRPr="00A96FB4" w:rsidRDefault="00A64028" w:rsidP="00103148">
            <w:pPr>
              <w:spacing w:after="0" w:line="276" w:lineRule="auto"/>
              <w:jc w:val="center"/>
              <w:rPr>
                <w:rFonts w:ascii="Arial Narrow" w:hAnsi="Arial Narrow"/>
                <w:sz w:val="20"/>
                <w:szCs w:val="20"/>
                <w:lang w:val="en-US"/>
              </w:rPr>
            </w:pPr>
            <w:r w:rsidRPr="00A96FB4">
              <w:rPr>
                <w:rFonts w:ascii="Arial Narrow" w:hAnsi="Arial Narrow" w:cs="Arial"/>
                <w:sz w:val="20"/>
                <w:szCs w:val="20"/>
              </w:rPr>
              <w:t>152,9</w:t>
            </w:r>
          </w:p>
        </w:tc>
        <w:tc>
          <w:tcPr>
            <w:tcW w:w="750" w:type="pct"/>
            <w:tcBorders>
              <w:top w:val="nil"/>
              <w:left w:val="single" w:sz="4" w:space="0" w:color="auto"/>
              <w:bottom w:val="single" w:sz="4" w:space="0" w:color="auto"/>
              <w:right w:val="single" w:sz="4" w:space="0" w:color="auto"/>
            </w:tcBorders>
            <w:shd w:val="clear" w:color="auto" w:fill="auto"/>
            <w:noWrap/>
            <w:vAlign w:val="center"/>
            <w:hideMark/>
          </w:tcPr>
          <w:p w:rsidR="00A64028" w:rsidRPr="00A96FB4" w:rsidRDefault="00A64028" w:rsidP="00103148">
            <w:pPr>
              <w:spacing w:after="0" w:line="276" w:lineRule="auto"/>
              <w:jc w:val="center"/>
              <w:rPr>
                <w:rFonts w:ascii="Arial Narrow" w:hAnsi="Arial Narrow"/>
                <w:sz w:val="20"/>
                <w:szCs w:val="20"/>
              </w:rPr>
            </w:pPr>
            <w:r w:rsidRPr="00A96FB4">
              <w:rPr>
                <w:rFonts w:ascii="Arial Narrow" w:hAnsi="Arial Narrow"/>
                <w:sz w:val="20"/>
                <w:szCs w:val="20"/>
              </w:rPr>
              <w:t>5,27</w:t>
            </w:r>
          </w:p>
        </w:tc>
      </w:tr>
      <w:tr w:rsidR="00A64028" w:rsidRPr="00A96FB4" w:rsidTr="00A96FB4">
        <w:trPr>
          <w:trHeight w:val="20"/>
        </w:trPr>
        <w:tc>
          <w:tcPr>
            <w:tcW w:w="210" w:type="pct"/>
            <w:tcBorders>
              <w:top w:val="single" w:sz="4" w:space="0" w:color="auto"/>
              <w:left w:val="single" w:sz="4" w:space="0" w:color="auto"/>
              <w:bottom w:val="single" w:sz="4" w:space="0" w:color="auto"/>
              <w:right w:val="single" w:sz="4" w:space="0" w:color="auto"/>
            </w:tcBorders>
            <w:shd w:val="clear" w:color="000000" w:fill="FFFFFF"/>
          </w:tcPr>
          <w:p w:rsidR="00A64028" w:rsidRPr="00A96FB4" w:rsidRDefault="00A64028" w:rsidP="00103148">
            <w:pPr>
              <w:spacing w:after="0" w:line="276" w:lineRule="auto"/>
              <w:rPr>
                <w:rFonts w:ascii="Arial Narrow" w:hAnsi="Arial Narrow" w:cs="Arial"/>
                <w:sz w:val="20"/>
                <w:szCs w:val="20"/>
              </w:rPr>
            </w:pPr>
            <w:r w:rsidRPr="00A96FB4">
              <w:rPr>
                <w:rFonts w:ascii="Arial Narrow" w:hAnsi="Arial Narrow" w:cs="Arial"/>
                <w:sz w:val="20"/>
                <w:szCs w:val="20"/>
              </w:rPr>
              <w:t>5</w:t>
            </w:r>
          </w:p>
        </w:tc>
        <w:tc>
          <w:tcPr>
            <w:tcW w:w="292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64028" w:rsidRPr="00A96FB4" w:rsidRDefault="00A64028" w:rsidP="00103148">
            <w:pPr>
              <w:spacing w:after="0" w:line="276" w:lineRule="auto"/>
              <w:rPr>
                <w:rFonts w:ascii="Arial Narrow" w:hAnsi="Arial Narrow"/>
                <w:sz w:val="20"/>
                <w:szCs w:val="20"/>
              </w:rPr>
            </w:pPr>
            <w:r w:rsidRPr="00A96FB4">
              <w:rPr>
                <w:rFonts w:ascii="Arial Narrow" w:hAnsi="Arial Narrow" w:cs="Arial"/>
                <w:sz w:val="20"/>
                <w:szCs w:val="20"/>
              </w:rPr>
              <w:t>Рынок услуг психолого-педагогического сопровождения детей с ограниченными возможностями здоровья</w:t>
            </w:r>
          </w:p>
        </w:tc>
        <w:tc>
          <w:tcPr>
            <w:tcW w:w="57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64028" w:rsidRPr="00A96FB4" w:rsidRDefault="00A64028" w:rsidP="00103148">
            <w:pPr>
              <w:spacing w:after="0" w:line="276" w:lineRule="auto"/>
              <w:jc w:val="center"/>
              <w:rPr>
                <w:rFonts w:ascii="Arial Narrow" w:hAnsi="Arial Narrow"/>
                <w:sz w:val="20"/>
                <w:szCs w:val="20"/>
              </w:rPr>
            </w:pPr>
            <w:r w:rsidRPr="00A96FB4">
              <w:rPr>
                <w:rFonts w:ascii="Arial Narrow" w:hAnsi="Arial Narrow" w:cs="Arial"/>
                <w:sz w:val="20"/>
                <w:szCs w:val="20"/>
              </w:rPr>
              <w:t>0,87</w:t>
            </w:r>
          </w:p>
        </w:tc>
        <w:tc>
          <w:tcPr>
            <w:tcW w:w="54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64028" w:rsidRPr="00A96FB4" w:rsidRDefault="00A64028" w:rsidP="00103148">
            <w:pPr>
              <w:spacing w:after="0" w:line="276" w:lineRule="auto"/>
              <w:jc w:val="center"/>
              <w:rPr>
                <w:rFonts w:ascii="Arial Narrow" w:hAnsi="Arial Narrow"/>
                <w:sz w:val="20"/>
                <w:szCs w:val="20"/>
              </w:rPr>
            </w:pPr>
            <w:r w:rsidRPr="00A96FB4">
              <w:rPr>
                <w:rFonts w:ascii="Arial Narrow" w:hAnsi="Arial Narrow" w:cs="Arial"/>
                <w:sz w:val="20"/>
                <w:szCs w:val="20"/>
              </w:rPr>
              <w:t>1,67</w:t>
            </w:r>
          </w:p>
        </w:tc>
        <w:tc>
          <w:tcPr>
            <w:tcW w:w="7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64028" w:rsidRPr="00A96FB4" w:rsidRDefault="00A64028" w:rsidP="00103148">
            <w:pPr>
              <w:spacing w:after="0" w:line="276" w:lineRule="auto"/>
              <w:jc w:val="center"/>
              <w:rPr>
                <w:rFonts w:ascii="Arial Narrow" w:hAnsi="Arial Narrow"/>
                <w:sz w:val="20"/>
                <w:szCs w:val="20"/>
              </w:rPr>
            </w:pPr>
            <w:r w:rsidRPr="00A96FB4">
              <w:rPr>
                <w:rFonts w:ascii="Arial Narrow" w:hAnsi="Arial Narrow"/>
                <w:sz w:val="20"/>
                <w:szCs w:val="20"/>
              </w:rPr>
              <w:t>0,8</w:t>
            </w:r>
          </w:p>
        </w:tc>
      </w:tr>
      <w:tr w:rsidR="00A64028" w:rsidRPr="00A96FB4" w:rsidTr="00A96FB4">
        <w:trPr>
          <w:trHeight w:val="20"/>
        </w:trPr>
        <w:tc>
          <w:tcPr>
            <w:tcW w:w="210" w:type="pct"/>
            <w:tcBorders>
              <w:top w:val="nil"/>
              <w:left w:val="single" w:sz="8" w:space="0" w:color="auto"/>
              <w:bottom w:val="single" w:sz="8" w:space="0" w:color="auto"/>
              <w:right w:val="single" w:sz="8" w:space="0" w:color="auto"/>
            </w:tcBorders>
            <w:shd w:val="clear" w:color="000000" w:fill="FFFFFF"/>
          </w:tcPr>
          <w:p w:rsidR="00A64028" w:rsidRPr="00A96FB4" w:rsidRDefault="00A64028" w:rsidP="00103148">
            <w:pPr>
              <w:spacing w:after="0" w:line="276" w:lineRule="auto"/>
              <w:rPr>
                <w:rFonts w:ascii="Arial Narrow" w:hAnsi="Arial Narrow" w:cs="Arial"/>
                <w:sz w:val="20"/>
                <w:szCs w:val="20"/>
              </w:rPr>
            </w:pPr>
            <w:r w:rsidRPr="00A96FB4">
              <w:rPr>
                <w:rFonts w:ascii="Arial Narrow" w:hAnsi="Arial Narrow" w:cs="Arial"/>
                <w:sz w:val="20"/>
                <w:szCs w:val="20"/>
              </w:rPr>
              <w:t>6</w:t>
            </w:r>
          </w:p>
        </w:tc>
        <w:tc>
          <w:tcPr>
            <w:tcW w:w="2926" w:type="pct"/>
            <w:tcBorders>
              <w:top w:val="nil"/>
              <w:left w:val="single" w:sz="8" w:space="0" w:color="auto"/>
              <w:bottom w:val="single" w:sz="8" w:space="0" w:color="auto"/>
              <w:right w:val="single" w:sz="8" w:space="0" w:color="auto"/>
            </w:tcBorders>
            <w:shd w:val="clear" w:color="000000" w:fill="FFFFFF"/>
            <w:vAlign w:val="center"/>
            <w:hideMark/>
          </w:tcPr>
          <w:p w:rsidR="00A64028" w:rsidRPr="00A96FB4" w:rsidRDefault="00A64028" w:rsidP="00103148">
            <w:pPr>
              <w:spacing w:after="0" w:line="276" w:lineRule="auto"/>
              <w:rPr>
                <w:rFonts w:ascii="Arial Narrow" w:hAnsi="Arial Narrow"/>
                <w:sz w:val="20"/>
                <w:szCs w:val="20"/>
              </w:rPr>
            </w:pPr>
            <w:r w:rsidRPr="00A96FB4">
              <w:rPr>
                <w:rFonts w:ascii="Arial Narrow" w:hAnsi="Arial Narrow" w:cs="Arial"/>
                <w:sz w:val="20"/>
                <w:szCs w:val="20"/>
              </w:rPr>
              <w:t>Рынок услуг в сфере культуры</w:t>
            </w:r>
          </w:p>
        </w:tc>
        <w:tc>
          <w:tcPr>
            <w:tcW w:w="574" w:type="pct"/>
            <w:tcBorders>
              <w:top w:val="nil"/>
              <w:left w:val="nil"/>
              <w:bottom w:val="single" w:sz="8" w:space="0" w:color="auto"/>
              <w:right w:val="single" w:sz="8" w:space="0" w:color="auto"/>
            </w:tcBorders>
            <w:shd w:val="clear" w:color="000000" w:fill="FFFFFF"/>
            <w:vAlign w:val="center"/>
            <w:hideMark/>
          </w:tcPr>
          <w:p w:rsidR="00A64028" w:rsidRPr="00A96FB4" w:rsidRDefault="00A64028" w:rsidP="00103148">
            <w:pPr>
              <w:spacing w:after="0" w:line="276" w:lineRule="auto"/>
              <w:jc w:val="center"/>
              <w:rPr>
                <w:rFonts w:ascii="Arial Narrow" w:hAnsi="Arial Narrow"/>
                <w:sz w:val="20"/>
                <w:szCs w:val="20"/>
              </w:rPr>
            </w:pPr>
            <w:r w:rsidRPr="00A96FB4">
              <w:rPr>
                <w:rFonts w:ascii="Arial Narrow" w:hAnsi="Arial Narrow" w:cs="Arial"/>
                <w:sz w:val="20"/>
                <w:szCs w:val="20"/>
              </w:rPr>
              <w:t>267</w:t>
            </w:r>
          </w:p>
        </w:tc>
        <w:tc>
          <w:tcPr>
            <w:tcW w:w="540" w:type="pct"/>
            <w:tcBorders>
              <w:top w:val="nil"/>
              <w:left w:val="nil"/>
              <w:bottom w:val="single" w:sz="8" w:space="0" w:color="auto"/>
              <w:right w:val="nil"/>
            </w:tcBorders>
            <w:shd w:val="clear" w:color="000000" w:fill="FFFFFF"/>
            <w:vAlign w:val="center"/>
            <w:hideMark/>
          </w:tcPr>
          <w:p w:rsidR="00A64028" w:rsidRPr="00A96FB4" w:rsidRDefault="00A64028" w:rsidP="00103148">
            <w:pPr>
              <w:spacing w:after="0" w:line="276" w:lineRule="auto"/>
              <w:jc w:val="center"/>
              <w:rPr>
                <w:rFonts w:ascii="Arial Narrow" w:hAnsi="Arial Narrow"/>
                <w:sz w:val="20"/>
                <w:szCs w:val="20"/>
              </w:rPr>
            </w:pPr>
            <w:r w:rsidRPr="00A96FB4">
              <w:rPr>
                <w:rFonts w:ascii="Arial Narrow" w:hAnsi="Arial Narrow" w:cs="Arial"/>
                <w:sz w:val="20"/>
                <w:szCs w:val="20"/>
              </w:rPr>
              <w:t>115,3</w:t>
            </w:r>
          </w:p>
        </w:tc>
        <w:tc>
          <w:tcPr>
            <w:tcW w:w="750" w:type="pct"/>
            <w:tcBorders>
              <w:top w:val="nil"/>
              <w:left w:val="single" w:sz="4" w:space="0" w:color="auto"/>
              <w:bottom w:val="single" w:sz="4" w:space="0" w:color="auto"/>
              <w:right w:val="single" w:sz="4" w:space="0" w:color="auto"/>
            </w:tcBorders>
            <w:shd w:val="clear" w:color="auto" w:fill="auto"/>
            <w:noWrap/>
            <w:vAlign w:val="center"/>
            <w:hideMark/>
          </w:tcPr>
          <w:p w:rsidR="00A64028" w:rsidRPr="00A96FB4" w:rsidRDefault="00A64028" w:rsidP="00103148">
            <w:pPr>
              <w:spacing w:after="0" w:line="276" w:lineRule="auto"/>
              <w:jc w:val="center"/>
              <w:rPr>
                <w:rFonts w:ascii="Arial Narrow" w:hAnsi="Arial Narrow"/>
                <w:sz w:val="20"/>
                <w:szCs w:val="20"/>
              </w:rPr>
            </w:pPr>
            <w:r w:rsidRPr="00A96FB4">
              <w:rPr>
                <w:rFonts w:ascii="Arial Narrow" w:hAnsi="Arial Narrow"/>
                <w:sz w:val="20"/>
                <w:szCs w:val="20"/>
              </w:rPr>
              <w:t>-151,7</w:t>
            </w:r>
          </w:p>
        </w:tc>
      </w:tr>
      <w:tr w:rsidR="00A64028" w:rsidRPr="00A96FB4" w:rsidTr="00A96FB4">
        <w:trPr>
          <w:trHeight w:val="20"/>
        </w:trPr>
        <w:tc>
          <w:tcPr>
            <w:tcW w:w="210" w:type="pct"/>
            <w:tcBorders>
              <w:top w:val="nil"/>
              <w:left w:val="single" w:sz="8" w:space="0" w:color="auto"/>
              <w:bottom w:val="single" w:sz="8" w:space="0" w:color="auto"/>
              <w:right w:val="single" w:sz="8" w:space="0" w:color="auto"/>
            </w:tcBorders>
            <w:shd w:val="clear" w:color="000000" w:fill="FFFFFF"/>
          </w:tcPr>
          <w:p w:rsidR="00A64028" w:rsidRPr="00A96FB4" w:rsidRDefault="00A64028" w:rsidP="00103148">
            <w:pPr>
              <w:spacing w:after="0" w:line="276" w:lineRule="auto"/>
              <w:rPr>
                <w:rFonts w:ascii="Arial Narrow" w:hAnsi="Arial Narrow" w:cs="Arial"/>
                <w:sz w:val="20"/>
                <w:szCs w:val="20"/>
              </w:rPr>
            </w:pPr>
            <w:r w:rsidRPr="00A96FB4">
              <w:rPr>
                <w:rFonts w:ascii="Arial Narrow" w:hAnsi="Arial Narrow" w:cs="Arial"/>
                <w:sz w:val="20"/>
                <w:szCs w:val="20"/>
              </w:rPr>
              <w:t>7</w:t>
            </w:r>
          </w:p>
        </w:tc>
        <w:tc>
          <w:tcPr>
            <w:tcW w:w="2926" w:type="pct"/>
            <w:tcBorders>
              <w:top w:val="nil"/>
              <w:left w:val="single" w:sz="8" w:space="0" w:color="auto"/>
              <w:bottom w:val="single" w:sz="8" w:space="0" w:color="auto"/>
              <w:right w:val="single" w:sz="8" w:space="0" w:color="auto"/>
            </w:tcBorders>
            <w:shd w:val="clear" w:color="000000" w:fill="FFFFFF"/>
            <w:vAlign w:val="center"/>
            <w:hideMark/>
          </w:tcPr>
          <w:p w:rsidR="00A64028" w:rsidRPr="00A96FB4" w:rsidRDefault="00A64028" w:rsidP="00103148">
            <w:pPr>
              <w:spacing w:after="0" w:line="276" w:lineRule="auto"/>
              <w:rPr>
                <w:rFonts w:ascii="Arial Narrow" w:hAnsi="Arial Narrow"/>
                <w:sz w:val="20"/>
                <w:szCs w:val="20"/>
              </w:rPr>
            </w:pPr>
            <w:r w:rsidRPr="00A96FB4">
              <w:rPr>
                <w:rFonts w:ascii="Arial Narrow" w:hAnsi="Arial Narrow" w:cs="Arial"/>
                <w:sz w:val="20"/>
                <w:szCs w:val="20"/>
              </w:rPr>
              <w:t>Рынок услуг ЖКХ</w:t>
            </w:r>
          </w:p>
        </w:tc>
        <w:tc>
          <w:tcPr>
            <w:tcW w:w="574" w:type="pct"/>
            <w:tcBorders>
              <w:top w:val="nil"/>
              <w:left w:val="nil"/>
              <w:bottom w:val="single" w:sz="8" w:space="0" w:color="auto"/>
              <w:right w:val="single" w:sz="8" w:space="0" w:color="auto"/>
            </w:tcBorders>
            <w:shd w:val="clear" w:color="000000" w:fill="FFFFFF"/>
            <w:vAlign w:val="center"/>
            <w:hideMark/>
          </w:tcPr>
          <w:p w:rsidR="00A64028" w:rsidRPr="00A96FB4" w:rsidRDefault="00A64028" w:rsidP="00103148">
            <w:pPr>
              <w:spacing w:after="0" w:line="276" w:lineRule="auto"/>
              <w:jc w:val="center"/>
              <w:rPr>
                <w:rFonts w:ascii="Arial Narrow" w:hAnsi="Arial Narrow"/>
                <w:sz w:val="20"/>
                <w:szCs w:val="20"/>
              </w:rPr>
            </w:pPr>
            <w:r w:rsidRPr="00A96FB4">
              <w:rPr>
                <w:rFonts w:ascii="Arial Narrow" w:hAnsi="Arial Narrow" w:cs="Arial"/>
                <w:sz w:val="20"/>
                <w:szCs w:val="20"/>
              </w:rPr>
              <w:t>13,97</w:t>
            </w:r>
          </w:p>
        </w:tc>
        <w:tc>
          <w:tcPr>
            <w:tcW w:w="540" w:type="pct"/>
            <w:tcBorders>
              <w:top w:val="nil"/>
              <w:left w:val="nil"/>
              <w:bottom w:val="single" w:sz="8" w:space="0" w:color="auto"/>
              <w:right w:val="nil"/>
            </w:tcBorders>
            <w:shd w:val="clear" w:color="000000" w:fill="FFFFFF"/>
            <w:vAlign w:val="center"/>
            <w:hideMark/>
          </w:tcPr>
          <w:p w:rsidR="00A64028" w:rsidRPr="00A96FB4" w:rsidRDefault="00A64028" w:rsidP="00103148">
            <w:pPr>
              <w:spacing w:after="0" w:line="276" w:lineRule="auto"/>
              <w:jc w:val="center"/>
              <w:rPr>
                <w:rFonts w:ascii="Arial Narrow" w:hAnsi="Arial Narrow"/>
                <w:sz w:val="20"/>
                <w:szCs w:val="20"/>
              </w:rPr>
            </w:pPr>
            <w:r w:rsidRPr="00A96FB4">
              <w:rPr>
                <w:rFonts w:ascii="Arial Narrow" w:hAnsi="Arial Narrow" w:cs="Arial"/>
                <w:sz w:val="20"/>
                <w:szCs w:val="20"/>
              </w:rPr>
              <w:t>22,02</w:t>
            </w:r>
          </w:p>
        </w:tc>
        <w:tc>
          <w:tcPr>
            <w:tcW w:w="750" w:type="pct"/>
            <w:tcBorders>
              <w:top w:val="nil"/>
              <w:left w:val="single" w:sz="4" w:space="0" w:color="auto"/>
              <w:bottom w:val="single" w:sz="4" w:space="0" w:color="auto"/>
              <w:right w:val="single" w:sz="4" w:space="0" w:color="auto"/>
            </w:tcBorders>
            <w:shd w:val="clear" w:color="auto" w:fill="auto"/>
            <w:noWrap/>
            <w:vAlign w:val="center"/>
            <w:hideMark/>
          </w:tcPr>
          <w:p w:rsidR="00A64028" w:rsidRPr="00A96FB4" w:rsidRDefault="00A64028" w:rsidP="00103148">
            <w:pPr>
              <w:spacing w:after="0" w:line="276" w:lineRule="auto"/>
              <w:jc w:val="center"/>
              <w:rPr>
                <w:rFonts w:ascii="Arial Narrow" w:hAnsi="Arial Narrow"/>
                <w:sz w:val="20"/>
                <w:szCs w:val="20"/>
              </w:rPr>
            </w:pPr>
            <w:r w:rsidRPr="00A96FB4">
              <w:rPr>
                <w:rFonts w:ascii="Arial Narrow" w:hAnsi="Arial Narrow"/>
                <w:sz w:val="20"/>
                <w:szCs w:val="20"/>
              </w:rPr>
              <w:t>8,05</w:t>
            </w:r>
          </w:p>
        </w:tc>
      </w:tr>
      <w:tr w:rsidR="00A64028" w:rsidRPr="00A96FB4" w:rsidTr="00A96FB4">
        <w:trPr>
          <w:trHeight w:val="20"/>
        </w:trPr>
        <w:tc>
          <w:tcPr>
            <w:tcW w:w="210" w:type="pct"/>
            <w:tcBorders>
              <w:top w:val="nil"/>
              <w:left w:val="single" w:sz="8" w:space="0" w:color="auto"/>
              <w:bottom w:val="single" w:sz="8" w:space="0" w:color="auto"/>
              <w:right w:val="single" w:sz="8" w:space="0" w:color="auto"/>
            </w:tcBorders>
            <w:shd w:val="clear" w:color="000000" w:fill="FFFFFF"/>
          </w:tcPr>
          <w:p w:rsidR="00A64028" w:rsidRPr="00A96FB4" w:rsidRDefault="00A64028" w:rsidP="00103148">
            <w:pPr>
              <w:spacing w:after="0" w:line="276" w:lineRule="auto"/>
              <w:rPr>
                <w:rFonts w:ascii="Arial Narrow" w:hAnsi="Arial Narrow" w:cs="Arial"/>
                <w:sz w:val="20"/>
                <w:szCs w:val="20"/>
              </w:rPr>
            </w:pPr>
            <w:r w:rsidRPr="00A96FB4">
              <w:rPr>
                <w:rFonts w:ascii="Arial Narrow" w:hAnsi="Arial Narrow" w:cs="Arial"/>
                <w:sz w:val="20"/>
                <w:szCs w:val="20"/>
              </w:rPr>
              <w:t>8</w:t>
            </w:r>
          </w:p>
        </w:tc>
        <w:tc>
          <w:tcPr>
            <w:tcW w:w="2926" w:type="pct"/>
            <w:tcBorders>
              <w:top w:val="nil"/>
              <w:left w:val="single" w:sz="8" w:space="0" w:color="auto"/>
              <w:bottom w:val="single" w:sz="8" w:space="0" w:color="auto"/>
              <w:right w:val="single" w:sz="8" w:space="0" w:color="auto"/>
            </w:tcBorders>
            <w:shd w:val="clear" w:color="000000" w:fill="FFFFFF"/>
            <w:vAlign w:val="center"/>
            <w:hideMark/>
          </w:tcPr>
          <w:p w:rsidR="00A64028" w:rsidRPr="00A96FB4" w:rsidRDefault="00A64028" w:rsidP="00103148">
            <w:pPr>
              <w:spacing w:after="0" w:line="276" w:lineRule="auto"/>
              <w:rPr>
                <w:rFonts w:ascii="Arial Narrow" w:hAnsi="Arial Narrow"/>
                <w:sz w:val="20"/>
                <w:szCs w:val="20"/>
              </w:rPr>
            </w:pPr>
            <w:r w:rsidRPr="00A96FB4">
              <w:rPr>
                <w:rFonts w:ascii="Arial Narrow" w:hAnsi="Arial Narrow" w:cs="Arial"/>
                <w:sz w:val="20"/>
                <w:szCs w:val="20"/>
              </w:rPr>
              <w:t>Розничная торговля</w:t>
            </w:r>
          </w:p>
        </w:tc>
        <w:tc>
          <w:tcPr>
            <w:tcW w:w="574" w:type="pct"/>
            <w:tcBorders>
              <w:top w:val="nil"/>
              <w:left w:val="nil"/>
              <w:bottom w:val="single" w:sz="8" w:space="0" w:color="auto"/>
              <w:right w:val="single" w:sz="8" w:space="0" w:color="auto"/>
            </w:tcBorders>
            <w:shd w:val="clear" w:color="000000" w:fill="FFFFFF"/>
            <w:vAlign w:val="center"/>
            <w:hideMark/>
          </w:tcPr>
          <w:p w:rsidR="00A64028" w:rsidRPr="00A96FB4" w:rsidRDefault="00A64028" w:rsidP="00103148">
            <w:pPr>
              <w:spacing w:after="0" w:line="276" w:lineRule="auto"/>
              <w:jc w:val="center"/>
              <w:rPr>
                <w:rFonts w:ascii="Arial Narrow" w:hAnsi="Arial Narrow"/>
                <w:sz w:val="20"/>
                <w:szCs w:val="20"/>
              </w:rPr>
            </w:pPr>
            <w:r w:rsidRPr="00A96FB4">
              <w:rPr>
                <w:rFonts w:ascii="Arial Narrow" w:hAnsi="Arial Narrow" w:cs="Arial"/>
                <w:sz w:val="20"/>
                <w:szCs w:val="20"/>
              </w:rPr>
              <w:t>1346,03</w:t>
            </w:r>
          </w:p>
        </w:tc>
        <w:tc>
          <w:tcPr>
            <w:tcW w:w="540" w:type="pct"/>
            <w:tcBorders>
              <w:top w:val="nil"/>
              <w:left w:val="nil"/>
              <w:bottom w:val="single" w:sz="8" w:space="0" w:color="auto"/>
              <w:right w:val="nil"/>
            </w:tcBorders>
            <w:shd w:val="clear" w:color="000000" w:fill="FFFFFF"/>
            <w:vAlign w:val="center"/>
            <w:hideMark/>
          </w:tcPr>
          <w:p w:rsidR="00A64028" w:rsidRPr="00A96FB4" w:rsidRDefault="00A64028" w:rsidP="00103148">
            <w:pPr>
              <w:spacing w:after="0" w:line="276" w:lineRule="auto"/>
              <w:jc w:val="center"/>
              <w:rPr>
                <w:rFonts w:ascii="Arial Narrow" w:hAnsi="Arial Narrow"/>
                <w:sz w:val="20"/>
                <w:szCs w:val="20"/>
              </w:rPr>
            </w:pPr>
            <w:r w:rsidRPr="00A96FB4">
              <w:rPr>
                <w:rFonts w:ascii="Arial Narrow" w:hAnsi="Arial Narrow" w:cs="Arial"/>
                <w:sz w:val="20"/>
                <w:szCs w:val="20"/>
              </w:rPr>
              <w:t>65,06</w:t>
            </w:r>
          </w:p>
        </w:tc>
        <w:tc>
          <w:tcPr>
            <w:tcW w:w="750" w:type="pct"/>
            <w:tcBorders>
              <w:top w:val="nil"/>
              <w:left w:val="single" w:sz="4" w:space="0" w:color="auto"/>
              <w:bottom w:val="single" w:sz="4" w:space="0" w:color="auto"/>
              <w:right w:val="single" w:sz="4" w:space="0" w:color="auto"/>
            </w:tcBorders>
            <w:shd w:val="clear" w:color="auto" w:fill="auto"/>
            <w:noWrap/>
            <w:vAlign w:val="center"/>
            <w:hideMark/>
          </w:tcPr>
          <w:p w:rsidR="00A64028" w:rsidRPr="00A96FB4" w:rsidRDefault="00A64028" w:rsidP="00103148">
            <w:pPr>
              <w:spacing w:after="0" w:line="276" w:lineRule="auto"/>
              <w:jc w:val="center"/>
              <w:rPr>
                <w:rFonts w:ascii="Arial Narrow" w:hAnsi="Arial Narrow"/>
                <w:sz w:val="20"/>
                <w:szCs w:val="20"/>
              </w:rPr>
            </w:pPr>
            <w:r w:rsidRPr="00A96FB4">
              <w:rPr>
                <w:rFonts w:ascii="Arial Narrow" w:hAnsi="Arial Narrow"/>
                <w:sz w:val="20"/>
                <w:szCs w:val="20"/>
              </w:rPr>
              <w:t>-1280,97</w:t>
            </w:r>
          </w:p>
        </w:tc>
      </w:tr>
      <w:tr w:rsidR="00A64028" w:rsidRPr="00A96FB4" w:rsidTr="00A96FB4">
        <w:trPr>
          <w:trHeight w:val="20"/>
        </w:trPr>
        <w:tc>
          <w:tcPr>
            <w:tcW w:w="210" w:type="pct"/>
            <w:tcBorders>
              <w:top w:val="nil"/>
              <w:left w:val="single" w:sz="8" w:space="0" w:color="auto"/>
              <w:bottom w:val="single" w:sz="8" w:space="0" w:color="auto"/>
              <w:right w:val="single" w:sz="8" w:space="0" w:color="auto"/>
            </w:tcBorders>
            <w:shd w:val="clear" w:color="000000" w:fill="FFFFFF"/>
          </w:tcPr>
          <w:p w:rsidR="00A64028" w:rsidRPr="00A96FB4" w:rsidRDefault="00A64028" w:rsidP="00103148">
            <w:pPr>
              <w:spacing w:after="0" w:line="276" w:lineRule="auto"/>
              <w:rPr>
                <w:rFonts w:ascii="Arial Narrow" w:hAnsi="Arial Narrow" w:cs="Arial"/>
                <w:sz w:val="20"/>
                <w:szCs w:val="20"/>
              </w:rPr>
            </w:pPr>
            <w:r w:rsidRPr="00A96FB4">
              <w:rPr>
                <w:rFonts w:ascii="Arial Narrow" w:hAnsi="Arial Narrow" w:cs="Arial"/>
                <w:sz w:val="20"/>
                <w:szCs w:val="20"/>
              </w:rPr>
              <w:t>9</w:t>
            </w:r>
          </w:p>
        </w:tc>
        <w:tc>
          <w:tcPr>
            <w:tcW w:w="2926" w:type="pct"/>
            <w:tcBorders>
              <w:top w:val="nil"/>
              <w:left w:val="single" w:sz="8" w:space="0" w:color="auto"/>
              <w:bottom w:val="single" w:sz="8" w:space="0" w:color="auto"/>
              <w:right w:val="single" w:sz="8" w:space="0" w:color="auto"/>
            </w:tcBorders>
            <w:shd w:val="clear" w:color="000000" w:fill="FFFFFF"/>
            <w:vAlign w:val="center"/>
            <w:hideMark/>
          </w:tcPr>
          <w:p w:rsidR="00A64028" w:rsidRPr="00A96FB4" w:rsidRDefault="00A64028" w:rsidP="00103148">
            <w:pPr>
              <w:spacing w:after="0" w:line="276" w:lineRule="auto"/>
              <w:rPr>
                <w:rFonts w:ascii="Arial Narrow" w:hAnsi="Arial Narrow"/>
                <w:sz w:val="20"/>
                <w:szCs w:val="20"/>
              </w:rPr>
            </w:pPr>
            <w:r w:rsidRPr="00A96FB4">
              <w:rPr>
                <w:rFonts w:ascii="Arial Narrow" w:hAnsi="Arial Narrow" w:cs="Arial"/>
                <w:sz w:val="20"/>
                <w:szCs w:val="20"/>
              </w:rPr>
              <w:t>Рынок услуг перевозок пассажиров наземным транспортом</w:t>
            </w:r>
          </w:p>
        </w:tc>
        <w:tc>
          <w:tcPr>
            <w:tcW w:w="574" w:type="pct"/>
            <w:tcBorders>
              <w:top w:val="nil"/>
              <w:left w:val="nil"/>
              <w:bottom w:val="single" w:sz="8" w:space="0" w:color="auto"/>
              <w:right w:val="single" w:sz="8" w:space="0" w:color="auto"/>
            </w:tcBorders>
            <w:shd w:val="clear" w:color="000000" w:fill="FFFFFF"/>
            <w:vAlign w:val="center"/>
            <w:hideMark/>
          </w:tcPr>
          <w:p w:rsidR="00A64028" w:rsidRPr="00A96FB4" w:rsidRDefault="00A64028" w:rsidP="00103148">
            <w:pPr>
              <w:spacing w:after="0" w:line="276" w:lineRule="auto"/>
              <w:jc w:val="center"/>
              <w:rPr>
                <w:rFonts w:ascii="Arial Narrow" w:hAnsi="Arial Narrow"/>
                <w:sz w:val="20"/>
                <w:szCs w:val="20"/>
              </w:rPr>
            </w:pPr>
            <w:r w:rsidRPr="00A96FB4">
              <w:rPr>
                <w:rFonts w:ascii="Arial Narrow" w:hAnsi="Arial Narrow" w:cs="Arial"/>
                <w:sz w:val="20"/>
                <w:szCs w:val="20"/>
              </w:rPr>
              <w:t>5,8</w:t>
            </w:r>
          </w:p>
        </w:tc>
        <w:tc>
          <w:tcPr>
            <w:tcW w:w="540" w:type="pct"/>
            <w:tcBorders>
              <w:top w:val="nil"/>
              <w:left w:val="nil"/>
              <w:bottom w:val="single" w:sz="8" w:space="0" w:color="auto"/>
              <w:right w:val="nil"/>
            </w:tcBorders>
            <w:shd w:val="clear" w:color="000000" w:fill="FFFFFF"/>
            <w:vAlign w:val="center"/>
            <w:hideMark/>
          </w:tcPr>
          <w:p w:rsidR="00A64028" w:rsidRPr="00A96FB4" w:rsidRDefault="00A64028" w:rsidP="00103148">
            <w:pPr>
              <w:spacing w:after="0" w:line="276" w:lineRule="auto"/>
              <w:jc w:val="center"/>
              <w:rPr>
                <w:rFonts w:ascii="Arial Narrow" w:hAnsi="Arial Narrow"/>
                <w:sz w:val="20"/>
                <w:szCs w:val="20"/>
              </w:rPr>
            </w:pPr>
            <w:r w:rsidRPr="00A96FB4">
              <w:rPr>
                <w:rFonts w:ascii="Arial Narrow" w:hAnsi="Arial Narrow" w:cs="Arial"/>
                <w:sz w:val="20"/>
                <w:szCs w:val="20"/>
              </w:rPr>
              <w:t>53,7</w:t>
            </w:r>
          </w:p>
        </w:tc>
        <w:tc>
          <w:tcPr>
            <w:tcW w:w="750" w:type="pct"/>
            <w:tcBorders>
              <w:top w:val="nil"/>
              <w:left w:val="single" w:sz="4" w:space="0" w:color="auto"/>
              <w:bottom w:val="single" w:sz="4" w:space="0" w:color="auto"/>
              <w:right w:val="single" w:sz="4" w:space="0" w:color="auto"/>
            </w:tcBorders>
            <w:shd w:val="clear" w:color="auto" w:fill="auto"/>
            <w:noWrap/>
            <w:vAlign w:val="center"/>
            <w:hideMark/>
          </w:tcPr>
          <w:p w:rsidR="00A64028" w:rsidRPr="00A96FB4" w:rsidRDefault="00A64028" w:rsidP="00103148">
            <w:pPr>
              <w:spacing w:after="0" w:line="276" w:lineRule="auto"/>
              <w:jc w:val="center"/>
              <w:rPr>
                <w:rFonts w:ascii="Arial Narrow" w:hAnsi="Arial Narrow"/>
                <w:sz w:val="20"/>
                <w:szCs w:val="20"/>
              </w:rPr>
            </w:pPr>
            <w:r w:rsidRPr="00A96FB4">
              <w:rPr>
                <w:rFonts w:ascii="Arial Narrow" w:hAnsi="Arial Narrow"/>
                <w:sz w:val="20"/>
                <w:szCs w:val="20"/>
              </w:rPr>
              <w:t>47,9</w:t>
            </w:r>
          </w:p>
        </w:tc>
      </w:tr>
      <w:tr w:rsidR="00A64028" w:rsidRPr="00A96FB4" w:rsidTr="00A96FB4">
        <w:trPr>
          <w:trHeight w:val="20"/>
        </w:trPr>
        <w:tc>
          <w:tcPr>
            <w:tcW w:w="210" w:type="pct"/>
            <w:tcBorders>
              <w:top w:val="single" w:sz="4" w:space="0" w:color="auto"/>
              <w:left w:val="single" w:sz="8" w:space="0" w:color="auto"/>
              <w:bottom w:val="single" w:sz="8" w:space="0" w:color="auto"/>
              <w:right w:val="single" w:sz="8" w:space="0" w:color="auto"/>
            </w:tcBorders>
            <w:shd w:val="clear" w:color="000000" w:fill="FFFFFF"/>
          </w:tcPr>
          <w:p w:rsidR="00A64028" w:rsidRPr="00A96FB4" w:rsidRDefault="00A64028" w:rsidP="00103148">
            <w:pPr>
              <w:spacing w:after="0" w:line="276" w:lineRule="auto"/>
              <w:rPr>
                <w:rFonts w:ascii="Arial Narrow" w:hAnsi="Arial Narrow" w:cs="Arial"/>
                <w:sz w:val="20"/>
                <w:szCs w:val="20"/>
              </w:rPr>
            </w:pPr>
            <w:r w:rsidRPr="00A96FB4">
              <w:rPr>
                <w:rFonts w:ascii="Arial Narrow" w:hAnsi="Arial Narrow" w:cs="Arial"/>
                <w:sz w:val="20"/>
                <w:szCs w:val="20"/>
              </w:rPr>
              <w:t>10</w:t>
            </w:r>
          </w:p>
        </w:tc>
        <w:tc>
          <w:tcPr>
            <w:tcW w:w="2926" w:type="pct"/>
            <w:tcBorders>
              <w:top w:val="single" w:sz="4" w:space="0" w:color="auto"/>
              <w:left w:val="single" w:sz="8" w:space="0" w:color="auto"/>
              <w:bottom w:val="single" w:sz="8" w:space="0" w:color="auto"/>
              <w:right w:val="single" w:sz="8" w:space="0" w:color="auto"/>
            </w:tcBorders>
            <w:shd w:val="clear" w:color="000000" w:fill="FFFFFF"/>
            <w:vAlign w:val="center"/>
            <w:hideMark/>
          </w:tcPr>
          <w:p w:rsidR="00A64028" w:rsidRPr="00A96FB4" w:rsidRDefault="00A64028" w:rsidP="00103148">
            <w:pPr>
              <w:spacing w:after="0" w:line="276" w:lineRule="auto"/>
              <w:rPr>
                <w:rFonts w:ascii="Arial Narrow" w:hAnsi="Arial Narrow"/>
                <w:sz w:val="20"/>
                <w:szCs w:val="20"/>
              </w:rPr>
            </w:pPr>
            <w:r w:rsidRPr="00A96FB4">
              <w:rPr>
                <w:rFonts w:ascii="Arial Narrow" w:hAnsi="Arial Narrow" w:cs="Arial"/>
                <w:sz w:val="20"/>
                <w:szCs w:val="20"/>
              </w:rPr>
              <w:t>Рынок услуг связи</w:t>
            </w:r>
          </w:p>
        </w:tc>
        <w:tc>
          <w:tcPr>
            <w:tcW w:w="574" w:type="pct"/>
            <w:tcBorders>
              <w:top w:val="nil"/>
              <w:left w:val="nil"/>
              <w:bottom w:val="single" w:sz="8" w:space="0" w:color="auto"/>
              <w:right w:val="single" w:sz="8" w:space="0" w:color="auto"/>
            </w:tcBorders>
            <w:shd w:val="clear" w:color="000000" w:fill="FFFFFF"/>
            <w:vAlign w:val="center"/>
            <w:hideMark/>
          </w:tcPr>
          <w:p w:rsidR="00A64028" w:rsidRPr="00A96FB4" w:rsidRDefault="00A64028" w:rsidP="00103148">
            <w:pPr>
              <w:spacing w:after="0" w:line="276" w:lineRule="auto"/>
              <w:jc w:val="center"/>
              <w:rPr>
                <w:rFonts w:ascii="Arial Narrow" w:hAnsi="Arial Narrow"/>
                <w:sz w:val="20"/>
                <w:szCs w:val="20"/>
              </w:rPr>
            </w:pPr>
            <w:r w:rsidRPr="00A96FB4">
              <w:rPr>
                <w:rFonts w:ascii="Arial Narrow" w:hAnsi="Arial Narrow" w:cs="Arial"/>
                <w:sz w:val="20"/>
                <w:szCs w:val="20"/>
              </w:rPr>
              <w:t>269,2</w:t>
            </w:r>
          </w:p>
        </w:tc>
        <w:tc>
          <w:tcPr>
            <w:tcW w:w="540" w:type="pct"/>
            <w:tcBorders>
              <w:top w:val="nil"/>
              <w:left w:val="nil"/>
              <w:bottom w:val="single" w:sz="8" w:space="0" w:color="auto"/>
              <w:right w:val="nil"/>
            </w:tcBorders>
            <w:shd w:val="clear" w:color="000000" w:fill="FFFFFF"/>
            <w:vAlign w:val="center"/>
            <w:hideMark/>
          </w:tcPr>
          <w:p w:rsidR="00A64028" w:rsidRPr="00A96FB4" w:rsidRDefault="00A64028" w:rsidP="00103148">
            <w:pPr>
              <w:spacing w:after="0" w:line="276" w:lineRule="auto"/>
              <w:jc w:val="center"/>
              <w:rPr>
                <w:rFonts w:ascii="Arial Narrow" w:hAnsi="Arial Narrow"/>
                <w:sz w:val="20"/>
                <w:szCs w:val="20"/>
              </w:rPr>
            </w:pPr>
            <w:r w:rsidRPr="00A96FB4">
              <w:rPr>
                <w:rFonts w:ascii="Arial Narrow" w:hAnsi="Arial Narrow" w:cs="Arial"/>
                <w:sz w:val="20"/>
                <w:szCs w:val="20"/>
              </w:rPr>
              <w:t>2601,38</w:t>
            </w:r>
          </w:p>
        </w:tc>
        <w:tc>
          <w:tcPr>
            <w:tcW w:w="750" w:type="pct"/>
            <w:tcBorders>
              <w:top w:val="nil"/>
              <w:left w:val="single" w:sz="4" w:space="0" w:color="auto"/>
              <w:bottom w:val="single" w:sz="4" w:space="0" w:color="auto"/>
              <w:right w:val="single" w:sz="4" w:space="0" w:color="auto"/>
            </w:tcBorders>
            <w:shd w:val="clear" w:color="auto" w:fill="auto"/>
            <w:noWrap/>
            <w:vAlign w:val="center"/>
            <w:hideMark/>
          </w:tcPr>
          <w:p w:rsidR="00A64028" w:rsidRPr="00A96FB4" w:rsidRDefault="00A64028" w:rsidP="00103148">
            <w:pPr>
              <w:spacing w:after="0" w:line="276" w:lineRule="auto"/>
              <w:jc w:val="center"/>
              <w:rPr>
                <w:rFonts w:ascii="Arial Narrow" w:hAnsi="Arial Narrow"/>
                <w:sz w:val="20"/>
                <w:szCs w:val="20"/>
              </w:rPr>
            </w:pPr>
            <w:r w:rsidRPr="00A96FB4">
              <w:rPr>
                <w:rFonts w:ascii="Arial Narrow" w:hAnsi="Arial Narrow"/>
                <w:sz w:val="20"/>
                <w:szCs w:val="20"/>
              </w:rPr>
              <w:t>2332,18</w:t>
            </w:r>
          </w:p>
        </w:tc>
      </w:tr>
      <w:tr w:rsidR="00A64028" w:rsidRPr="00A96FB4" w:rsidTr="00A96FB4">
        <w:trPr>
          <w:trHeight w:val="20"/>
        </w:trPr>
        <w:tc>
          <w:tcPr>
            <w:tcW w:w="210" w:type="pct"/>
            <w:tcBorders>
              <w:top w:val="nil"/>
              <w:left w:val="single" w:sz="8" w:space="0" w:color="auto"/>
              <w:bottom w:val="single" w:sz="8" w:space="0" w:color="auto"/>
              <w:right w:val="single" w:sz="8" w:space="0" w:color="auto"/>
            </w:tcBorders>
            <w:shd w:val="clear" w:color="000000" w:fill="FFFFFF"/>
          </w:tcPr>
          <w:p w:rsidR="00A64028" w:rsidRPr="00A96FB4" w:rsidRDefault="00A64028" w:rsidP="00103148">
            <w:pPr>
              <w:spacing w:after="0" w:line="276" w:lineRule="auto"/>
              <w:rPr>
                <w:rFonts w:ascii="Arial Narrow" w:hAnsi="Arial Narrow" w:cs="Arial"/>
                <w:sz w:val="20"/>
                <w:szCs w:val="20"/>
              </w:rPr>
            </w:pPr>
            <w:r w:rsidRPr="00A96FB4">
              <w:rPr>
                <w:rFonts w:ascii="Arial Narrow" w:hAnsi="Arial Narrow" w:cs="Arial"/>
                <w:sz w:val="20"/>
                <w:szCs w:val="20"/>
              </w:rPr>
              <w:t>11</w:t>
            </w:r>
          </w:p>
        </w:tc>
        <w:tc>
          <w:tcPr>
            <w:tcW w:w="2926" w:type="pct"/>
            <w:tcBorders>
              <w:top w:val="nil"/>
              <w:left w:val="single" w:sz="8" w:space="0" w:color="auto"/>
              <w:bottom w:val="single" w:sz="8" w:space="0" w:color="auto"/>
              <w:right w:val="single" w:sz="8" w:space="0" w:color="auto"/>
            </w:tcBorders>
            <w:shd w:val="clear" w:color="000000" w:fill="FFFFFF"/>
            <w:vAlign w:val="center"/>
            <w:hideMark/>
          </w:tcPr>
          <w:p w:rsidR="00A64028" w:rsidRPr="00A96FB4" w:rsidRDefault="00A64028" w:rsidP="00103148">
            <w:pPr>
              <w:spacing w:after="0" w:line="276" w:lineRule="auto"/>
              <w:rPr>
                <w:rFonts w:ascii="Arial Narrow" w:hAnsi="Arial Narrow"/>
                <w:sz w:val="20"/>
                <w:szCs w:val="20"/>
              </w:rPr>
            </w:pPr>
            <w:r w:rsidRPr="00A96FB4">
              <w:rPr>
                <w:rFonts w:ascii="Arial Narrow" w:hAnsi="Arial Narrow" w:cs="Arial"/>
                <w:sz w:val="20"/>
                <w:szCs w:val="20"/>
              </w:rPr>
              <w:t>Рынок услуг социального обслуживания населения</w:t>
            </w:r>
          </w:p>
        </w:tc>
        <w:tc>
          <w:tcPr>
            <w:tcW w:w="574" w:type="pct"/>
            <w:tcBorders>
              <w:top w:val="nil"/>
              <w:left w:val="nil"/>
              <w:bottom w:val="single" w:sz="8" w:space="0" w:color="auto"/>
              <w:right w:val="single" w:sz="8" w:space="0" w:color="auto"/>
            </w:tcBorders>
            <w:shd w:val="clear" w:color="000000" w:fill="FFFFFF"/>
            <w:vAlign w:val="center"/>
            <w:hideMark/>
          </w:tcPr>
          <w:p w:rsidR="00A64028" w:rsidRPr="00A96FB4" w:rsidRDefault="00A64028" w:rsidP="00103148">
            <w:pPr>
              <w:spacing w:after="0" w:line="276" w:lineRule="auto"/>
              <w:jc w:val="center"/>
              <w:rPr>
                <w:rFonts w:ascii="Arial Narrow" w:hAnsi="Arial Narrow"/>
                <w:sz w:val="20"/>
                <w:szCs w:val="20"/>
              </w:rPr>
            </w:pPr>
            <w:r w:rsidRPr="00A96FB4">
              <w:rPr>
                <w:rFonts w:ascii="Arial Narrow" w:hAnsi="Arial Narrow" w:cs="Arial"/>
                <w:sz w:val="20"/>
                <w:szCs w:val="20"/>
              </w:rPr>
              <w:t>7,42</w:t>
            </w:r>
          </w:p>
        </w:tc>
        <w:tc>
          <w:tcPr>
            <w:tcW w:w="540" w:type="pct"/>
            <w:tcBorders>
              <w:top w:val="nil"/>
              <w:left w:val="nil"/>
              <w:bottom w:val="single" w:sz="8" w:space="0" w:color="auto"/>
              <w:right w:val="nil"/>
            </w:tcBorders>
            <w:shd w:val="clear" w:color="000000" w:fill="FFFFFF"/>
            <w:vAlign w:val="center"/>
            <w:hideMark/>
          </w:tcPr>
          <w:p w:rsidR="00A64028" w:rsidRPr="00A96FB4" w:rsidRDefault="00A64028" w:rsidP="00103148">
            <w:pPr>
              <w:spacing w:after="0" w:line="276" w:lineRule="auto"/>
              <w:jc w:val="center"/>
              <w:rPr>
                <w:rFonts w:ascii="Arial Narrow" w:hAnsi="Arial Narrow"/>
                <w:sz w:val="20"/>
                <w:szCs w:val="20"/>
              </w:rPr>
            </w:pPr>
            <w:r w:rsidRPr="00A96FB4">
              <w:rPr>
                <w:rFonts w:ascii="Arial Narrow" w:hAnsi="Arial Narrow" w:cs="Arial"/>
                <w:sz w:val="20"/>
                <w:szCs w:val="20"/>
              </w:rPr>
              <w:t>5,35</w:t>
            </w:r>
          </w:p>
        </w:tc>
        <w:tc>
          <w:tcPr>
            <w:tcW w:w="750" w:type="pct"/>
            <w:tcBorders>
              <w:top w:val="nil"/>
              <w:left w:val="single" w:sz="4" w:space="0" w:color="auto"/>
              <w:bottom w:val="single" w:sz="4" w:space="0" w:color="auto"/>
              <w:right w:val="single" w:sz="4" w:space="0" w:color="auto"/>
            </w:tcBorders>
            <w:shd w:val="clear" w:color="auto" w:fill="auto"/>
            <w:noWrap/>
            <w:vAlign w:val="center"/>
            <w:hideMark/>
          </w:tcPr>
          <w:p w:rsidR="00A64028" w:rsidRPr="00A96FB4" w:rsidRDefault="00A64028" w:rsidP="00103148">
            <w:pPr>
              <w:spacing w:after="0" w:line="276" w:lineRule="auto"/>
              <w:jc w:val="center"/>
              <w:rPr>
                <w:rFonts w:ascii="Arial Narrow" w:hAnsi="Arial Narrow"/>
                <w:sz w:val="20"/>
                <w:szCs w:val="20"/>
              </w:rPr>
            </w:pPr>
            <w:r w:rsidRPr="00A96FB4">
              <w:rPr>
                <w:rFonts w:ascii="Arial Narrow" w:hAnsi="Arial Narrow"/>
                <w:sz w:val="20"/>
                <w:szCs w:val="20"/>
              </w:rPr>
              <w:t>-2,07</w:t>
            </w:r>
          </w:p>
        </w:tc>
      </w:tr>
      <w:tr w:rsidR="00A64028" w:rsidRPr="00A96FB4" w:rsidTr="00A96FB4">
        <w:trPr>
          <w:trHeight w:val="20"/>
        </w:trPr>
        <w:tc>
          <w:tcPr>
            <w:tcW w:w="210" w:type="pct"/>
            <w:tcBorders>
              <w:top w:val="nil"/>
              <w:left w:val="single" w:sz="8" w:space="0" w:color="auto"/>
              <w:bottom w:val="single" w:sz="8" w:space="0" w:color="auto"/>
              <w:right w:val="single" w:sz="8" w:space="0" w:color="auto"/>
            </w:tcBorders>
            <w:shd w:val="clear" w:color="000000" w:fill="FFFFFF"/>
          </w:tcPr>
          <w:p w:rsidR="00A64028" w:rsidRPr="00A96FB4" w:rsidRDefault="00A64028" w:rsidP="00103148">
            <w:pPr>
              <w:spacing w:after="0"/>
              <w:rPr>
                <w:rFonts w:ascii="Arial Narrow" w:hAnsi="Arial Narrow" w:cs="Arial"/>
                <w:sz w:val="20"/>
                <w:szCs w:val="20"/>
              </w:rPr>
            </w:pPr>
            <w:r w:rsidRPr="00A96FB4">
              <w:rPr>
                <w:rFonts w:ascii="Arial Narrow" w:hAnsi="Arial Narrow" w:cs="Arial"/>
                <w:sz w:val="20"/>
                <w:szCs w:val="20"/>
              </w:rPr>
              <w:t>12</w:t>
            </w:r>
          </w:p>
        </w:tc>
        <w:tc>
          <w:tcPr>
            <w:tcW w:w="2926" w:type="pct"/>
            <w:tcBorders>
              <w:top w:val="nil"/>
              <w:left w:val="single" w:sz="8" w:space="0" w:color="auto"/>
              <w:bottom w:val="single" w:sz="8" w:space="0" w:color="auto"/>
              <w:right w:val="single" w:sz="8" w:space="0" w:color="auto"/>
            </w:tcBorders>
            <w:shd w:val="clear" w:color="000000" w:fill="FFFFFF"/>
            <w:vAlign w:val="center"/>
            <w:hideMark/>
          </w:tcPr>
          <w:p w:rsidR="00A64028" w:rsidRPr="00A96FB4" w:rsidRDefault="00A64028" w:rsidP="00103148">
            <w:pPr>
              <w:spacing w:after="0"/>
              <w:rPr>
                <w:rFonts w:ascii="Arial Narrow" w:hAnsi="Arial Narrow"/>
                <w:sz w:val="20"/>
                <w:szCs w:val="20"/>
              </w:rPr>
            </w:pPr>
            <w:r w:rsidRPr="00A96FB4">
              <w:rPr>
                <w:rFonts w:ascii="Arial Narrow" w:hAnsi="Arial Narrow" w:cs="Arial"/>
                <w:sz w:val="20"/>
                <w:szCs w:val="20"/>
              </w:rPr>
              <w:t>Рынок развития, производства, переработки и хранения с</w:t>
            </w:r>
            <w:r w:rsidRPr="00A96FB4">
              <w:rPr>
                <w:rFonts w:ascii="Arial" w:hAnsi="Arial" w:cs="Arial"/>
                <w:sz w:val="20"/>
                <w:szCs w:val="20"/>
              </w:rPr>
              <w:t>‎</w:t>
            </w:r>
            <w:r w:rsidRPr="00A96FB4">
              <w:rPr>
                <w:rFonts w:ascii="Arial Narrow" w:hAnsi="Arial Narrow" w:cs="Arial"/>
                <w:sz w:val="20"/>
                <w:szCs w:val="20"/>
              </w:rPr>
              <w:t>/х продукции</w:t>
            </w:r>
          </w:p>
        </w:tc>
        <w:tc>
          <w:tcPr>
            <w:tcW w:w="574" w:type="pct"/>
            <w:tcBorders>
              <w:top w:val="nil"/>
              <w:left w:val="nil"/>
              <w:bottom w:val="single" w:sz="8" w:space="0" w:color="auto"/>
              <w:right w:val="single" w:sz="8" w:space="0" w:color="auto"/>
            </w:tcBorders>
            <w:shd w:val="clear" w:color="000000" w:fill="FFFFFF"/>
            <w:vAlign w:val="center"/>
            <w:hideMark/>
          </w:tcPr>
          <w:p w:rsidR="00A64028" w:rsidRPr="00A96FB4" w:rsidRDefault="00A64028" w:rsidP="00103148">
            <w:pPr>
              <w:spacing w:after="0"/>
              <w:jc w:val="center"/>
              <w:rPr>
                <w:rFonts w:ascii="Arial Narrow" w:hAnsi="Arial Narrow"/>
                <w:sz w:val="20"/>
                <w:szCs w:val="20"/>
              </w:rPr>
            </w:pPr>
            <w:r w:rsidRPr="00A96FB4">
              <w:rPr>
                <w:rFonts w:ascii="Arial Narrow" w:hAnsi="Arial Narrow" w:cs="Arial"/>
                <w:sz w:val="20"/>
                <w:szCs w:val="20"/>
              </w:rPr>
              <w:t>52,49</w:t>
            </w:r>
          </w:p>
        </w:tc>
        <w:tc>
          <w:tcPr>
            <w:tcW w:w="540" w:type="pct"/>
            <w:tcBorders>
              <w:top w:val="nil"/>
              <w:left w:val="nil"/>
              <w:bottom w:val="single" w:sz="8" w:space="0" w:color="auto"/>
              <w:right w:val="nil"/>
            </w:tcBorders>
            <w:shd w:val="clear" w:color="000000" w:fill="FFFFFF"/>
            <w:vAlign w:val="center"/>
            <w:hideMark/>
          </w:tcPr>
          <w:p w:rsidR="00A64028" w:rsidRPr="00A96FB4" w:rsidRDefault="00A64028" w:rsidP="00103148">
            <w:pPr>
              <w:spacing w:after="0"/>
              <w:jc w:val="center"/>
              <w:rPr>
                <w:rFonts w:ascii="Arial Narrow" w:hAnsi="Arial Narrow"/>
                <w:sz w:val="20"/>
                <w:szCs w:val="20"/>
              </w:rPr>
            </w:pPr>
            <w:r w:rsidRPr="00A96FB4">
              <w:rPr>
                <w:rFonts w:ascii="Arial Narrow" w:hAnsi="Arial Narrow" w:cs="Arial"/>
                <w:sz w:val="20"/>
                <w:szCs w:val="20"/>
              </w:rPr>
              <w:t>71,44</w:t>
            </w:r>
          </w:p>
        </w:tc>
        <w:tc>
          <w:tcPr>
            <w:tcW w:w="750" w:type="pct"/>
            <w:tcBorders>
              <w:top w:val="nil"/>
              <w:left w:val="single" w:sz="4" w:space="0" w:color="auto"/>
              <w:bottom w:val="single" w:sz="4" w:space="0" w:color="auto"/>
              <w:right w:val="single" w:sz="4" w:space="0" w:color="auto"/>
            </w:tcBorders>
            <w:shd w:val="clear" w:color="auto" w:fill="auto"/>
            <w:noWrap/>
            <w:vAlign w:val="center"/>
            <w:hideMark/>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18,95</w:t>
            </w:r>
          </w:p>
        </w:tc>
      </w:tr>
      <w:tr w:rsidR="00A64028" w:rsidRPr="00A96FB4" w:rsidTr="00A96FB4">
        <w:trPr>
          <w:trHeight w:val="20"/>
        </w:trPr>
        <w:tc>
          <w:tcPr>
            <w:tcW w:w="210" w:type="pct"/>
            <w:tcBorders>
              <w:top w:val="nil"/>
              <w:left w:val="single" w:sz="8" w:space="0" w:color="auto"/>
              <w:bottom w:val="single" w:sz="8" w:space="0" w:color="auto"/>
              <w:right w:val="single" w:sz="8" w:space="0" w:color="auto"/>
            </w:tcBorders>
            <w:shd w:val="clear" w:color="000000" w:fill="FFFFFF"/>
          </w:tcPr>
          <w:p w:rsidR="00A64028" w:rsidRPr="00A96FB4" w:rsidRDefault="00A64028" w:rsidP="00103148">
            <w:pPr>
              <w:spacing w:after="0" w:line="276" w:lineRule="auto"/>
              <w:rPr>
                <w:rFonts w:ascii="Arial Narrow" w:hAnsi="Arial Narrow" w:cs="Arial"/>
                <w:sz w:val="20"/>
                <w:szCs w:val="20"/>
              </w:rPr>
            </w:pPr>
            <w:r w:rsidRPr="00A96FB4">
              <w:rPr>
                <w:rFonts w:ascii="Arial Narrow" w:hAnsi="Arial Narrow" w:cs="Arial"/>
                <w:sz w:val="20"/>
                <w:szCs w:val="20"/>
              </w:rPr>
              <w:t>13</w:t>
            </w:r>
          </w:p>
        </w:tc>
        <w:tc>
          <w:tcPr>
            <w:tcW w:w="2926" w:type="pct"/>
            <w:tcBorders>
              <w:top w:val="nil"/>
              <w:left w:val="single" w:sz="8" w:space="0" w:color="auto"/>
              <w:bottom w:val="single" w:sz="8" w:space="0" w:color="auto"/>
              <w:right w:val="single" w:sz="8" w:space="0" w:color="auto"/>
            </w:tcBorders>
            <w:shd w:val="clear" w:color="000000" w:fill="FFFFFF"/>
            <w:vAlign w:val="center"/>
            <w:hideMark/>
          </w:tcPr>
          <w:p w:rsidR="00A64028" w:rsidRPr="00A96FB4" w:rsidRDefault="00A64028" w:rsidP="00103148">
            <w:pPr>
              <w:spacing w:after="0" w:line="276" w:lineRule="auto"/>
              <w:rPr>
                <w:rFonts w:ascii="Arial Narrow" w:hAnsi="Arial Narrow"/>
                <w:sz w:val="20"/>
                <w:szCs w:val="20"/>
              </w:rPr>
            </w:pPr>
            <w:r w:rsidRPr="00A96FB4">
              <w:rPr>
                <w:rFonts w:ascii="Arial Narrow" w:hAnsi="Arial Narrow" w:cs="Arial"/>
                <w:sz w:val="20"/>
                <w:szCs w:val="20"/>
              </w:rPr>
              <w:t>Рынок услуг по сбору, сортировке и переработке твердых коммунальных (бытовых) отходов</w:t>
            </w:r>
          </w:p>
        </w:tc>
        <w:tc>
          <w:tcPr>
            <w:tcW w:w="574" w:type="pct"/>
            <w:tcBorders>
              <w:top w:val="nil"/>
              <w:left w:val="nil"/>
              <w:bottom w:val="single" w:sz="8" w:space="0" w:color="auto"/>
              <w:right w:val="single" w:sz="8" w:space="0" w:color="auto"/>
            </w:tcBorders>
            <w:shd w:val="clear" w:color="000000" w:fill="FFFFFF"/>
            <w:vAlign w:val="center"/>
            <w:hideMark/>
          </w:tcPr>
          <w:p w:rsidR="00A64028" w:rsidRPr="00A96FB4" w:rsidRDefault="00A64028" w:rsidP="00103148">
            <w:pPr>
              <w:spacing w:after="0" w:line="276" w:lineRule="auto"/>
              <w:jc w:val="center"/>
              <w:rPr>
                <w:rFonts w:ascii="Arial Narrow" w:hAnsi="Arial Narrow"/>
                <w:sz w:val="20"/>
                <w:szCs w:val="20"/>
              </w:rPr>
            </w:pPr>
            <w:r w:rsidRPr="00A96FB4">
              <w:rPr>
                <w:rFonts w:ascii="Arial Narrow" w:hAnsi="Arial Narrow" w:cs="Arial"/>
                <w:sz w:val="20"/>
                <w:szCs w:val="20"/>
              </w:rPr>
              <w:t>602,25</w:t>
            </w:r>
          </w:p>
        </w:tc>
        <w:tc>
          <w:tcPr>
            <w:tcW w:w="540" w:type="pct"/>
            <w:tcBorders>
              <w:top w:val="nil"/>
              <w:left w:val="nil"/>
              <w:bottom w:val="single" w:sz="8" w:space="0" w:color="auto"/>
              <w:right w:val="nil"/>
            </w:tcBorders>
            <w:shd w:val="clear" w:color="000000" w:fill="FFFFFF"/>
            <w:vAlign w:val="center"/>
            <w:hideMark/>
          </w:tcPr>
          <w:p w:rsidR="00A64028" w:rsidRPr="00A96FB4" w:rsidRDefault="00A64028" w:rsidP="00103148">
            <w:pPr>
              <w:spacing w:after="0" w:line="276" w:lineRule="auto"/>
              <w:jc w:val="center"/>
              <w:rPr>
                <w:rFonts w:ascii="Arial Narrow" w:hAnsi="Arial Narrow"/>
                <w:sz w:val="20"/>
                <w:szCs w:val="20"/>
              </w:rPr>
            </w:pPr>
            <w:r w:rsidRPr="00A96FB4">
              <w:rPr>
                <w:rFonts w:ascii="Arial Narrow" w:hAnsi="Arial Narrow" w:cs="Arial"/>
                <w:sz w:val="20"/>
                <w:szCs w:val="20"/>
              </w:rPr>
              <w:t>3,5</w:t>
            </w:r>
          </w:p>
        </w:tc>
        <w:tc>
          <w:tcPr>
            <w:tcW w:w="750" w:type="pct"/>
            <w:tcBorders>
              <w:top w:val="nil"/>
              <w:left w:val="single" w:sz="4" w:space="0" w:color="auto"/>
              <w:bottom w:val="single" w:sz="4" w:space="0" w:color="auto"/>
              <w:right w:val="single" w:sz="4" w:space="0" w:color="auto"/>
            </w:tcBorders>
            <w:shd w:val="clear" w:color="auto" w:fill="auto"/>
            <w:noWrap/>
            <w:vAlign w:val="center"/>
            <w:hideMark/>
          </w:tcPr>
          <w:p w:rsidR="00A64028" w:rsidRPr="00A96FB4" w:rsidRDefault="00A64028" w:rsidP="00103148">
            <w:pPr>
              <w:spacing w:after="0" w:line="276" w:lineRule="auto"/>
              <w:jc w:val="center"/>
              <w:rPr>
                <w:rFonts w:ascii="Arial Narrow" w:hAnsi="Arial Narrow"/>
                <w:sz w:val="20"/>
                <w:szCs w:val="20"/>
              </w:rPr>
            </w:pPr>
            <w:r w:rsidRPr="00A96FB4">
              <w:rPr>
                <w:rFonts w:ascii="Arial Narrow" w:hAnsi="Arial Narrow"/>
                <w:sz w:val="20"/>
                <w:szCs w:val="20"/>
              </w:rPr>
              <w:t>-598,75</w:t>
            </w:r>
          </w:p>
        </w:tc>
      </w:tr>
    </w:tbl>
    <w:p w:rsidR="00A64028" w:rsidRDefault="00A64028" w:rsidP="00103148">
      <w:pPr>
        <w:spacing w:after="0"/>
        <w:ind w:firstLine="284"/>
        <w:rPr>
          <w:rFonts w:ascii="Arial Narrow" w:hAnsi="Arial Narrow"/>
          <w:b/>
          <w:sz w:val="24"/>
          <w:highlight w:val="lightGray"/>
        </w:rPr>
      </w:pPr>
    </w:p>
    <w:p w:rsidR="008A49B5" w:rsidRPr="008A49B5" w:rsidRDefault="008A49B5" w:rsidP="008A49B5">
      <w:pPr>
        <w:spacing w:after="0" w:line="360" w:lineRule="auto"/>
        <w:ind w:firstLine="284"/>
        <w:rPr>
          <w:rFonts w:ascii="Arial Narrow" w:hAnsi="Arial Narrow"/>
          <w:b/>
          <w:sz w:val="24"/>
        </w:rPr>
      </w:pPr>
      <w:r w:rsidRPr="008A49B5">
        <w:rPr>
          <w:rFonts w:ascii="Arial Narrow" w:hAnsi="Arial Narrow"/>
          <w:b/>
          <w:sz w:val="24"/>
        </w:rPr>
        <w:t>Значение показателя 1.1.4. Доли рынка хозяйствующих субъектов (с указанием уровня концентрации товарного рынка хозяйствующих субъектов, при наличии), %</w:t>
      </w:r>
    </w:p>
    <w:p w:rsidR="008A49B5" w:rsidRPr="008A49B5" w:rsidRDefault="008A49B5" w:rsidP="008A49B5">
      <w:pPr>
        <w:spacing w:after="0" w:line="360" w:lineRule="auto"/>
        <w:ind w:firstLine="567"/>
        <w:jc w:val="both"/>
        <w:rPr>
          <w:rFonts w:ascii="Arial Narrow" w:hAnsi="Arial Narrow"/>
          <w:sz w:val="24"/>
          <w:szCs w:val="24"/>
        </w:rPr>
      </w:pPr>
      <w:r w:rsidRPr="008A49B5">
        <w:rPr>
          <w:rFonts w:ascii="Arial Narrow" w:hAnsi="Arial Narrow"/>
          <w:sz w:val="24"/>
          <w:szCs w:val="24"/>
        </w:rPr>
        <w:t xml:space="preserve">Рынки, на которых представлены хозяйствующие субъекты с доминирующим положением на рынке: </w:t>
      </w:r>
    </w:p>
    <w:p w:rsidR="008A49B5" w:rsidRPr="008A49B5" w:rsidRDefault="008A49B5" w:rsidP="008A49B5">
      <w:pPr>
        <w:spacing w:after="0" w:line="360" w:lineRule="auto"/>
        <w:ind w:firstLine="567"/>
        <w:jc w:val="both"/>
        <w:rPr>
          <w:rFonts w:ascii="Arial Narrow" w:hAnsi="Arial Narrow" w:cs="Arial"/>
          <w:sz w:val="24"/>
          <w:szCs w:val="24"/>
        </w:rPr>
      </w:pPr>
      <w:r w:rsidRPr="008A49B5">
        <w:rPr>
          <w:rFonts w:ascii="Arial Narrow" w:hAnsi="Arial Narrow" w:cs="Arial"/>
          <w:sz w:val="24"/>
          <w:szCs w:val="24"/>
        </w:rPr>
        <w:t>1. Рынок розничной торговли (сегмент торговли фармацевтическими товарами – аптеки) – 16 организаций,</w:t>
      </w:r>
    </w:p>
    <w:p w:rsidR="008A49B5" w:rsidRPr="008A49B5" w:rsidRDefault="008A49B5" w:rsidP="008A49B5">
      <w:pPr>
        <w:spacing w:after="0" w:line="360" w:lineRule="auto"/>
        <w:ind w:firstLine="567"/>
        <w:jc w:val="both"/>
        <w:rPr>
          <w:rFonts w:ascii="Arial Narrow" w:hAnsi="Arial Narrow" w:cs="Arial"/>
          <w:sz w:val="24"/>
          <w:szCs w:val="24"/>
        </w:rPr>
      </w:pPr>
      <w:r w:rsidRPr="008A49B5">
        <w:rPr>
          <w:rFonts w:ascii="Arial Narrow" w:hAnsi="Arial Narrow" w:cs="Arial"/>
          <w:sz w:val="24"/>
          <w:szCs w:val="24"/>
        </w:rPr>
        <w:t>2. Рынок развития, производства, переработки и хранения сельскохозяйственной продукции – 8 организаций,</w:t>
      </w:r>
    </w:p>
    <w:p w:rsidR="008A49B5" w:rsidRPr="008A49B5" w:rsidRDefault="008A49B5" w:rsidP="008A49B5">
      <w:pPr>
        <w:spacing w:after="0" w:line="360" w:lineRule="auto"/>
        <w:ind w:firstLine="567"/>
        <w:jc w:val="both"/>
        <w:rPr>
          <w:rFonts w:ascii="Arial Narrow" w:hAnsi="Arial Narrow" w:cs="Arial"/>
          <w:sz w:val="24"/>
          <w:szCs w:val="24"/>
        </w:rPr>
      </w:pPr>
      <w:r w:rsidRPr="008A49B5">
        <w:rPr>
          <w:rFonts w:ascii="Arial Narrow" w:hAnsi="Arial Narrow" w:cs="Arial"/>
          <w:sz w:val="24"/>
          <w:szCs w:val="24"/>
        </w:rPr>
        <w:t>3. Рынок услуг ЖКХ (управляющие компании) – 1 организация,</w:t>
      </w:r>
    </w:p>
    <w:p w:rsidR="008A49B5" w:rsidRPr="008A49B5" w:rsidRDefault="008A49B5" w:rsidP="008A49B5">
      <w:pPr>
        <w:spacing w:after="0" w:line="360" w:lineRule="auto"/>
        <w:ind w:firstLine="567"/>
        <w:jc w:val="both"/>
        <w:rPr>
          <w:rFonts w:ascii="Arial Narrow" w:hAnsi="Arial Narrow" w:cs="Arial"/>
          <w:sz w:val="24"/>
          <w:szCs w:val="24"/>
        </w:rPr>
      </w:pPr>
      <w:r w:rsidRPr="008A49B5">
        <w:rPr>
          <w:rFonts w:ascii="Arial Narrow" w:hAnsi="Arial Narrow" w:cs="Arial"/>
          <w:sz w:val="24"/>
          <w:szCs w:val="24"/>
        </w:rPr>
        <w:t>4. Рынок услуг связи – 4 организации,</w:t>
      </w:r>
    </w:p>
    <w:p w:rsidR="008A49B5" w:rsidRPr="008A49B5" w:rsidRDefault="008A49B5" w:rsidP="008A49B5">
      <w:pPr>
        <w:spacing w:after="0" w:line="360" w:lineRule="auto"/>
        <w:ind w:firstLine="567"/>
        <w:jc w:val="both"/>
        <w:rPr>
          <w:rFonts w:ascii="Arial Narrow" w:hAnsi="Arial Narrow" w:cs="Arial"/>
          <w:sz w:val="24"/>
          <w:szCs w:val="24"/>
        </w:rPr>
      </w:pPr>
      <w:r w:rsidRPr="008A49B5">
        <w:rPr>
          <w:rFonts w:ascii="Arial Narrow" w:hAnsi="Arial Narrow" w:cs="Arial"/>
          <w:sz w:val="24"/>
          <w:szCs w:val="24"/>
        </w:rPr>
        <w:t>5. Рынок услуг по сбору, сортировке и переработке твердых коммунальных (бытовых) отходов – 2 организации.</w:t>
      </w:r>
    </w:p>
    <w:p w:rsidR="008A49B5" w:rsidRDefault="008A49B5" w:rsidP="008A49B5">
      <w:pPr>
        <w:spacing w:after="0" w:line="360" w:lineRule="auto"/>
        <w:ind w:firstLine="567"/>
        <w:jc w:val="both"/>
        <w:rPr>
          <w:rFonts w:ascii="Arial Narrow" w:hAnsi="Arial Narrow" w:cs="Arial"/>
          <w:sz w:val="24"/>
          <w:szCs w:val="24"/>
        </w:rPr>
      </w:pPr>
      <w:r w:rsidRPr="008A49B5">
        <w:rPr>
          <w:rFonts w:ascii="Arial Narrow" w:hAnsi="Arial Narrow" w:cs="Arial"/>
          <w:sz w:val="24"/>
          <w:szCs w:val="24"/>
        </w:rPr>
        <w:t>Значения показателя представлено в таблице ниже.</w:t>
      </w:r>
    </w:p>
    <w:p w:rsidR="00A64028" w:rsidRDefault="00A64028" w:rsidP="00BF6DC4">
      <w:pPr>
        <w:spacing w:after="0" w:line="360" w:lineRule="auto"/>
        <w:ind w:firstLine="284"/>
        <w:jc w:val="both"/>
        <w:rPr>
          <w:rFonts w:ascii="Arial Narrow" w:hAnsi="Arial Narrow" w:cs="Arial"/>
          <w:sz w:val="24"/>
          <w:szCs w:val="24"/>
        </w:rPr>
      </w:pPr>
    </w:p>
    <w:p w:rsidR="00A64028" w:rsidRDefault="00A64028" w:rsidP="00A96FB4">
      <w:pPr>
        <w:spacing w:after="0" w:line="360" w:lineRule="auto"/>
        <w:jc w:val="both"/>
        <w:rPr>
          <w:rFonts w:ascii="Arial Narrow" w:hAnsi="Arial Narrow" w:cs="Arial"/>
          <w:sz w:val="24"/>
          <w:szCs w:val="24"/>
        </w:rPr>
        <w:sectPr w:rsidR="00A64028" w:rsidSect="00A64028">
          <w:headerReference w:type="default" r:id="rId98"/>
          <w:footerReference w:type="default" r:id="rId99"/>
          <w:pgSz w:w="12240" w:h="15840"/>
          <w:pgMar w:top="1134" w:right="567" w:bottom="1134" w:left="1701" w:header="708" w:footer="708" w:gutter="0"/>
          <w:pgNumType w:start="557"/>
          <w:cols w:space="708"/>
          <w:docGrid w:linePitch="360"/>
        </w:sectPr>
      </w:pPr>
    </w:p>
    <w:p w:rsidR="00A64028" w:rsidRPr="006546A2" w:rsidRDefault="00A64028" w:rsidP="00262F71">
      <w:pPr>
        <w:spacing w:after="0"/>
        <w:rPr>
          <w:rFonts w:ascii="Arial Narrow" w:hAnsi="Arial Narrow" w:cs="Arial"/>
          <w:sz w:val="24"/>
          <w:szCs w:val="24"/>
        </w:rPr>
      </w:pPr>
      <w:r>
        <w:rPr>
          <w:rFonts w:ascii="Arial Narrow" w:eastAsia="Calibri" w:hAnsi="Arial Narrow"/>
          <w:sz w:val="24"/>
          <w:szCs w:val="24"/>
        </w:rPr>
        <w:lastRenderedPageBreak/>
        <w:t xml:space="preserve">Таблица </w:t>
      </w:r>
      <w:r w:rsidR="00262F71">
        <w:rPr>
          <w:rFonts w:ascii="Arial Narrow" w:eastAsia="Calibri" w:hAnsi="Arial Narrow"/>
          <w:sz w:val="24"/>
          <w:szCs w:val="24"/>
        </w:rPr>
        <w:t>7.5.</w:t>
      </w:r>
      <w:r w:rsidRPr="007C7278">
        <w:rPr>
          <w:rFonts w:ascii="Arial Narrow" w:hAnsi="Arial Narrow"/>
          <w:b/>
          <w:sz w:val="24"/>
        </w:rPr>
        <w:t xml:space="preserve"> - Значение показателя 1.1.4. Доли рынка хозяйствующих субъектов (с указанием уровня концентрации товарного рынка хозяйствующих субъектов, при наличии), %</w:t>
      </w:r>
    </w:p>
    <w:tbl>
      <w:tblPr>
        <w:tblW w:w="14787" w:type="dxa"/>
        <w:tblInd w:w="-1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460"/>
        <w:gridCol w:w="2234"/>
        <w:gridCol w:w="3969"/>
        <w:gridCol w:w="1559"/>
        <w:gridCol w:w="1134"/>
        <w:gridCol w:w="4213"/>
        <w:gridCol w:w="1218"/>
      </w:tblGrid>
      <w:tr w:rsidR="00A64028" w:rsidRPr="000F6109" w:rsidTr="000F6109">
        <w:trPr>
          <w:tblHeader/>
        </w:trPr>
        <w:tc>
          <w:tcPr>
            <w:tcW w:w="460" w:type="dxa"/>
            <w:vMerge w:val="restart"/>
            <w:shd w:val="clear" w:color="auto" w:fill="auto"/>
            <w:vAlign w:val="center"/>
            <w:hideMark/>
          </w:tcPr>
          <w:p w:rsidR="00A64028" w:rsidRPr="000F6109" w:rsidRDefault="00A64028" w:rsidP="00103148">
            <w:pPr>
              <w:spacing w:after="0"/>
              <w:jc w:val="center"/>
              <w:rPr>
                <w:rFonts w:ascii="Arial Narrow" w:hAnsi="Arial Narrow" w:cs="Arial"/>
                <w:b/>
                <w:bCs/>
                <w:sz w:val="20"/>
                <w:szCs w:val="20"/>
              </w:rPr>
            </w:pPr>
            <w:r w:rsidRPr="000F6109">
              <w:rPr>
                <w:rFonts w:ascii="Arial Narrow" w:hAnsi="Arial Narrow" w:cs="Arial"/>
                <w:b/>
                <w:bCs/>
                <w:sz w:val="20"/>
                <w:szCs w:val="20"/>
              </w:rPr>
              <w:t>№ п/п</w:t>
            </w:r>
          </w:p>
        </w:tc>
        <w:tc>
          <w:tcPr>
            <w:tcW w:w="2234" w:type="dxa"/>
            <w:vMerge w:val="restart"/>
            <w:shd w:val="clear" w:color="auto" w:fill="auto"/>
            <w:vAlign w:val="center"/>
            <w:hideMark/>
          </w:tcPr>
          <w:p w:rsidR="00A64028" w:rsidRPr="000F6109" w:rsidRDefault="00A64028" w:rsidP="00A96FB4">
            <w:pPr>
              <w:spacing w:after="0"/>
              <w:jc w:val="center"/>
              <w:rPr>
                <w:rFonts w:ascii="Arial Narrow" w:hAnsi="Arial Narrow" w:cs="Arial"/>
                <w:b/>
                <w:bCs/>
                <w:sz w:val="20"/>
                <w:szCs w:val="20"/>
              </w:rPr>
            </w:pPr>
            <w:r w:rsidRPr="000F6109">
              <w:rPr>
                <w:rFonts w:ascii="Arial Narrow" w:hAnsi="Arial Narrow" w:cs="Arial"/>
                <w:b/>
                <w:bCs/>
                <w:sz w:val="20"/>
                <w:szCs w:val="20"/>
              </w:rPr>
              <w:t>Наименование с указанием организационно-правовой формы (ФИО индивидуального предпринимателя)</w:t>
            </w:r>
          </w:p>
        </w:tc>
        <w:tc>
          <w:tcPr>
            <w:tcW w:w="10875" w:type="dxa"/>
            <w:gridSpan w:val="4"/>
            <w:shd w:val="clear" w:color="auto" w:fill="auto"/>
            <w:vAlign w:val="center"/>
            <w:hideMark/>
          </w:tcPr>
          <w:p w:rsidR="00A64028" w:rsidRPr="000F6109" w:rsidRDefault="00A64028" w:rsidP="00A96FB4">
            <w:pPr>
              <w:spacing w:after="0"/>
              <w:jc w:val="center"/>
              <w:rPr>
                <w:rFonts w:ascii="Arial Narrow" w:hAnsi="Arial Narrow" w:cs="Arial"/>
                <w:b/>
                <w:bCs/>
                <w:sz w:val="20"/>
                <w:szCs w:val="20"/>
              </w:rPr>
            </w:pPr>
            <w:r w:rsidRPr="000F6109">
              <w:rPr>
                <w:rFonts w:ascii="Arial Narrow" w:hAnsi="Arial Narrow" w:cs="Arial"/>
                <w:b/>
                <w:bCs/>
                <w:sz w:val="20"/>
                <w:szCs w:val="20"/>
              </w:rPr>
              <w:t>Информация о товарном рынке</w:t>
            </w:r>
          </w:p>
        </w:tc>
        <w:tc>
          <w:tcPr>
            <w:tcW w:w="1218" w:type="dxa"/>
            <w:vMerge w:val="restart"/>
            <w:shd w:val="clear" w:color="auto" w:fill="auto"/>
            <w:vAlign w:val="center"/>
            <w:hideMark/>
          </w:tcPr>
          <w:p w:rsidR="00A64028" w:rsidRPr="000F6109" w:rsidRDefault="00A64028" w:rsidP="00A96FB4">
            <w:pPr>
              <w:spacing w:after="0"/>
              <w:jc w:val="center"/>
              <w:rPr>
                <w:rFonts w:ascii="Arial Narrow" w:hAnsi="Arial Narrow" w:cs="Arial"/>
                <w:b/>
                <w:bCs/>
                <w:sz w:val="20"/>
                <w:szCs w:val="20"/>
              </w:rPr>
            </w:pPr>
            <w:r w:rsidRPr="000F6109">
              <w:rPr>
                <w:rFonts w:ascii="Arial Narrow" w:hAnsi="Arial Narrow" w:cs="Arial"/>
                <w:b/>
                <w:bCs/>
                <w:sz w:val="20"/>
                <w:szCs w:val="20"/>
              </w:rPr>
              <w:t>Социально значимые и приоритетные рынки</w:t>
            </w:r>
          </w:p>
        </w:tc>
      </w:tr>
      <w:tr w:rsidR="00A64028" w:rsidRPr="000F6109" w:rsidTr="000F6109">
        <w:trPr>
          <w:tblHeader/>
        </w:trPr>
        <w:tc>
          <w:tcPr>
            <w:tcW w:w="460" w:type="dxa"/>
            <w:vMerge/>
            <w:vAlign w:val="center"/>
            <w:hideMark/>
          </w:tcPr>
          <w:p w:rsidR="00A64028" w:rsidRPr="000F6109" w:rsidRDefault="00A64028" w:rsidP="00103148">
            <w:pPr>
              <w:spacing w:after="0"/>
              <w:jc w:val="center"/>
              <w:rPr>
                <w:rFonts w:ascii="Arial Narrow" w:hAnsi="Arial Narrow" w:cs="Arial"/>
                <w:b/>
                <w:bCs/>
                <w:sz w:val="20"/>
                <w:szCs w:val="20"/>
              </w:rPr>
            </w:pPr>
          </w:p>
        </w:tc>
        <w:tc>
          <w:tcPr>
            <w:tcW w:w="2234" w:type="dxa"/>
            <w:vMerge/>
            <w:shd w:val="clear" w:color="auto" w:fill="auto"/>
            <w:vAlign w:val="center"/>
            <w:hideMark/>
          </w:tcPr>
          <w:p w:rsidR="00A64028" w:rsidRPr="000F6109" w:rsidRDefault="00A64028" w:rsidP="00103148">
            <w:pPr>
              <w:spacing w:after="0"/>
              <w:rPr>
                <w:rFonts w:ascii="Arial Narrow" w:hAnsi="Arial Narrow" w:cs="Arial"/>
                <w:b/>
                <w:bCs/>
                <w:sz w:val="20"/>
                <w:szCs w:val="20"/>
              </w:rPr>
            </w:pPr>
          </w:p>
        </w:tc>
        <w:tc>
          <w:tcPr>
            <w:tcW w:w="3969" w:type="dxa"/>
            <w:shd w:val="clear" w:color="auto" w:fill="auto"/>
            <w:vAlign w:val="center"/>
            <w:hideMark/>
          </w:tcPr>
          <w:p w:rsidR="00A64028" w:rsidRPr="000F6109" w:rsidRDefault="00A64028" w:rsidP="00A96FB4">
            <w:pPr>
              <w:spacing w:after="0"/>
              <w:jc w:val="center"/>
              <w:rPr>
                <w:rFonts w:ascii="Arial Narrow" w:hAnsi="Arial Narrow" w:cs="Arial"/>
                <w:b/>
                <w:bCs/>
                <w:sz w:val="20"/>
                <w:szCs w:val="20"/>
              </w:rPr>
            </w:pPr>
            <w:r w:rsidRPr="000F6109">
              <w:rPr>
                <w:rFonts w:ascii="Arial Narrow" w:hAnsi="Arial Narrow" w:cs="Arial"/>
                <w:b/>
                <w:bCs/>
                <w:sz w:val="20"/>
                <w:szCs w:val="20"/>
              </w:rPr>
              <w:t>Наименование товара, работ, услуг</w:t>
            </w:r>
          </w:p>
        </w:tc>
        <w:tc>
          <w:tcPr>
            <w:tcW w:w="1559" w:type="dxa"/>
            <w:shd w:val="clear" w:color="auto" w:fill="auto"/>
            <w:vAlign w:val="center"/>
            <w:hideMark/>
          </w:tcPr>
          <w:p w:rsidR="00A64028" w:rsidRPr="000F6109" w:rsidRDefault="00A64028" w:rsidP="00A96FB4">
            <w:pPr>
              <w:spacing w:after="0"/>
              <w:jc w:val="center"/>
              <w:rPr>
                <w:rFonts w:ascii="Arial Narrow" w:hAnsi="Arial Narrow" w:cs="Arial"/>
                <w:b/>
                <w:bCs/>
                <w:sz w:val="20"/>
                <w:szCs w:val="20"/>
              </w:rPr>
            </w:pPr>
            <w:r w:rsidRPr="000F6109">
              <w:rPr>
                <w:rFonts w:ascii="Arial Narrow" w:hAnsi="Arial Narrow" w:cs="Arial"/>
                <w:b/>
                <w:bCs/>
                <w:sz w:val="20"/>
                <w:szCs w:val="20"/>
              </w:rPr>
              <w:t>Код по группировкам общероссийских классификаторов</w:t>
            </w:r>
          </w:p>
        </w:tc>
        <w:tc>
          <w:tcPr>
            <w:tcW w:w="1134" w:type="dxa"/>
            <w:shd w:val="clear" w:color="auto" w:fill="auto"/>
            <w:vAlign w:val="center"/>
            <w:hideMark/>
          </w:tcPr>
          <w:p w:rsidR="00A64028" w:rsidRPr="000F6109" w:rsidRDefault="00A64028" w:rsidP="00A96FB4">
            <w:pPr>
              <w:spacing w:after="0"/>
              <w:jc w:val="center"/>
              <w:rPr>
                <w:rFonts w:ascii="Arial Narrow" w:hAnsi="Arial Narrow" w:cs="Arial"/>
                <w:b/>
                <w:bCs/>
                <w:sz w:val="20"/>
                <w:szCs w:val="20"/>
              </w:rPr>
            </w:pPr>
            <w:r w:rsidRPr="000F6109">
              <w:rPr>
                <w:rFonts w:ascii="Arial Narrow" w:hAnsi="Arial Narrow" w:cs="Arial"/>
                <w:b/>
                <w:bCs/>
                <w:sz w:val="20"/>
                <w:szCs w:val="20"/>
              </w:rPr>
              <w:t>Доля хозяйствующего субъекта на рынке (интервальное значение), %</w:t>
            </w:r>
          </w:p>
        </w:tc>
        <w:tc>
          <w:tcPr>
            <w:tcW w:w="4213" w:type="dxa"/>
            <w:shd w:val="clear" w:color="auto" w:fill="auto"/>
            <w:vAlign w:val="center"/>
            <w:hideMark/>
          </w:tcPr>
          <w:p w:rsidR="00A64028" w:rsidRPr="000F6109" w:rsidRDefault="00A64028" w:rsidP="00A96FB4">
            <w:pPr>
              <w:spacing w:after="0"/>
              <w:jc w:val="center"/>
              <w:rPr>
                <w:rFonts w:ascii="Arial Narrow" w:hAnsi="Arial Narrow" w:cs="Arial"/>
                <w:b/>
                <w:bCs/>
                <w:sz w:val="20"/>
                <w:szCs w:val="20"/>
              </w:rPr>
            </w:pPr>
            <w:r w:rsidRPr="000F6109">
              <w:rPr>
                <w:rFonts w:ascii="Arial Narrow" w:hAnsi="Arial Narrow" w:cs="Arial"/>
                <w:b/>
                <w:bCs/>
                <w:sz w:val="20"/>
                <w:szCs w:val="20"/>
              </w:rPr>
              <w:t>Географические границы рынка</w:t>
            </w:r>
          </w:p>
        </w:tc>
        <w:tc>
          <w:tcPr>
            <w:tcW w:w="1218" w:type="dxa"/>
            <w:vMerge/>
            <w:vAlign w:val="center"/>
            <w:hideMark/>
          </w:tcPr>
          <w:p w:rsidR="00A64028" w:rsidRPr="000F6109" w:rsidRDefault="00A64028" w:rsidP="00103148">
            <w:pPr>
              <w:spacing w:after="0"/>
              <w:rPr>
                <w:rFonts w:ascii="Arial Narrow" w:hAnsi="Arial Narrow" w:cs="Arial"/>
                <w:b/>
                <w:bCs/>
                <w:sz w:val="20"/>
                <w:szCs w:val="20"/>
              </w:rPr>
            </w:pPr>
          </w:p>
        </w:tc>
      </w:tr>
      <w:tr w:rsidR="00A64028" w:rsidRPr="000F6109" w:rsidTr="000F6109">
        <w:tc>
          <w:tcPr>
            <w:tcW w:w="460" w:type="dxa"/>
            <w:shd w:val="clear" w:color="auto" w:fill="auto"/>
            <w:hideMark/>
          </w:tcPr>
          <w:p w:rsidR="00A64028" w:rsidRPr="000F6109" w:rsidRDefault="00A64028" w:rsidP="00103148">
            <w:pPr>
              <w:spacing w:after="0"/>
              <w:jc w:val="center"/>
              <w:rPr>
                <w:rFonts w:ascii="Arial Narrow" w:hAnsi="Arial Narrow" w:cs="Arial"/>
                <w:sz w:val="20"/>
                <w:szCs w:val="20"/>
              </w:rPr>
            </w:pPr>
            <w:r w:rsidRPr="000F6109">
              <w:rPr>
                <w:rFonts w:ascii="Arial Narrow" w:hAnsi="Arial Narrow" w:cs="Arial"/>
                <w:sz w:val="20"/>
                <w:szCs w:val="20"/>
              </w:rPr>
              <w:t>1</w:t>
            </w:r>
          </w:p>
        </w:tc>
        <w:tc>
          <w:tcPr>
            <w:tcW w:w="2234" w:type="dxa"/>
            <w:shd w:val="clear" w:color="auto" w:fill="auto"/>
            <w:hideMark/>
          </w:tcPr>
          <w:p w:rsidR="00A64028" w:rsidRPr="000F6109" w:rsidRDefault="00A64028" w:rsidP="00A96FB4">
            <w:pPr>
              <w:spacing w:after="0"/>
              <w:ind w:left="107"/>
              <w:rPr>
                <w:rFonts w:ascii="Arial Narrow" w:hAnsi="Arial Narrow" w:cs="Arial"/>
                <w:sz w:val="20"/>
                <w:szCs w:val="20"/>
              </w:rPr>
            </w:pPr>
            <w:r w:rsidRPr="000F6109">
              <w:rPr>
                <w:rFonts w:ascii="Arial Narrow" w:hAnsi="Arial Narrow" w:cs="Arial"/>
                <w:sz w:val="20"/>
                <w:szCs w:val="20"/>
              </w:rPr>
              <w:t>ГБУЗ "Усть- Таркская ЦРБ"</w:t>
            </w:r>
          </w:p>
        </w:tc>
        <w:tc>
          <w:tcPr>
            <w:tcW w:w="3969" w:type="dxa"/>
            <w:shd w:val="clear" w:color="auto" w:fill="auto"/>
            <w:hideMark/>
          </w:tcPr>
          <w:p w:rsidR="00A64028" w:rsidRPr="000F6109" w:rsidRDefault="00A64028" w:rsidP="00A96FB4">
            <w:pPr>
              <w:spacing w:after="0"/>
              <w:ind w:left="141"/>
              <w:rPr>
                <w:rFonts w:ascii="Arial Narrow" w:hAnsi="Arial Narrow" w:cs="Arial"/>
                <w:sz w:val="20"/>
                <w:szCs w:val="20"/>
              </w:rPr>
            </w:pPr>
            <w:r w:rsidRPr="000F6109">
              <w:rPr>
                <w:rFonts w:ascii="Arial Narrow" w:hAnsi="Arial Narrow" w:cs="Arial"/>
                <w:sz w:val="20"/>
                <w:szCs w:val="20"/>
              </w:rPr>
              <w:t>Услуги розничной торговли лекарственными средствами, изделиями медицинского назначения и сопутствующими товарами</w:t>
            </w:r>
          </w:p>
        </w:tc>
        <w:tc>
          <w:tcPr>
            <w:tcW w:w="1559" w:type="dxa"/>
            <w:shd w:val="clear" w:color="auto" w:fill="auto"/>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ОКВЭД 52.31 ОКВЭД 52.32 ОКВЭД 52.33</w:t>
            </w:r>
          </w:p>
        </w:tc>
        <w:tc>
          <w:tcPr>
            <w:tcW w:w="1134" w:type="dxa"/>
            <w:shd w:val="clear" w:color="auto" w:fill="auto"/>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&gt; 50</w:t>
            </w:r>
          </w:p>
        </w:tc>
        <w:tc>
          <w:tcPr>
            <w:tcW w:w="4213" w:type="dxa"/>
            <w:shd w:val="clear" w:color="auto" w:fill="auto"/>
            <w:hideMark/>
          </w:tcPr>
          <w:p w:rsidR="00A64028" w:rsidRPr="000F6109" w:rsidRDefault="00A64028" w:rsidP="001820C5">
            <w:pPr>
              <w:spacing w:after="0"/>
              <w:ind w:left="142"/>
              <w:rPr>
                <w:rFonts w:ascii="Arial Narrow" w:hAnsi="Arial Narrow" w:cs="Arial"/>
                <w:sz w:val="20"/>
                <w:szCs w:val="20"/>
              </w:rPr>
            </w:pPr>
            <w:r w:rsidRPr="000F6109">
              <w:rPr>
                <w:rFonts w:ascii="Arial Narrow" w:hAnsi="Arial Narrow" w:cs="Arial"/>
                <w:sz w:val="20"/>
                <w:szCs w:val="20"/>
              </w:rPr>
              <w:t>Усть- Таркский район Новосибирской области</w:t>
            </w:r>
          </w:p>
        </w:tc>
        <w:tc>
          <w:tcPr>
            <w:tcW w:w="1218" w:type="dxa"/>
            <w:vMerge w:val="restart"/>
            <w:shd w:val="clear" w:color="auto" w:fill="auto"/>
            <w:noWrap/>
            <w:vAlign w:val="bottom"/>
            <w:hideMark/>
          </w:tcPr>
          <w:p w:rsidR="00A64028" w:rsidRPr="000F6109" w:rsidRDefault="00A64028" w:rsidP="00103148">
            <w:pPr>
              <w:spacing w:after="0"/>
              <w:jc w:val="center"/>
              <w:rPr>
                <w:rFonts w:ascii="Arial Narrow" w:hAnsi="Arial Narrow" w:cs="Arial"/>
                <w:sz w:val="20"/>
                <w:szCs w:val="20"/>
              </w:rPr>
            </w:pPr>
            <w:r w:rsidRPr="000F6109">
              <w:rPr>
                <w:rFonts w:ascii="Arial Narrow" w:hAnsi="Arial Narrow" w:cs="Arial"/>
                <w:sz w:val="20"/>
                <w:szCs w:val="20"/>
              </w:rPr>
              <w:t>Рынок розничной торговли</w:t>
            </w:r>
          </w:p>
        </w:tc>
      </w:tr>
      <w:tr w:rsidR="00A64028" w:rsidRPr="000F6109" w:rsidTr="000F6109">
        <w:tc>
          <w:tcPr>
            <w:tcW w:w="460" w:type="dxa"/>
            <w:vMerge w:val="restart"/>
            <w:shd w:val="clear" w:color="auto" w:fill="auto"/>
            <w:noWrap/>
            <w:vAlign w:val="bottom"/>
            <w:hideMark/>
          </w:tcPr>
          <w:p w:rsidR="00A64028" w:rsidRPr="000F6109" w:rsidRDefault="00A64028" w:rsidP="00103148">
            <w:pPr>
              <w:spacing w:after="0"/>
              <w:jc w:val="center"/>
              <w:rPr>
                <w:rFonts w:ascii="Arial Narrow" w:hAnsi="Arial Narrow" w:cs="Arial"/>
                <w:sz w:val="20"/>
                <w:szCs w:val="20"/>
              </w:rPr>
            </w:pPr>
            <w:r w:rsidRPr="000F6109">
              <w:rPr>
                <w:rFonts w:ascii="Arial Narrow" w:hAnsi="Arial Narrow" w:cs="Arial"/>
                <w:sz w:val="20"/>
                <w:szCs w:val="20"/>
              </w:rPr>
              <w:t>2</w:t>
            </w:r>
          </w:p>
        </w:tc>
        <w:tc>
          <w:tcPr>
            <w:tcW w:w="2234" w:type="dxa"/>
            <w:shd w:val="clear" w:color="auto" w:fill="auto"/>
            <w:noWrap/>
            <w:vAlign w:val="bottom"/>
            <w:hideMark/>
          </w:tcPr>
          <w:p w:rsidR="00A64028" w:rsidRPr="000F6109" w:rsidRDefault="00A64028" w:rsidP="00A96FB4">
            <w:pPr>
              <w:spacing w:after="0"/>
              <w:ind w:left="107"/>
              <w:rPr>
                <w:rFonts w:ascii="Arial Narrow" w:hAnsi="Arial Narrow" w:cs="Arial"/>
                <w:sz w:val="20"/>
                <w:szCs w:val="20"/>
              </w:rPr>
            </w:pPr>
            <w:r w:rsidRPr="000F6109">
              <w:rPr>
                <w:rFonts w:ascii="Arial Narrow" w:hAnsi="Arial Narrow" w:cs="Arial"/>
                <w:sz w:val="20"/>
                <w:szCs w:val="20"/>
              </w:rPr>
              <w:t>ОАО "Фармация"</w:t>
            </w:r>
          </w:p>
        </w:tc>
        <w:tc>
          <w:tcPr>
            <w:tcW w:w="3969" w:type="dxa"/>
            <w:shd w:val="clear" w:color="auto" w:fill="auto"/>
            <w:noWrap/>
            <w:vAlign w:val="bottom"/>
            <w:hideMark/>
          </w:tcPr>
          <w:p w:rsidR="00A64028" w:rsidRPr="000F6109" w:rsidRDefault="00A64028" w:rsidP="00A96FB4">
            <w:pPr>
              <w:spacing w:after="0"/>
              <w:ind w:left="141"/>
              <w:rPr>
                <w:rFonts w:ascii="Arial Narrow" w:hAnsi="Arial Narrow" w:cs="Arial"/>
                <w:sz w:val="20"/>
                <w:szCs w:val="20"/>
              </w:rPr>
            </w:pPr>
            <w:r w:rsidRPr="000F6109">
              <w:rPr>
                <w:rFonts w:ascii="Arial Narrow" w:hAnsi="Arial Narrow" w:cs="Arial"/>
                <w:sz w:val="20"/>
                <w:szCs w:val="20"/>
              </w:rPr>
              <w:t>Услуги розничной торговли лекарственными средствами, изделиями медицинского назначения и сопутствующими товарами</w:t>
            </w:r>
          </w:p>
        </w:tc>
        <w:tc>
          <w:tcPr>
            <w:tcW w:w="1559" w:type="dxa"/>
            <w:shd w:val="clear" w:color="auto" w:fill="auto"/>
            <w:noWrap/>
            <w:vAlign w:val="bottom"/>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 xml:space="preserve">ОКВЭД 52.31  </w:t>
            </w:r>
            <w:r w:rsidRPr="000F6109">
              <w:rPr>
                <w:rFonts w:ascii="Arial Narrow" w:hAnsi="Arial Narrow" w:cs="Arial"/>
                <w:sz w:val="20"/>
                <w:szCs w:val="20"/>
              </w:rPr>
              <w:br/>
            </w:r>
            <w:r w:rsidRPr="000F6109">
              <w:rPr>
                <w:rFonts w:ascii="Arial Narrow" w:hAnsi="Arial Narrow" w:cs="Arial"/>
                <w:sz w:val="20"/>
                <w:szCs w:val="20"/>
              </w:rPr>
              <w:br/>
              <w:t>ОКВЭД 52.33</w:t>
            </w:r>
          </w:p>
        </w:tc>
        <w:tc>
          <w:tcPr>
            <w:tcW w:w="1134" w:type="dxa"/>
            <w:shd w:val="clear" w:color="auto" w:fill="auto"/>
            <w:noWrap/>
            <w:vAlign w:val="bottom"/>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&gt; 50</w:t>
            </w:r>
          </w:p>
        </w:tc>
        <w:tc>
          <w:tcPr>
            <w:tcW w:w="4213" w:type="dxa"/>
            <w:shd w:val="clear" w:color="auto" w:fill="auto"/>
            <w:noWrap/>
            <w:vAlign w:val="bottom"/>
            <w:hideMark/>
          </w:tcPr>
          <w:p w:rsidR="00A64028" w:rsidRPr="000F6109" w:rsidRDefault="00A64028" w:rsidP="001820C5">
            <w:pPr>
              <w:spacing w:after="0"/>
              <w:ind w:left="142"/>
              <w:rPr>
                <w:rFonts w:ascii="Arial Narrow" w:hAnsi="Arial Narrow" w:cs="Arial"/>
                <w:sz w:val="20"/>
                <w:szCs w:val="20"/>
              </w:rPr>
            </w:pPr>
            <w:r w:rsidRPr="000F6109">
              <w:rPr>
                <w:rFonts w:ascii="Arial Narrow" w:hAnsi="Arial Narrow" w:cs="Arial"/>
                <w:sz w:val="20"/>
                <w:szCs w:val="20"/>
              </w:rPr>
              <w:t>Краснозерский район Новосибирской области</w:t>
            </w:r>
          </w:p>
        </w:tc>
        <w:tc>
          <w:tcPr>
            <w:tcW w:w="1218" w:type="dxa"/>
            <w:vMerge/>
            <w:vAlign w:val="center"/>
            <w:hideMark/>
          </w:tcPr>
          <w:p w:rsidR="00A64028" w:rsidRPr="000F6109" w:rsidRDefault="00A64028" w:rsidP="00103148">
            <w:pPr>
              <w:spacing w:after="0"/>
              <w:rPr>
                <w:rFonts w:ascii="Arial Narrow" w:hAnsi="Arial Narrow" w:cs="Arial"/>
                <w:sz w:val="20"/>
                <w:szCs w:val="20"/>
              </w:rPr>
            </w:pPr>
          </w:p>
        </w:tc>
      </w:tr>
      <w:tr w:rsidR="00A64028" w:rsidRPr="000F6109" w:rsidTr="000F6109">
        <w:tc>
          <w:tcPr>
            <w:tcW w:w="460" w:type="dxa"/>
            <w:vMerge/>
            <w:vAlign w:val="center"/>
            <w:hideMark/>
          </w:tcPr>
          <w:p w:rsidR="00A64028" w:rsidRPr="000F6109" w:rsidRDefault="00A64028" w:rsidP="00103148">
            <w:pPr>
              <w:spacing w:after="0"/>
              <w:jc w:val="center"/>
              <w:rPr>
                <w:rFonts w:ascii="Arial Narrow" w:hAnsi="Arial Narrow" w:cs="Arial"/>
                <w:sz w:val="20"/>
                <w:szCs w:val="20"/>
              </w:rPr>
            </w:pPr>
          </w:p>
        </w:tc>
        <w:tc>
          <w:tcPr>
            <w:tcW w:w="2234" w:type="dxa"/>
            <w:shd w:val="clear" w:color="auto" w:fill="auto"/>
            <w:noWrap/>
            <w:vAlign w:val="bottom"/>
            <w:hideMark/>
          </w:tcPr>
          <w:p w:rsidR="00A64028" w:rsidRPr="000F6109" w:rsidRDefault="00A64028" w:rsidP="00A96FB4">
            <w:pPr>
              <w:spacing w:after="0"/>
              <w:ind w:left="107"/>
              <w:rPr>
                <w:rFonts w:ascii="Arial Narrow" w:hAnsi="Arial Narrow" w:cs="Arial"/>
                <w:sz w:val="20"/>
                <w:szCs w:val="20"/>
              </w:rPr>
            </w:pPr>
            <w:r w:rsidRPr="000F6109">
              <w:rPr>
                <w:rFonts w:ascii="Arial Narrow" w:hAnsi="Arial Narrow" w:cs="Arial"/>
                <w:sz w:val="20"/>
                <w:szCs w:val="20"/>
              </w:rPr>
              <w:t>ОАО "Фармация"</w:t>
            </w:r>
          </w:p>
        </w:tc>
        <w:tc>
          <w:tcPr>
            <w:tcW w:w="3969" w:type="dxa"/>
            <w:shd w:val="clear" w:color="auto" w:fill="auto"/>
            <w:noWrap/>
            <w:vAlign w:val="bottom"/>
            <w:hideMark/>
          </w:tcPr>
          <w:p w:rsidR="00A64028" w:rsidRPr="000F6109" w:rsidRDefault="00A64028" w:rsidP="00A96FB4">
            <w:pPr>
              <w:spacing w:after="0"/>
              <w:ind w:left="141"/>
              <w:rPr>
                <w:rFonts w:ascii="Arial Narrow" w:hAnsi="Arial Narrow" w:cs="Arial"/>
                <w:sz w:val="20"/>
                <w:szCs w:val="20"/>
              </w:rPr>
            </w:pPr>
            <w:r w:rsidRPr="000F6109">
              <w:rPr>
                <w:rFonts w:ascii="Arial Narrow" w:hAnsi="Arial Narrow" w:cs="Arial"/>
                <w:sz w:val="20"/>
                <w:szCs w:val="20"/>
              </w:rPr>
              <w:t>Услуги розничной торговли лекарственными средствами, изделиями медицинского назначения и сопутствующими товарами</w:t>
            </w:r>
          </w:p>
        </w:tc>
        <w:tc>
          <w:tcPr>
            <w:tcW w:w="1559" w:type="dxa"/>
            <w:shd w:val="clear" w:color="auto" w:fill="auto"/>
            <w:noWrap/>
            <w:vAlign w:val="bottom"/>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 xml:space="preserve">ОКВЭД 52.31  </w:t>
            </w:r>
            <w:r w:rsidRPr="000F6109">
              <w:rPr>
                <w:rFonts w:ascii="Arial Narrow" w:hAnsi="Arial Narrow" w:cs="Arial"/>
                <w:sz w:val="20"/>
                <w:szCs w:val="20"/>
              </w:rPr>
              <w:br/>
            </w:r>
            <w:r w:rsidRPr="000F6109">
              <w:rPr>
                <w:rFonts w:ascii="Arial Narrow" w:hAnsi="Arial Narrow" w:cs="Arial"/>
                <w:sz w:val="20"/>
                <w:szCs w:val="20"/>
              </w:rPr>
              <w:br/>
              <w:t>ОКВЭД 52.33</w:t>
            </w:r>
          </w:p>
        </w:tc>
        <w:tc>
          <w:tcPr>
            <w:tcW w:w="1134" w:type="dxa"/>
            <w:shd w:val="clear" w:color="auto" w:fill="auto"/>
            <w:noWrap/>
            <w:vAlign w:val="bottom"/>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&gt; 50</w:t>
            </w:r>
          </w:p>
        </w:tc>
        <w:tc>
          <w:tcPr>
            <w:tcW w:w="4213" w:type="dxa"/>
            <w:shd w:val="clear" w:color="auto" w:fill="auto"/>
            <w:noWrap/>
            <w:vAlign w:val="bottom"/>
            <w:hideMark/>
          </w:tcPr>
          <w:p w:rsidR="00A64028" w:rsidRPr="000F6109" w:rsidRDefault="00A64028" w:rsidP="001820C5">
            <w:pPr>
              <w:spacing w:after="0"/>
              <w:ind w:left="142"/>
              <w:rPr>
                <w:rFonts w:ascii="Arial Narrow" w:hAnsi="Arial Narrow" w:cs="Arial"/>
                <w:sz w:val="20"/>
                <w:szCs w:val="20"/>
              </w:rPr>
            </w:pPr>
            <w:r w:rsidRPr="000F6109">
              <w:rPr>
                <w:rFonts w:ascii="Arial Narrow" w:hAnsi="Arial Narrow" w:cs="Arial"/>
                <w:sz w:val="20"/>
                <w:szCs w:val="20"/>
              </w:rPr>
              <w:t>Баганский, Доволенский, Здвинский, Коченевский, Кочковский, Кыштовский, Ордынский, Усть-Таркский, Чановский, Черепановский, Чулымский, Чистоозерный районы Новосибирской области</w:t>
            </w:r>
          </w:p>
        </w:tc>
        <w:tc>
          <w:tcPr>
            <w:tcW w:w="1218" w:type="dxa"/>
            <w:vMerge/>
            <w:vAlign w:val="center"/>
            <w:hideMark/>
          </w:tcPr>
          <w:p w:rsidR="00A64028" w:rsidRPr="000F6109" w:rsidRDefault="00A64028" w:rsidP="00103148">
            <w:pPr>
              <w:spacing w:after="0"/>
              <w:rPr>
                <w:rFonts w:ascii="Arial Narrow" w:hAnsi="Arial Narrow" w:cs="Arial"/>
                <w:sz w:val="20"/>
                <w:szCs w:val="20"/>
              </w:rPr>
            </w:pPr>
          </w:p>
        </w:tc>
      </w:tr>
      <w:tr w:rsidR="00A64028" w:rsidRPr="000F6109" w:rsidTr="000F6109">
        <w:tc>
          <w:tcPr>
            <w:tcW w:w="460" w:type="dxa"/>
            <w:vMerge/>
            <w:vAlign w:val="center"/>
            <w:hideMark/>
          </w:tcPr>
          <w:p w:rsidR="00A64028" w:rsidRPr="000F6109" w:rsidRDefault="00A64028" w:rsidP="00103148">
            <w:pPr>
              <w:spacing w:after="0"/>
              <w:jc w:val="center"/>
              <w:rPr>
                <w:rFonts w:ascii="Arial Narrow" w:hAnsi="Arial Narrow" w:cs="Arial"/>
                <w:sz w:val="20"/>
                <w:szCs w:val="20"/>
              </w:rPr>
            </w:pPr>
          </w:p>
        </w:tc>
        <w:tc>
          <w:tcPr>
            <w:tcW w:w="2234" w:type="dxa"/>
            <w:shd w:val="clear" w:color="auto" w:fill="auto"/>
            <w:noWrap/>
            <w:vAlign w:val="bottom"/>
            <w:hideMark/>
          </w:tcPr>
          <w:p w:rsidR="00A64028" w:rsidRPr="000F6109" w:rsidRDefault="00A64028" w:rsidP="00A96FB4">
            <w:pPr>
              <w:spacing w:after="0"/>
              <w:ind w:left="107"/>
              <w:rPr>
                <w:rFonts w:ascii="Arial Narrow" w:hAnsi="Arial Narrow" w:cs="Arial"/>
                <w:sz w:val="20"/>
                <w:szCs w:val="20"/>
              </w:rPr>
            </w:pPr>
            <w:r w:rsidRPr="000F6109">
              <w:rPr>
                <w:rFonts w:ascii="Arial Narrow" w:hAnsi="Arial Narrow" w:cs="Arial"/>
                <w:sz w:val="20"/>
                <w:szCs w:val="20"/>
              </w:rPr>
              <w:t>ОАО "Фармация"</w:t>
            </w:r>
          </w:p>
        </w:tc>
        <w:tc>
          <w:tcPr>
            <w:tcW w:w="3969" w:type="dxa"/>
            <w:shd w:val="clear" w:color="auto" w:fill="auto"/>
            <w:noWrap/>
            <w:vAlign w:val="bottom"/>
            <w:hideMark/>
          </w:tcPr>
          <w:p w:rsidR="00A64028" w:rsidRPr="000F6109" w:rsidRDefault="00A64028" w:rsidP="00A96FB4">
            <w:pPr>
              <w:spacing w:after="0"/>
              <w:ind w:left="141"/>
              <w:rPr>
                <w:rFonts w:ascii="Arial Narrow" w:hAnsi="Arial Narrow" w:cs="Arial"/>
                <w:sz w:val="20"/>
                <w:szCs w:val="20"/>
              </w:rPr>
            </w:pPr>
            <w:r w:rsidRPr="000F6109">
              <w:rPr>
                <w:rFonts w:ascii="Arial Narrow" w:hAnsi="Arial Narrow" w:cs="Arial"/>
                <w:sz w:val="20"/>
                <w:szCs w:val="20"/>
              </w:rPr>
              <w:t>Услуги розничной торговли лекарственными средствами, изделиями медицинского назначения и сопутствующими товарами</w:t>
            </w:r>
          </w:p>
        </w:tc>
        <w:tc>
          <w:tcPr>
            <w:tcW w:w="1559" w:type="dxa"/>
            <w:shd w:val="clear" w:color="auto" w:fill="auto"/>
            <w:noWrap/>
            <w:vAlign w:val="bottom"/>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 xml:space="preserve">ОКВЭД 52.31  </w:t>
            </w:r>
            <w:r w:rsidRPr="000F6109">
              <w:rPr>
                <w:rFonts w:ascii="Arial Narrow" w:hAnsi="Arial Narrow" w:cs="Arial"/>
                <w:sz w:val="20"/>
                <w:szCs w:val="20"/>
              </w:rPr>
              <w:br/>
            </w:r>
            <w:r w:rsidRPr="000F6109">
              <w:rPr>
                <w:rFonts w:ascii="Arial Narrow" w:hAnsi="Arial Narrow" w:cs="Arial"/>
                <w:sz w:val="20"/>
                <w:szCs w:val="20"/>
              </w:rPr>
              <w:br/>
              <w:t>ОКВЭД 52.33</w:t>
            </w:r>
          </w:p>
        </w:tc>
        <w:tc>
          <w:tcPr>
            <w:tcW w:w="1134" w:type="dxa"/>
            <w:shd w:val="clear" w:color="auto" w:fill="auto"/>
            <w:noWrap/>
            <w:vAlign w:val="bottom"/>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&lt; 50</w:t>
            </w:r>
          </w:p>
        </w:tc>
        <w:tc>
          <w:tcPr>
            <w:tcW w:w="4213" w:type="dxa"/>
            <w:shd w:val="clear" w:color="auto" w:fill="auto"/>
            <w:noWrap/>
            <w:vAlign w:val="bottom"/>
            <w:hideMark/>
          </w:tcPr>
          <w:p w:rsidR="00A64028" w:rsidRPr="000F6109" w:rsidRDefault="00A64028" w:rsidP="001820C5">
            <w:pPr>
              <w:spacing w:after="0"/>
              <w:ind w:left="142"/>
              <w:rPr>
                <w:rFonts w:ascii="Arial Narrow" w:hAnsi="Arial Narrow" w:cs="Arial"/>
                <w:sz w:val="20"/>
                <w:szCs w:val="20"/>
              </w:rPr>
            </w:pPr>
            <w:r w:rsidRPr="000F6109">
              <w:rPr>
                <w:rFonts w:ascii="Arial Narrow" w:hAnsi="Arial Narrow" w:cs="Arial"/>
                <w:sz w:val="20"/>
                <w:szCs w:val="20"/>
              </w:rPr>
              <w:t>Купинский, Маслянинский, Мошковский, Северный, Сузунский, Тогучинский районы Новосибирской области</w:t>
            </w:r>
          </w:p>
        </w:tc>
        <w:tc>
          <w:tcPr>
            <w:tcW w:w="1218" w:type="dxa"/>
            <w:vMerge/>
            <w:vAlign w:val="center"/>
            <w:hideMark/>
          </w:tcPr>
          <w:p w:rsidR="00A64028" w:rsidRPr="000F6109" w:rsidRDefault="00A64028" w:rsidP="00103148">
            <w:pPr>
              <w:spacing w:after="0"/>
              <w:rPr>
                <w:rFonts w:ascii="Arial Narrow" w:hAnsi="Arial Narrow" w:cs="Arial"/>
                <w:sz w:val="20"/>
                <w:szCs w:val="20"/>
              </w:rPr>
            </w:pPr>
          </w:p>
        </w:tc>
      </w:tr>
      <w:tr w:rsidR="00A64028" w:rsidRPr="000F6109" w:rsidTr="000F6109">
        <w:tc>
          <w:tcPr>
            <w:tcW w:w="460" w:type="dxa"/>
            <w:shd w:val="clear" w:color="auto" w:fill="auto"/>
            <w:noWrap/>
            <w:vAlign w:val="bottom"/>
            <w:hideMark/>
          </w:tcPr>
          <w:p w:rsidR="00A64028" w:rsidRPr="000F6109" w:rsidRDefault="00A64028" w:rsidP="00103148">
            <w:pPr>
              <w:spacing w:after="0"/>
              <w:jc w:val="center"/>
              <w:rPr>
                <w:rFonts w:ascii="Arial Narrow" w:hAnsi="Arial Narrow" w:cs="Arial"/>
                <w:sz w:val="20"/>
                <w:szCs w:val="20"/>
              </w:rPr>
            </w:pPr>
            <w:r w:rsidRPr="000F6109">
              <w:rPr>
                <w:rFonts w:ascii="Arial Narrow" w:hAnsi="Arial Narrow" w:cs="Arial"/>
                <w:sz w:val="20"/>
                <w:szCs w:val="20"/>
              </w:rPr>
              <w:t>3</w:t>
            </w:r>
          </w:p>
        </w:tc>
        <w:tc>
          <w:tcPr>
            <w:tcW w:w="2234" w:type="dxa"/>
            <w:shd w:val="clear" w:color="auto" w:fill="auto"/>
            <w:noWrap/>
            <w:vAlign w:val="bottom"/>
            <w:hideMark/>
          </w:tcPr>
          <w:p w:rsidR="00A64028" w:rsidRPr="000F6109" w:rsidRDefault="00A64028" w:rsidP="00A96FB4">
            <w:pPr>
              <w:spacing w:after="0"/>
              <w:ind w:left="107"/>
              <w:rPr>
                <w:rFonts w:ascii="Arial Narrow" w:hAnsi="Arial Narrow" w:cs="Arial"/>
                <w:sz w:val="20"/>
                <w:szCs w:val="20"/>
              </w:rPr>
            </w:pPr>
            <w:r w:rsidRPr="000F6109">
              <w:rPr>
                <w:rFonts w:ascii="Arial Narrow" w:hAnsi="Arial Narrow" w:cs="Arial"/>
                <w:sz w:val="20"/>
                <w:szCs w:val="20"/>
              </w:rPr>
              <w:t>ООО "Рецепт"</w:t>
            </w:r>
          </w:p>
        </w:tc>
        <w:tc>
          <w:tcPr>
            <w:tcW w:w="3969" w:type="dxa"/>
            <w:shd w:val="clear" w:color="auto" w:fill="auto"/>
            <w:noWrap/>
            <w:vAlign w:val="bottom"/>
            <w:hideMark/>
          </w:tcPr>
          <w:p w:rsidR="00A64028" w:rsidRPr="000F6109" w:rsidRDefault="00A64028" w:rsidP="00A96FB4">
            <w:pPr>
              <w:spacing w:after="0"/>
              <w:ind w:left="141"/>
              <w:rPr>
                <w:rFonts w:ascii="Arial Narrow" w:hAnsi="Arial Narrow" w:cs="Arial"/>
                <w:sz w:val="20"/>
                <w:szCs w:val="20"/>
              </w:rPr>
            </w:pPr>
            <w:r w:rsidRPr="000F6109">
              <w:rPr>
                <w:rFonts w:ascii="Arial Narrow" w:hAnsi="Arial Narrow" w:cs="Arial"/>
                <w:sz w:val="20"/>
                <w:szCs w:val="20"/>
              </w:rPr>
              <w:t>Услуги розничной торговли лекарственными средствами, изделиями медицинского назначения и сопутствующими товарами</w:t>
            </w:r>
          </w:p>
        </w:tc>
        <w:tc>
          <w:tcPr>
            <w:tcW w:w="1559" w:type="dxa"/>
            <w:shd w:val="clear" w:color="auto" w:fill="auto"/>
            <w:noWrap/>
            <w:vAlign w:val="bottom"/>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ОКВЭД 52.3</w:t>
            </w:r>
          </w:p>
        </w:tc>
        <w:tc>
          <w:tcPr>
            <w:tcW w:w="1134" w:type="dxa"/>
            <w:shd w:val="clear" w:color="auto" w:fill="auto"/>
            <w:noWrap/>
            <w:vAlign w:val="bottom"/>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&lt; 50</w:t>
            </w:r>
          </w:p>
        </w:tc>
        <w:tc>
          <w:tcPr>
            <w:tcW w:w="4213" w:type="dxa"/>
            <w:shd w:val="clear" w:color="auto" w:fill="auto"/>
            <w:noWrap/>
            <w:vAlign w:val="bottom"/>
            <w:hideMark/>
          </w:tcPr>
          <w:p w:rsidR="00A64028" w:rsidRPr="000F6109" w:rsidRDefault="00A64028" w:rsidP="001820C5">
            <w:pPr>
              <w:spacing w:after="0"/>
              <w:ind w:left="142"/>
              <w:rPr>
                <w:rFonts w:ascii="Arial Narrow" w:hAnsi="Arial Narrow" w:cs="Arial"/>
                <w:sz w:val="20"/>
                <w:szCs w:val="20"/>
              </w:rPr>
            </w:pPr>
            <w:r w:rsidRPr="000F6109">
              <w:rPr>
                <w:rFonts w:ascii="Arial Narrow" w:hAnsi="Arial Narrow" w:cs="Arial"/>
                <w:sz w:val="20"/>
                <w:szCs w:val="20"/>
              </w:rPr>
              <w:t>Куйбышевский район Новосибирской области</w:t>
            </w:r>
          </w:p>
        </w:tc>
        <w:tc>
          <w:tcPr>
            <w:tcW w:w="1218" w:type="dxa"/>
            <w:vMerge/>
            <w:vAlign w:val="center"/>
            <w:hideMark/>
          </w:tcPr>
          <w:p w:rsidR="00A64028" w:rsidRPr="000F6109" w:rsidRDefault="00A64028" w:rsidP="00103148">
            <w:pPr>
              <w:spacing w:after="0"/>
              <w:rPr>
                <w:rFonts w:ascii="Arial Narrow" w:hAnsi="Arial Narrow" w:cs="Arial"/>
                <w:sz w:val="20"/>
                <w:szCs w:val="20"/>
              </w:rPr>
            </w:pPr>
          </w:p>
        </w:tc>
      </w:tr>
      <w:tr w:rsidR="00A64028" w:rsidRPr="000F6109" w:rsidTr="000F6109">
        <w:tc>
          <w:tcPr>
            <w:tcW w:w="460" w:type="dxa"/>
            <w:shd w:val="clear" w:color="auto" w:fill="auto"/>
            <w:noWrap/>
            <w:vAlign w:val="bottom"/>
            <w:hideMark/>
          </w:tcPr>
          <w:p w:rsidR="00A64028" w:rsidRPr="000F6109" w:rsidRDefault="00A64028" w:rsidP="00103148">
            <w:pPr>
              <w:spacing w:after="0"/>
              <w:jc w:val="center"/>
              <w:rPr>
                <w:rFonts w:ascii="Arial Narrow" w:hAnsi="Arial Narrow" w:cs="Arial"/>
                <w:sz w:val="20"/>
                <w:szCs w:val="20"/>
              </w:rPr>
            </w:pPr>
            <w:r w:rsidRPr="000F6109">
              <w:rPr>
                <w:rFonts w:ascii="Arial Narrow" w:hAnsi="Arial Narrow" w:cs="Arial"/>
                <w:sz w:val="20"/>
                <w:szCs w:val="20"/>
              </w:rPr>
              <w:t>4</w:t>
            </w:r>
          </w:p>
        </w:tc>
        <w:tc>
          <w:tcPr>
            <w:tcW w:w="2234" w:type="dxa"/>
            <w:shd w:val="clear" w:color="auto" w:fill="auto"/>
            <w:noWrap/>
            <w:vAlign w:val="bottom"/>
            <w:hideMark/>
          </w:tcPr>
          <w:p w:rsidR="00A64028" w:rsidRPr="000F6109" w:rsidRDefault="00A64028" w:rsidP="00A96FB4">
            <w:pPr>
              <w:spacing w:after="0"/>
              <w:ind w:left="107"/>
              <w:rPr>
                <w:rFonts w:ascii="Arial Narrow" w:hAnsi="Arial Narrow" w:cs="Arial"/>
                <w:sz w:val="20"/>
                <w:szCs w:val="20"/>
              </w:rPr>
            </w:pPr>
            <w:r w:rsidRPr="000F6109">
              <w:rPr>
                <w:rFonts w:ascii="Arial Narrow" w:hAnsi="Arial Narrow" w:cs="Arial"/>
                <w:sz w:val="20"/>
                <w:szCs w:val="20"/>
              </w:rPr>
              <w:t>ООО " Промторг" Убинского райпо</w:t>
            </w:r>
          </w:p>
        </w:tc>
        <w:tc>
          <w:tcPr>
            <w:tcW w:w="3969" w:type="dxa"/>
            <w:shd w:val="clear" w:color="auto" w:fill="auto"/>
            <w:noWrap/>
            <w:vAlign w:val="bottom"/>
            <w:hideMark/>
          </w:tcPr>
          <w:p w:rsidR="00A64028" w:rsidRPr="000F6109" w:rsidRDefault="00A64028" w:rsidP="00A96FB4">
            <w:pPr>
              <w:spacing w:after="0"/>
              <w:ind w:left="141"/>
              <w:rPr>
                <w:rFonts w:ascii="Arial Narrow" w:hAnsi="Arial Narrow" w:cs="Arial"/>
                <w:sz w:val="20"/>
                <w:szCs w:val="20"/>
              </w:rPr>
            </w:pPr>
            <w:r w:rsidRPr="000F6109">
              <w:rPr>
                <w:rFonts w:ascii="Arial Narrow" w:hAnsi="Arial Narrow" w:cs="Arial"/>
                <w:sz w:val="20"/>
                <w:szCs w:val="20"/>
              </w:rPr>
              <w:t>Услуги розничной торговли лекарственными средствами, изделиями медицинского назначения и сопутствующими товарами</w:t>
            </w:r>
          </w:p>
        </w:tc>
        <w:tc>
          <w:tcPr>
            <w:tcW w:w="1559" w:type="dxa"/>
            <w:shd w:val="clear" w:color="auto" w:fill="auto"/>
            <w:noWrap/>
            <w:vAlign w:val="bottom"/>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ОКВЭД 52.12</w:t>
            </w:r>
          </w:p>
        </w:tc>
        <w:tc>
          <w:tcPr>
            <w:tcW w:w="1134" w:type="dxa"/>
            <w:shd w:val="clear" w:color="auto" w:fill="auto"/>
            <w:noWrap/>
            <w:vAlign w:val="bottom"/>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&gt; 50</w:t>
            </w:r>
          </w:p>
        </w:tc>
        <w:tc>
          <w:tcPr>
            <w:tcW w:w="4213" w:type="dxa"/>
            <w:shd w:val="clear" w:color="auto" w:fill="auto"/>
            <w:noWrap/>
            <w:vAlign w:val="bottom"/>
            <w:hideMark/>
          </w:tcPr>
          <w:p w:rsidR="00A64028" w:rsidRPr="000F6109" w:rsidRDefault="00A64028" w:rsidP="001820C5">
            <w:pPr>
              <w:spacing w:after="0"/>
              <w:ind w:left="142"/>
              <w:rPr>
                <w:rFonts w:ascii="Arial Narrow" w:hAnsi="Arial Narrow" w:cs="Arial"/>
                <w:sz w:val="20"/>
                <w:szCs w:val="20"/>
              </w:rPr>
            </w:pPr>
            <w:r w:rsidRPr="000F6109">
              <w:rPr>
                <w:rFonts w:ascii="Arial Narrow" w:hAnsi="Arial Narrow" w:cs="Arial"/>
                <w:sz w:val="20"/>
                <w:szCs w:val="20"/>
              </w:rPr>
              <w:t>Убинский район Новосибирской области</w:t>
            </w:r>
          </w:p>
        </w:tc>
        <w:tc>
          <w:tcPr>
            <w:tcW w:w="1218" w:type="dxa"/>
            <w:vMerge/>
            <w:vAlign w:val="center"/>
            <w:hideMark/>
          </w:tcPr>
          <w:p w:rsidR="00A64028" w:rsidRPr="000F6109" w:rsidRDefault="00A64028" w:rsidP="00103148">
            <w:pPr>
              <w:spacing w:after="0"/>
              <w:rPr>
                <w:rFonts w:ascii="Arial Narrow" w:hAnsi="Arial Narrow" w:cs="Arial"/>
                <w:sz w:val="20"/>
                <w:szCs w:val="20"/>
              </w:rPr>
            </w:pPr>
          </w:p>
        </w:tc>
      </w:tr>
      <w:tr w:rsidR="00A64028" w:rsidRPr="000F6109" w:rsidTr="000F6109">
        <w:tc>
          <w:tcPr>
            <w:tcW w:w="460" w:type="dxa"/>
            <w:shd w:val="clear" w:color="auto" w:fill="auto"/>
            <w:noWrap/>
            <w:vAlign w:val="bottom"/>
            <w:hideMark/>
          </w:tcPr>
          <w:p w:rsidR="00A64028" w:rsidRPr="000F6109" w:rsidRDefault="00A64028" w:rsidP="00103148">
            <w:pPr>
              <w:spacing w:after="0"/>
              <w:jc w:val="center"/>
              <w:rPr>
                <w:rFonts w:ascii="Arial Narrow" w:hAnsi="Arial Narrow" w:cs="Arial"/>
                <w:sz w:val="20"/>
                <w:szCs w:val="20"/>
              </w:rPr>
            </w:pPr>
            <w:r w:rsidRPr="000F6109">
              <w:rPr>
                <w:rFonts w:ascii="Arial Narrow" w:hAnsi="Arial Narrow" w:cs="Arial"/>
                <w:sz w:val="20"/>
                <w:szCs w:val="20"/>
              </w:rPr>
              <w:t>5</w:t>
            </w:r>
          </w:p>
        </w:tc>
        <w:tc>
          <w:tcPr>
            <w:tcW w:w="2234" w:type="dxa"/>
            <w:shd w:val="clear" w:color="auto" w:fill="auto"/>
            <w:noWrap/>
            <w:vAlign w:val="bottom"/>
            <w:hideMark/>
          </w:tcPr>
          <w:p w:rsidR="00A64028" w:rsidRPr="000F6109" w:rsidRDefault="00A64028" w:rsidP="00A96FB4">
            <w:pPr>
              <w:spacing w:after="0"/>
              <w:ind w:left="107"/>
              <w:rPr>
                <w:rFonts w:ascii="Arial Narrow" w:hAnsi="Arial Narrow" w:cs="Arial"/>
                <w:sz w:val="20"/>
                <w:szCs w:val="20"/>
              </w:rPr>
            </w:pPr>
            <w:r w:rsidRPr="000F6109">
              <w:rPr>
                <w:rFonts w:ascii="Arial Narrow" w:hAnsi="Arial Narrow" w:cs="Arial"/>
                <w:sz w:val="20"/>
                <w:szCs w:val="20"/>
              </w:rPr>
              <w:t>ООО "Адонис"</w:t>
            </w:r>
          </w:p>
        </w:tc>
        <w:tc>
          <w:tcPr>
            <w:tcW w:w="3969" w:type="dxa"/>
            <w:shd w:val="clear" w:color="auto" w:fill="auto"/>
            <w:noWrap/>
            <w:vAlign w:val="bottom"/>
            <w:hideMark/>
          </w:tcPr>
          <w:p w:rsidR="00A64028" w:rsidRPr="000F6109" w:rsidRDefault="00A64028" w:rsidP="00A96FB4">
            <w:pPr>
              <w:spacing w:after="0"/>
              <w:ind w:left="141"/>
              <w:rPr>
                <w:rFonts w:ascii="Arial Narrow" w:hAnsi="Arial Narrow" w:cs="Arial"/>
                <w:sz w:val="20"/>
                <w:szCs w:val="20"/>
              </w:rPr>
            </w:pPr>
            <w:r w:rsidRPr="000F6109">
              <w:rPr>
                <w:rFonts w:ascii="Arial Narrow" w:hAnsi="Arial Narrow" w:cs="Arial"/>
                <w:sz w:val="20"/>
                <w:szCs w:val="20"/>
              </w:rPr>
              <w:t>услуги розничной торговли лекарственными средствами, изделиями медицинского назначения и сопутствующими товарами</w:t>
            </w:r>
          </w:p>
        </w:tc>
        <w:tc>
          <w:tcPr>
            <w:tcW w:w="1559" w:type="dxa"/>
            <w:shd w:val="clear" w:color="auto" w:fill="auto"/>
            <w:noWrap/>
            <w:vAlign w:val="bottom"/>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ОКВЭД 52.3</w:t>
            </w:r>
          </w:p>
        </w:tc>
        <w:tc>
          <w:tcPr>
            <w:tcW w:w="1134" w:type="dxa"/>
            <w:shd w:val="clear" w:color="auto" w:fill="auto"/>
            <w:noWrap/>
            <w:vAlign w:val="bottom"/>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&lt; 50</w:t>
            </w:r>
          </w:p>
        </w:tc>
        <w:tc>
          <w:tcPr>
            <w:tcW w:w="4213" w:type="dxa"/>
            <w:shd w:val="clear" w:color="auto" w:fill="auto"/>
            <w:noWrap/>
            <w:vAlign w:val="bottom"/>
            <w:hideMark/>
          </w:tcPr>
          <w:p w:rsidR="00A64028" w:rsidRPr="000F6109" w:rsidRDefault="00A64028" w:rsidP="001820C5">
            <w:pPr>
              <w:spacing w:after="0"/>
              <w:ind w:left="142"/>
              <w:rPr>
                <w:rFonts w:ascii="Arial Narrow" w:hAnsi="Arial Narrow" w:cs="Arial"/>
                <w:sz w:val="20"/>
                <w:szCs w:val="20"/>
              </w:rPr>
            </w:pPr>
            <w:r w:rsidRPr="000F6109">
              <w:rPr>
                <w:rFonts w:ascii="Arial Narrow" w:hAnsi="Arial Narrow" w:cs="Arial"/>
                <w:sz w:val="20"/>
                <w:szCs w:val="20"/>
              </w:rPr>
              <w:t>Колыванский район Новосибирской области</w:t>
            </w:r>
          </w:p>
        </w:tc>
        <w:tc>
          <w:tcPr>
            <w:tcW w:w="1218" w:type="dxa"/>
            <w:vMerge w:val="restart"/>
            <w:vAlign w:val="center"/>
            <w:hideMark/>
          </w:tcPr>
          <w:p w:rsidR="00A64028" w:rsidRPr="000F6109" w:rsidRDefault="00A64028" w:rsidP="00103148">
            <w:pPr>
              <w:spacing w:after="0"/>
              <w:rPr>
                <w:rFonts w:ascii="Arial Narrow" w:hAnsi="Arial Narrow" w:cs="Arial"/>
                <w:sz w:val="20"/>
                <w:szCs w:val="20"/>
              </w:rPr>
            </w:pPr>
          </w:p>
        </w:tc>
      </w:tr>
      <w:tr w:rsidR="00A64028" w:rsidRPr="000F6109" w:rsidTr="000F6109">
        <w:tc>
          <w:tcPr>
            <w:tcW w:w="460" w:type="dxa"/>
            <w:vMerge w:val="restart"/>
            <w:shd w:val="clear" w:color="auto" w:fill="auto"/>
            <w:noWrap/>
            <w:vAlign w:val="bottom"/>
            <w:hideMark/>
          </w:tcPr>
          <w:p w:rsidR="00A64028" w:rsidRPr="000F6109" w:rsidRDefault="00A64028" w:rsidP="00103148">
            <w:pPr>
              <w:spacing w:after="0"/>
              <w:jc w:val="center"/>
              <w:rPr>
                <w:rFonts w:ascii="Arial Narrow" w:hAnsi="Arial Narrow" w:cs="Arial"/>
                <w:sz w:val="20"/>
                <w:szCs w:val="20"/>
              </w:rPr>
            </w:pPr>
            <w:r w:rsidRPr="000F6109">
              <w:rPr>
                <w:rFonts w:ascii="Arial Narrow" w:hAnsi="Arial Narrow" w:cs="Arial"/>
                <w:sz w:val="20"/>
                <w:szCs w:val="20"/>
              </w:rPr>
              <w:t>6</w:t>
            </w:r>
          </w:p>
        </w:tc>
        <w:tc>
          <w:tcPr>
            <w:tcW w:w="2234" w:type="dxa"/>
            <w:shd w:val="clear" w:color="auto" w:fill="auto"/>
            <w:noWrap/>
            <w:vAlign w:val="bottom"/>
            <w:hideMark/>
          </w:tcPr>
          <w:p w:rsidR="00A64028" w:rsidRPr="000F6109" w:rsidRDefault="00A64028" w:rsidP="00A96FB4">
            <w:pPr>
              <w:spacing w:after="0"/>
              <w:ind w:left="107"/>
              <w:rPr>
                <w:rFonts w:ascii="Arial Narrow" w:hAnsi="Arial Narrow" w:cs="Arial"/>
                <w:sz w:val="20"/>
                <w:szCs w:val="20"/>
              </w:rPr>
            </w:pPr>
            <w:r w:rsidRPr="000F6109">
              <w:rPr>
                <w:rFonts w:ascii="Arial Narrow" w:hAnsi="Arial Narrow" w:cs="Arial"/>
                <w:sz w:val="20"/>
                <w:szCs w:val="20"/>
              </w:rPr>
              <w:t>ООО "Виктория"</w:t>
            </w:r>
          </w:p>
        </w:tc>
        <w:tc>
          <w:tcPr>
            <w:tcW w:w="3969" w:type="dxa"/>
            <w:shd w:val="clear" w:color="auto" w:fill="auto"/>
            <w:noWrap/>
            <w:vAlign w:val="bottom"/>
            <w:hideMark/>
          </w:tcPr>
          <w:p w:rsidR="00A64028" w:rsidRPr="000F6109" w:rsidRDefault="00A64028" w:rsidP="00A96FB4">
            <w:pPr>
              <w:spacing w:after="0"/>
              <w:ind w:left="141"/>
              <w:rPr>
                <w:rFonts w:ascii="Arial Narrow" w:hAnsi="Arial Narrow" w:cs="Arial"/>
                <w:sz w:val="20"/>
                <w:szCs w:val="20"/>
              </w:rPr>
            </w:pPr>
            <w:r w:rsidRPr="000F6109">
              <w:rPr>
                <w:rFonts w:ascii="Arial Narrow" w:hAnsi="Arial Narrow" w:cs="Arial"/>
                <w:sz w:val="20"/>
                <w:szCs w:val="20"/>
              </w:rPr>
              <w:t>Услуги розничной торговли лекарственными средствами, изделиями медицинского назначения и сопутствующими товарами</w:t>
            </w:r>
          </w:p>
        </w:tc>
        <w:tc>
          <w:tcPr>
            <w:tcW w:w="1559" w:type="dxa"/>
            <w:shd w:val="clear" w:color="auto" w:fill="auto"/>
            <w:noWrap/>
            <w:vAlign w:val="bottom"/>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ОКВЭД 52.31</w:t>
            </w:r>
          </w:p>
        </w:tc>
        <w:tc>
          <w:tcPr>
            <w:tcW w:w="1134" w:type="dxa"/>
            <w:shd w:val="clear" w:color="auto" w:fill="auto"/>
            <w:noWrap/>
            <w:vAlign w:val="bottom"/>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&gt; 50</w:t>
            </w:r>
          </w:p>
        </w:tc>
        <w:tc>
          <w:tcPr>
            <w:tcW w:w="4213" w:type="dxa"/>
            <w:shd w:val="clear" w:color="auto" w:fill="auto"/>
            <w:noWrap/>
            <w:vAlign w:val="bottom"/>
            <w:hideMark/>
          </w:tcPr>
          <w:p w:rsidR="00A64028" w:rsidRPr="000F6109" w:rsidRDefault="00A64028" w:rsidP="001820C5">
            <w:pPr>
              <w:spacing w:after="0"/>
              <w:ind w:left="142"/>
              <w:rPr>
                <w:rFonts w:ascii="Arial Narrow" w:hAnsi="Arial Narrow" w:cs="Arial"/>
                <w:sz w:val="20"/>
                <w:szCs w:val="20"/>
              </w:rPr>
            </w:pPr>
            <w:r w:rsidRPr="000F6109">
              <w:rPr>
                <w:rFonts w:ascii="Arial Narrow" w:hAnsi="Arial Narrow" w:cs="Arial"/>
                <w:sz w:val="20"/>
                <w:szCs w:val="20"/>
              </w:rPr>
              <w:t>Венгеровский район Новосибирской области</w:t>
            </w:r>
          </w:p>
        </w:tc>
        <w:tc>
          <w:tcPr>
            <w:tcW w:w="1218" w:type="dxa"/>
            <w:vMerge/>
            <w:vAlign w:val="center"/>
            <w:hideMark/>
          </w:tcPr>
          <w:p w:rsidR="00A64028" w:rsidRPr="000F6109" w:rsidRDefault="00A64028" w:rsidP="00103148">
            <w:pPr>
              <w:spacing w:after="0"/>
              <w:rPr>
                <w:rFonts w:ascii="Arial Narrow" w:hAnsi="Arial Narrow" w:cs="Arial"/>
                <w:sz w:val="20"/>
                <w:szCs w:val="20"/>
              </w:rPr>
            </w:pPr>
          </w:p>
        </w:tc>
      </w:tr>
      <w:tr w:rsidR="00A64028" w:rsidRPr="000F6109" w:rsidTr="000F6109">
        <w:tc>
          <w:tcPr>
            <w:tcW w:w="460" w:type="dxa"/>
            <w:vMerge/>
            <w:vAlign w:val="center"/>
            <w:hideMark/>
          </w:tcPr>
          <w:p w:rsidR="00A64028" w:rsidRPr="000F6109" w:rsidRDefault="00A64028" w:rsidP="00103148">
            <w:pPr>
              <w:spacing w:after="0"/>
              <w:jc w:val="center"/>
              <w:rPr>
                <w:rFonts w:ascii="Arial Narrow" w:hAnsi="Arial Narrow" w:cs="Arial"/>
                <w:sz w:val="20"/>
                <w:szCs w:val="20"/>
              </w:rPr>
            </w:pPr>
          </w:p>
        </w:tc>
        <w:tc>
          <w:tcPr>
            <w:tcW w:w="2234" w:type="dxa"/>
            <w:shd w:val="clear" w:color="auto" w:fill="auto"/>
            <w:noWrap/>
            <w:vAlign w:val="bottom"/>
            <w:hideMark/>
          </w:tcPr>
          <w:p w:rsidR="00A64028" w:rsidRPr="000F6109" w:rsidRDefault="00A64028" w:rsidP="00A96FB4">
            <w:pPr>
              <w:spacing w:after="0"/>
              <w:ind w:left="107"/>
              <w:rPr>
                <w:rFonts w:ascii="Arial Narrow" w:hAnsi="Arial Narrow" w:cs="Arial"/>
                <w:sz w:val="20"/>
                <w:szCs w:val="20"/>
              </w:rPr>
            </w:pPr>
            <w:r w:rsidRPr="000F6109">
              <w:rPr>
                <w:rFonts w:ascii="Arial Narrow" w:hAnsi="Arial Narrow" w:cs="Arial"/>
                <w:sz w:val="20"/>
                <w:szCs w:val="20"/>
              </w:rPr>
              <w:t>ООО "Виктория"</w:t>
            </w:r>
          </w:p>
        </w:tc>
        <w:tc>
          <w:tcPr>
            <w:tcW w:w="3969" w:type="dxa"/>
            <w:shd w:val="clear" w:color="auto" w:fill="auto"/>
            <w:noWrap/>
            <w:vAlign w:val="bottom"/>
            <w:hideMark/>
          </w:tcPr>
          <w:p w:rsidR="00A64028" w:rsidRPr="000F6109" w:rsidRDefault="00A64028" w:rsidP="00A96FB4">
            <w:pPr>
              <w:spacing w:after="0"/>
              <w:ind w:left="141"/>
              <w:rPr>
                <w:rFonts w:ascii="Arial Narrow" w:hAnsi="Arial Narrow" w:cs="Arial"/>
                <w:sz w:val="20"/>
                <w:szCs w:val="20"/>
              </w:rPr>
            </w:pPr>
            <w:r w:rsidRPr="000F6109">
              <w:rPr>
                <w:rFonts w:ascii="Arial Narrow" w:hAnsi="Arial Narrow" w:cs="Arial"/>
                <w:sz w:val="20"/>
                <w:szCs w:val="20"/>
              </w:rPr>
              <w:t>услуги розничной торговли лекарственными средствами, изделиями медицинского назначения и сопутствующими товарами</w:t>
            </w:r>
          </w:p>
        </w:tc>
        <w:tc>
          <w:tcPr>
            <w:tcW w:w="1559" w:type="dxa"/>
            <w:shd w:val="clear" w:color="auto" w:fill="auto"/>
            <w:noWrap/>
            <w:vAlign w:val="bottom"/>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ОКВЭД 52.31</w:t>
            </w:r>
          </w:p>
        </w:tc>
        <w:tc>
          <w:tcPr>
            <w:tcW w:w="1134" w:type="dxa"/>
            <w:shd w:val="clear" w:color="auto" w:fill="auto"/>
            <w:noWrap/>
            <w:vAlign w:val="bottom"/>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&lt; 50</w:t>
            </w:r>
          </w:p>
        </w:tc>
        <w:tc>
          <w:tcPr>
            <w:tcW w:w="4213" w:type="dxa"/>
            <w:shd w:val="clear" w:color="auto" w:fill="auto"/>
            <w:noWrap/>
            <w:vAlign w:val="bottom"/>
            <w:hideMark/>
          </w:tcPr>
          <w:p w:rsidR="00A64028" w:rsidRPr="000F6109" w:rsidRDefault="00A64028" w:rsidP="001820C5">
            <w:pPr>
              <w:spacing w:after="0"/>
              <w:ind w:left="142"/>
              <w:rPr>
                <w:rFonts w:ascii="Arial Narrow" w:hAnsi="Arial Narrow" w:cs="Arial"/>
                <w:sz w:val="20"/>
                <w:szCs w:val="20"/>
              </w:rPr>
            </w:pPr>
            <w:r w:rsidRPr="000F6109">
              <w:rPr>
                <w:rFonts w:ascii="Arial Narrow" w:hAnsi="Arial Narrow" w:cs="Arial"/>
                <w:sz w:val="20"/>
                <w:szCs w:val="20"/>
              </w:rPr>
              <w:t>Кыштовский район Новосибирской области</w:t>
            </w:r>
          </w:p>
        </w:tc>
        <w:tc>
          <w:tcPr>
            <w:tcW w:w="1218" w:type="dxa"/>
            <w:vMerge/>
            <w:vAlign w:val="center"/>
            <w:hideMark/>
          </w:tcPr>
          <w:p w:rsidR="00A64028" w:rsidRPr="000F6109" w:rsidRDefault="00A64028" w:rsidP="00103148">
            <w:pPr>
              <w:spacing w:after="0"/>
              <w:rPr>
                <w:rFonts w:ascii="Arial Narrow" w:hAnsi="Arial Narrow" w:cs="Arial"/>
                <w:sz w:val="20"/>
                <w:szCs w:val="20"/>
              </w:rPr>
            </w:pPr>
          </w:p>
        </w:tc>
      </w:tr>
    </w:tbl>
    <w:p w:rsidR="00A96FB4" w:rsidRDefault="00A96FB4"/>
    <w:p w:rsidR="00A96FB4" w:rsidRPr="00A96FB4" w:rsidRDefault="00A96FB4" w:rsidP="00A96FB4">
      <w:pPr>
        <w:spacing w:after="0" w:line="240" w:lineRule="auto"/>
        <w:jc w:val="right"/>
        <w:rPr>
          <w:rFonts w:ascii="Arial Narrow" w:hAnsi="Arial Narrow"/>
          <w:sz w:val="24"/>
          <w:szCs w:val="24"/>
        </w:rPr>
      </w:pPr>
      <w:r w:rsidRPr="004865F9">
        <w:rPr>
          <w:rFonts w:ascii="Arial Narrow" w:hAnsi="Arial Narrow"/>
          <w:sz w:val="24"/>
          <w:szCs w:val="24"/>
        </w:rPr>
        <w:lastRenderedPageBreak/>
        <w:t xml:space="preserve">Продолжение Таблицы </w:t>
      </w:r>
      <w:r>
        <w:rPr>
          <w:rFonts w:ascii="Arial Narrow" w:hAnsi="Arial Narrow"/>
          <w:sz w:val="24"/>
          <w:szCs w:val="24"/>
        </w:rPr>
        <w:t>7.5</w:t>
      </w:r>
    </w:p>
    <w:tbl>
      <w:tblPr>
        <w:tblW w:w="14787" w:type="dxa"/>
        <w:tblInd w:w="-1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460"/>
        <w:gridCol w:w="2234"/>
        <w:gridCol w:w="3969"/>
        <w:gridCol w:w="1559"/>
        <w:gridCol w:w="1134"/>
        <w:gridCol w:w="4213"/>
        <w:gridCol w:w="1218"/>
      </w:tblGrid>
      <w:tr w:rsidR="00A64028" w:rsidRPr="000F6109" w:rsidTr="000F6109">
        <w:tc>
          <w:tcPr>
            <w:tcW w:w="460" w:type="dxa"/>
            <w:shd w:val="clear" w:color="auto" w:fill="auto"/>
            <w:noWrap/>
            <w:vAlign w:val="bottom"/>
            <w:hideMark/>
          </w:tcPr>
          <w:p w:rsidR="00A64028" w:rsidRPr="000F6109" w:rsidRDefault="00A64028" w:rsidP="00103148">
            <w:pPr>
              <w:spacing w:after="0"/>
              <w:jc w:val="center"/>
              <w:rPr>
                <w:rFonts w:ascii="Arial Narrow" w:hAnsi="Arial Narrow" w:cs="Arial"/>
                <w:sz w:val="20"/>
                <w:szCs w:val="20"/>
              </w:rPr>
            </w:pPr>
            <w:r w:rsidRPr="000F6109">
              <w:rPr>
                <w:rFonts w:ascii="Arial Narrow" w:hAnsi="Arial Narrow" w:cs="Arial"/>
                <w:sz w:val="20"/>
                <w:szCs w:val="20"/>
              </w:rPr>
              <w:t>7</w:t>
            </w:r>
          </w:p>
        </w:tc>
        <w:tc>
          <w:tcPr>
            <w:tcW w:w="2234" w:type="dxa"/>
            <w:shd w:val="clear" w:color="auto" w:fill="auto"/>
            <w:noWrap/>
            <w:vAlign w:val="bottom"/>
            <w:hideMark/>
          </w:tcPr>
          <w:p w:rsidR="00A64028" w:rsidRPr="000F6109" w:rsidRDefault="00A64028" w:rsidP="00A96FB4">
            <w:pPr>
              <w:spacing w:after="0"/>
              <w:ind w:left="107"/>
              <w:rPr>
                <w:rFonts w:ascii="Arial Narrow" w:hAnsi="Arial Narrow" w:cs="Arial"/>
                <w:sz w:val="20"/>
                <w:szCs w:val="20"/>
              </w:rPr>
            </w:pPr>
            <w:r w:rsidRPr="000F6109">
              <w:rPr>
                <w:rFonts w:ascii="Arial Narrow" w:hAnsi="Arial Narrow" w:cs="Arial"/>
                <w:sz w:val="20"/>
                <w:szCs w:val="20"/>
              </w:rPr>
              <w:t>ООО "ТАМАРА"</w:t>
            </w:r>
          </w:p>
        </w:tc>
        <w:tc>
          <w:tcPr>
            <w:tcW w:w="3969" w:type="dxa"/>
            <w:shd w:val="clear" w:color="auto" w:fill="auto"/>
            <w:noWrap/>
            <w:vAlign w:val="bottom"/>
            <w:hideMark/>
          </w:tcPr>
          <w:p w:rsidR="00A64028" w:rsidRPr="000F6109" w:rsidRDefault="00A64028" w:rsidP="00A96FB4">
            <w:pPr>
              <w:spacing w:after="0"/>
              <w:ind w:left="141"/>
              <w:rPr>
                <w:rFonts w:ascii="Arial Narrow" w:hAnsi="Arial Narrow" w:cs="Arial"/>
                <w:sz w:val="20"/>
                <w:szCs w:val="20"/>
              </w:rPr>
            </w:pPr>
            <w:r w:rsidRPr="000F6109">
              <w:rPr>
                <w:rFonts w:ascii="Arial Narrow" w:hAnsi="Arial Narrow" w:cs="Arial"/>
                <w:sz w:val="20"/>
                <w:szCs w:val="20"/>
              </w:rPr>
              <w:t>услуги розничной торговли лекарственными средствами, изделиями медицинского назначения и сопутствующими товарами</w:t>
            </w:r>
          </w:p>
        </w:tc>
        <w:tc>
          <w:tcPr>
            <w:tcW w:w="1559" w:type="dxa"/>
            <w:shd w:val="clear" w:color="auto" w:fill="auto"/>
            <w:noWrap/>
            <w:vAlign w:val="bottom"/>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 xml:space="preserve">ОКВЭД 52.3 </w:t>
            </w:r>
            <w:r w:rsidRPr="000F6109">
              <w:rPr>
                <w:rFonts w:ascii="Arial Narrow" w:hAnsi="Arial Narrow" w:cs="Arial"/>
                <w:sz w:val="20"/>
                <w:szCs w:val="20"/>
              </w:rPr>
              <w:br/>
              <w:t xml:space="preserve">ОКВЭД 52.31 </w:t>
            </w:r>
            <w:r w:rsidRPr="000F6109">
              <w:rPr>
                <w:rFonts w:ascii="Arial Narrow" w:hAnsi="Arial Narrow" w:cs="Arial"/>
                <w:sz w:val="20"/>
                <w:szCs w:val="20"/>
              </w:rPr>
              <w:br/>
              <w:t xml:space="preserve">ОКВЭД 52.32 </w:t>
            </w:r>
            <w:r w:rsidRPr="000F6109">
              <w:rPr>
                <w:rFonts w:ascii="Arial Narrow" w:hAnsi="Arial Narrow" w:cs="Arial"/>
                <w:sz w:val="20"/>
                <w:szCs w:val="20"/>
              </w:rPr>
              <w:br/>
              <w:t>ОКВЭД 52.33</w:t>
            </w:r>
          </w:p>
        </w:tc>
        <w:tc>
          <w:tcPr>
            <w:tcW w:w="1134" w:type="dxa"/>
            <w:shd w:val="clear" w:color="auto" w:fill="auto"/>
            <w:noWrap/>
            <w:vAlign w:val="bottom"/>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&gt; 50</w:t>
            </w:r>
          </w:p>
        </w:tc>
        <w:tc>
          <w:tcPr>
            <w:tcW w:w="4213" w:type="dxa"/>
            <w:shd w:val="clear" w:color="auto" w:fill="auto"/>
            <w:noWrap/>
            <w:vAlign w:val="bottom"/>
            <w:hideMark/>
          </w:tcPr>
          <w:p w:rsidR="00A64028" w:rsidRPr="000F6109" w:rsidRDefault="00A64028" w:rsidP="001820C5">
            <w:pPr>
              <w:spacing w:after="0"/>
              <w:ind w:left="142"/>
              <w:rPr>
                <w:rFonts w:ascii="Arial Narrow" w:hAnsi="Arial Narrow" w:cs="Arial"/>
                <w:sz w:val="20"/>
                <w:szCs w:val="20"/>
              </w:rPr>
            </w:pPr>
            <w:r w:rsidRPr="000F6109">
              <w:rPr>
                <w:rFonts w:ascii="Arial Narrow" w:hAnsi="Arial Narrow" w:cs="Arial"/>
                <w:sz w:val="20"/>
                <w:szCs w:val="20"/>
              </w:rPr>
              <w:t>Северный район Новосибирской области</w:t>
            </w:r>
          </w:p>
        </w:tc>
        <w:tc>
          <w:tcPr>
            <w:tcW w:w="1218" w:type="dxa"/>
            <w:vMerge w:val="restart"/>
            <w:vAlign w:val="center"/>
            <w:hideMark/>
          </w:tcPr>
          <w:p w:rsidR="00A64028" w:rsidRPr="000F6109" w:rsidRDefault="00A64028" w:rsidP="00103148">
            <w:pPr>
              <w:spacing w:after="0"/>
              <w:rPr>
                <w:rFonts w:ascii="Arial Narrow" w:hAnsi="Arial Narrow" w:cs="Arial"/>
                <w:sz w:val="20"/>
                <w:szCs w:val="20"/>
              </w:rPr>
            </w:pPr>
          </w:p>
        </w:tc>
      </w:tr>
      <w:tr w:rsidR="00A64028" w:rsidRPr="000F6109" w:rsidTr="000F6109">
        <w:tc>
          <w:tcPr>
            <w:tcW w:w="460" w:type="dxa"/>
            <w:vMerge w:val="restart"/>
            <w:shd w:val="clear" w:color="auto" w:fill="auto"/>
            <w:noWrap/>
            <w:vAlign w:val="bottom"/>
            <w:hideMark/>
          </w:tcPr>
          <w:p w:rsidR="00A64028" w:rsidRPr="000F6109" w:rsidRDefault="00A64028" w:rsidP="00103148">
            <w:pPr>
              <w:spacing w:after="0"/>
              <w:jc w:val="center"/>
              <w:rPr>
                <w:rFonts w:ascii="Arial Narrow" w:hAnsi="Arial Narrow" w:cs="Arial"/>
                <w:sz w:val="20"/>
                <w:szCs w:val="20"/>
              </w:rPr>
            </w:pPr>
            <w:r w:rsidRPr="000F6109">
              <w:rPr>
                <w:rFonts w:ascii="Arial Narrow" w:hAnsi="Arial Narrow" w:cs="Arial"/>
                <w:sz w:val="20"/>
                <w:szCs w:val="20"/>
              </w:rPr>
              <w:t>8</w:t>
            </w:r>
          </w:p>
        </w:tc>
        <w:tc>
          <w:tcPr>
            <w:tcW w:w="2234" w:type="dxa"/>
            <w:shd w:val="clear" w:color="auto" w:fill="auto"/>
            <w:noWrap/>
            <w:vAlign w:val="bottom"/>
            <w:hideMark/>
          </w:tcPr>
          <w:p w:rsidR="00A64028" w:rsidRPr="000F6109" w:rsidRDefault="00A64028" w:rsidP="00A96FB4">
            <w:pPr>
              <w:spacing w:after="0"/>
              <w:ind w:left="107"/>
              <w:rPr>
                <w:rFonts w:ascii="Arial Narrow" w:hAnsi="Arial Narrow" w:cs="Arial"/>
                <w:sz w:val="20"/>
                <w:szCs w:val="20"/>
              </w:rPr>
            </w:pPr>
            <w:r w:rsidRPr="000F6109">
              <w:rPr>
                <w:rFonts w:ascii="Arial Narrow" w:hAnsi="Arial Narrow" w:cs="Arial"/>
                <w:sz w:val="20"/>
                <w:szCs w:val="20"/>
              </w:rPr>
              <w:t>ООО "Техоборудование"</w:t>
            </w:r>
          </w:p>
        </w:tc>
        <w:tc>
          <w:tcPr>
            <w:tcW w:w="3969" w:type="dxa"/>
            <w:shd w:val="clear" w:color="auto" w:fill="auto"/>
            <w:noWrap/>
            <w:vAlign w:val="bottom"/>
            <w:hideMark/>
          </w:tcPr>
          <w:p w:rsidR="00A64028" w:rsidRPr="000F6109" w:rsidRDefault="00A64028" w:rsidP="00A96FB4">
            <w:pPr>
              <w:spacing w:after="0"/>
              <w:ind w:left="141"/>
              <w:rPr>
                <w:rFonts w:ascii="Arial Narrow" w:hAnsi="Arial Narrow" w:cs="Arial"/>
                <w:sz w:val="20"/>
                <w:szCs w:val="20"/>
              </w:rPr>
            </w:pPr>
            <w:r w:rsidRPr="000F6109">
              <w:rPr>
                <w:rFonts w:ascii="Arial Narrow" w:hAnsi="Arial Narrow" w:cs="Arial"/>
                <w:sz w:val="20"/>
                <w:szCs w:val="20"/>
              </w:rPr>
              <w:t>Услуги розничной торговли лекарственными средствами, изделиями медицинского назначения и сопутствующими товарами</w:t>
            </w:r>
          </w:p>
        </w:tc>
        <w:tc>
          <w:tcPr>
            <w:tcW w:w="1559" w:type="dxa"/>
            <w:shd w:val="clear" w:color="auto" w:fill="auto"/>
            <w:noWrap/>
            <w:vAlign w:val="bottom"/>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ОКВЭД 52.3</w:t>
            </w:r>
          </w:p>
        </w:tc>
        <w:tc>
          <w:tcPr>
            <w:tcW w:w="1134" w:type="dxa"/>
            <w:shd w:val="clear" w:color="auto" w:fill="auto"/>
            <w:noWrap/>
            <w:vAlign w:val="bottom"/>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&gt; 50</w:t>
            </w:r>
          </w:p>
        </w:tc>
        <w:tc>
          <w:tcPr>
            <w:tcW w:w="4213" w:type="dxa"/>
            <w:shd w:val="clear" w:color="auto" w:fill="auto"/>
            <w:noWrap/>
            <w:vAlign w:val="bottom"/>
            <w:hideMark/>
          </w:tcPr>
          <w:p w:rsidR="00A64028" w:rsidRPr="000F6109" w:rsidRDefault="00A64028" w:rsidP="001820C5">
            <w:pPr>
              <w:spacing w:after="0"/>
              <w:ind w:left="142"/>
              <w:rPr>
                <w:rFonts w:ascii="Arial Narrow" w:hAnsi="Arial Narrow" w:cs="Arial"/>
                <w:sz w:val="20"/>
                <w:szCs w:val="20"/>
              </w:rPr>
            </w:pPr>
            <w:r w:rsidRPr="000F6109">
              <w:rPr>
                <w:rFonts w:ascii="Arial Narrow" w:hAnsi="Arial Narrow" w:cs="Arial"/>
                <w:sz w:val="20"/>
                <w:szCs w:val="20"/>
              </w:rPr>
              <w:t>Чулымский район Новосибирской области</w:t>
            </w:r>
          </w:p>
        </w:tc>
        <w:tc>
          <w:tcPr>
            <w:tcW w:w="1218" w:type="dxa"/>
            <w:vMerge/>
            <w:vAlign w:val="center"/>
            <w:hideMark/>
          </w:tcPr>
          <w:p w:rsidR="00A64028" w:rsidRPr="000F6109" w:rsidRDefault="00A64028" w:rsidP="00103148">
            <w:pPr>
              <w:spacing w:after="0"/>
              <w:rPr>
                <w:rFonts w:ascii="Arial Narrow" w:hAnsi="Arial Narrow" w:cs="Arial"/>
                <w:sz w:val="20"/>
                <w:szCs w:val="20"/>
              </w:rPr>
            </w:pPr>
          </w:p>
        </w:tc>
      </w:tr>
      <w:tr w:rsidR="00A64028" w:rsidRPr="000F6109" w:rsidTr="000F6109">
        <w:tc>
          <w:tcPr>
            <w:tcW w:w="460" w:type="dxa"/>
            <w:vMerge/>
            <w:vAlign w:val="center"/>
            <w:hideMark/>
          </w:tcPr>
          <w:p w:rsidR="00A64028" w:rsidRPr="000F6109" w:rsidRDefault="00A64028" w:rsidP="00103148">
            <w:pPr>
              <w:spacing w:after="0"/>
              <w:jc w:val="center"/>
              <w:rPr>
                <w:rFonts w:ascii="Arial Narrow" w:hAnsi="Arial Narrow" w:cs="Arial"/>
                <w:sz w:val="20"/>
                <w:szCs w:val="20"/>
              </w:rPr>
            </w:pPr>
          </w:p>
        </w:tc>
        <w:tc>
          <w:tcPr>
            <w:tcW w:w="2234" w:type="dxa"/>
            <w:shd w:val="clear" w:color="auto" w:fill="auto"/>
            <w:noWrap/>
            <w:vAlign w:val="bottom"/>
            <w:hideMark/>
          </w:tcPr>
          <w:p w:rsidR="00A64028" w:rsidRPr="000F6109" w:rsidRDefault="00A64028" w:rsidP="00A96FB4">
            <w:pPr>
              <w:spacing w:after="0"/>
              <w:ind w:left="107"/>
              <w:rPr>
                <w:rFonts w:ascii="Arial Narrow" w:hAnsi="Arial Narrow" w:cs="Arial"/>
                <w:sz w:val="20"/>
                <w:szCs w:val="20"/>
              </w:rPr>
            </w:pPr>
            <w:r w:rsidRPr="000F6109">
              <w:rPr>
                <w:rFonts w:ascii="Arial Narrow" w:hAnsi="Arial Narrow" w:cs="Arial"/>
                <w:sz w:val="20"/>
                <w:szCs w:val="20"/>
              </w:rPr>
              <w:t>ООО "Техоборудование"</w:t>
            </w:r>
          </w:p>
        </w:tc>
        <w:tc>
          <w:tcPr>
            <w:tcW w:w="3969" w:type="dxa"/>
            <w:shd w:val="clear" w:color="auto" w:fill="auto"/>
            <w:noWrap/>
            <w:vAlign w:val="bottom"/>
            <w:hideMark/>
          </w:tcPr>
          <w:p w:rsidR="00A64028" w:rsidRPr="000F6109" w:rsidRDefault="00A64028" w:rsidP="00A96FB4">
            <w:pPr>
              <w:spacing w:after="0"/>
              <w:ind w:left="141"/>
              <w:rPr>
                <w:rFonts w:ascii="Arial Narrow" w:hAnsi="Arial Narrow" w:cs="Arial"/>
                <w:sz w:val="20"/>
                <w:szCs w:val="20"/>
              </w:rPr>
            </w:pPr>
            <w:r w:rsidRPr="000F6109">
              <w:rPr>
                <w:rFonts w:ascii="Arial Narrow" w:hAnsi="Arial Narrow" w:cs="Arial"/>
                <w:sz w:val="20"/>
                <w:szCs w:val="20"/>
              </w:rPr>
              <w:t>Услуги розничной торговли лекарственными средствами, изделиями медицинского назначения и сопутствующими товарами</w:t>
            </w:r>
          </w:p>
        </w:tc>
        <w:tc>
          <w:tcPr>
            <w:tcW w:w="1559" w:type="dxa"/>
            <w:shd w:val="clear" w:color="auto" w:fill="auto"/>
            <w:noWrap/>
            <w:vAlign w:val="bottom"/>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ОКВЭД 52.3</w:t>
            </w:r>
          </w:p>
        </w:tc>
        <w:tc>
          <w:tcPr>
            <w:tcW w:w="1134" w:type="dxa"/>
            <w:shd w:val="clear" w:color="auto" w:fill="auto"/>
            <w:noWrap/>
            <w:vAlign w:val="bottom"/>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&gt; 50</w:t>
            </w:r>
          </w:p>
        </w:tc>
        <w:tc>
          <w:tcPr>
            <w:tcW w:w="4213" w:type="dxa"/>
            <w:shd w:val="clear" w:color="auto" w:fill="auto"/>
            <w:noWrap/>
            <w:vAlign w:val="bottom"/>
            <w:hideMark/>
          </w:tcPr>
          <w:p w:rsidR="00A64028" w:rsidRPr="000F6109" w:rsidRDefault="00A64028" w:rsidP="001820C5">
            <w:pPr>
              <w:spacing w:after="0"/>
              <w:ind w:left="142"/>
              <w:rPr>
                <w:rFonts w:ascii="Arial Narrow" w:hAnsi="Arial Narrow" w:cs="Arial"/>
                <w:sz w:val="20"/>
                <w:szCs w:val="20"/>
              </w:rPr>
            </w:pPr>
            <w:r w:rsidRPr="000F6109">
              <w:rPr>
                <w:rFonts w:ascii="Arial Narrow" w:hAnsi="Arial Narrow" w:cs="Arial"/>
                <w:sz w:val="20"/>
                <w:szCs w:val="20"/>
              </w:rPr>
              <w:t>Доволенский район Новосибирской области</w:t>
            </w:r>
          </w:p>
        </w:tc>
        <w:tc>
          <w:tcPr>
            <w:tcW w:w="1218" w:type="dxa"/>
            <w:vMerge/>
            <w:vAlign w:val="center"/>
            <w:hideMark/>
          </w:tcPr>
          <w:p w:rsidR="00A64028" w:rsidRPr="000F6109" w:rsidRDefault="00A64028" w:rsidP="00103148">
            <w:pPr>
              <w:spacing w:after="0"/>
              <w:rPr>
                <w:rFonts w:ascii="Arial Narrow" w:hAnsi="Arial Narrow" w:cs="Arial"/>
                <w:sz w:val="20"/>
                <w:szCs w:val="20"/>
              </w:rPr>
            </w:pPr>
          </w:p>
        </w:tc>
      </w:tr>
      <w:tr w:rsidR="00A64028" w:rsidRPr="000F6109" w:rsidTr="000F6109">
        <w:tc>
          <w:tcPr>
            <w:tcW w:w="460" w:type="dxa"/>
            <w:shd w:val="clear" w:color="auto" w:fill="auto"/>
            <w:noWrap/>
            <w:vAlign w:val="bottom"/>
            <w:hideMark/>
          </w:tcPr>
          <w:p w:rsidR="00A64028" w:rsidRPr="000F6109" w:rsidRDefault="00A64028" w:rsidP="00103148">
            <w:pPr>
              <w:spacing w:after="0"/>
              <w:jc w:val="center"/>
              <w:rPr>
                <w:rFonts w:ascii="Arial Narrow" w:hAnsi="Arial Narrow" w:cs="Arial"/>
                <w:sz w:val="20"/>
                <w:szCs w:val="20"/>
              </w:rPr>
            </w:pPr>
            <w:r w:rsidRPr="000F6109">
              <w:rPr>
                <w:rFonts w:ascii="Arial Narrow" w:hAnsi="Arial Narrow" w:cs="Arial"/>
                <w:sz w:val="20"/>
                <w:szCs w:val="20"/>
              </w:rPr>
              <w:t>9</w:t>
            </w:r>
          </w:p>
        </w:tc>
        <w:tc>
          <w:tcPr>
            <w:tcW w:w="2234" w:type="dxa"/>
            <w:shd w:val="clear" w:color="auto" w:fill="auto"/>
            <w:noWrap/>
            <w:vAlign w:val="bottom"/>
            <w:hideMark/>
          </w:tcPr>
          <w:p w:rsidR="00A64028" w:rsidRPr="000F6109" w:rsidRDefault="00A64028" w:rsidP="00A96FB4">
            <w:pPr>
              <w:spacing w:after="0"/>
              <w:ind w:left="107"/>
              <w:rPr>
                <w:rFonts w:ascii="Arial Narrow" w:hAnsi="Arial Narrow" w:cs="Arial"/>
                <w:sz w:val="20"/>
                <w:szCs w:val="20"/>
              </w:rPr>
            </w:pPr>
            <w:r w:rsidRPr="000F6109">
              <w:rPr>
                <w:rFonts w:ascii="Arial Narrow" w:hAnsi="Arial Narrow" w:cs="Arial"/>
                <w:sz w:val="20"/>
                <w:szCs w:val="20"/>
              </w:rPr>
              <w:t>ООО "Фармакон"</w:t>
            </w:r>
          </w:p>
        </w:tc>
        <w:tc>
          <w:tcPr>
            <w:tcW w:w="3969" w:type="dxa"/>
            <w:shd w:val="clear" w:color="auto" w:fill="auto"/>
            <w:noWrap/>
            <w:vAlign w:val="bottom"/>
            <w:hideMark/>
          </w:tcPr>
          <w:p w:rsidR="00A64028" w:rsidRPr="000F6109" w:rsidRDefault="00A64028" w:rsidP="00A96FB4">
            <w:pPr>
              <w:spacing w:after="0"/>
              <w:ind w:left="141"/>
              <w:rPr>
                <w:rFonts w:ascii="Arial Narrow" w:hAnsi="Arial Narrow" w:cs="Arial"/>
                <w:sz w:val="20"/>
                <w:szCs w:val="20"/>
              </w:rPr>
            </w:pPr>
            <w:r w:rsidRPr="000F6109">
              <w:rPr>
                <w:rFonts w:ascii="Arial Narrow" w:hAnsi="Arial Narrow" w:cs="Arial"/>
                <w:sz w:val="20"/>
                <w:szCs w:val="20"/>
              </w:rPr>
              <w:t>Услуги розничной торговли лекарственными средствами, изделиями медицинского назначения и сопутствующими товарами</w:t>
            </w:r>
          </w:p>
        </w:tc>
        <w:tc>
          <w:tcPr>
            <w:tcW w:w="1559" w:type="dxa"/>
            <w:shd w:val="clear" w:color="auto" w:fill="auto"/>
            <w:noWrap/>
            <w:vAlign w:val="bottom"/>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ОКВЭД 52.27.39</w:t>
            </w:r>
          </w:p>
        </w:tc>
        <w:tc>
          <w:tcPr>
            <w:tcW w:w="1134" w:type="dxa"/>
            <w:shd w:val="clear" w:color="auto" w:fill="auto"/>
            <w:noWrap/>
            <w:vAlign w:val="bottom"/>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&gt; 50</w:t>
            </w:r>
          </w:p>
        </w:tc>
        <w:tc>
          <w:tcPr>
            <w:tcW w:w="4213" w:type="dxa"/>
            <w:shd w:val="clear" w:color="auto" w:fill="auto"/>
            <w:noWrap/>
            <w:vAlign w:val="bottom"/>
            <w:hideMark/>
          </w:tcPr>
          <w:p w:rsidR="00A64028" w:rsidRPr="000F6109" w:rsidRDefault="00A64028" w:rsidP="001820C5">
            <w:pPr>
              <w:spacing w:after="0"/>
              <w:ind w:left="142"/>
              <w:rPr>
                <w:rFonts w:ascii="Arial Narrow" w:hAnsi="Arial Narrow" w:cs="Arial"/>
                <w:sz w:val="20"/>
                <w:szCs w:val="20"/>
              </w:rPr>
            </w:pPr>
            <w:r w:rsidRPr="000F6109">
              <w:rPr>
                <w:rFonts w:ascii="Arial Narrow" w:hAnsi="Arial Narrow" w:cs="Arial"/>
                <w:sz w:val="20"/>
                <w:szCs w:val="20"/>
              </w:rPr>
              <w:t>Каргатский район Новосибирской области</w:t>
            </w:r>
          </w:p>
        </w:tc>
        <w:tc>
          <w:tcPr>
            <w:tcW w:w="1218" w:type="dxa"/>
            <w:vMerge/>
            <w:vAlign w:val="center"/>
            <w:hideMark/>
          </w:tcPr>
          <w:p w:rsidR="00A64028" w:rsidRPr="000F6109" w:rsidRDefault="00A64028" w:rsidP="00103148">
            <w:pPr>
              <w:spacing w:after="0"/>
              <w:rPr>
                <w:rFonts w:ascii="Arial Narrow" w:hAnsi="Arial Narrow" w:cs="Arial"/>
                <w:sz w:val="20"/>
                <w:szCs w:val="20"/>
              </w:rPr>
            </w:pPr>
          </w:p>
        </w:tc>
      </w:tr>
      <w:tr w:rsidR="00A64028" w:rsidRPr="000F6109" w:rsidTr="000F6109">
        <w:tc>
          <w:tcPr>
            <w:tcW w:w="460" w:type="dxa"/>
            <w:shd w:val="clear" w:color="auto" w:fill="auto"/>
            <w:noWrap/>
            <w:vAlign w:val="bottom"/>
            <w:hideMark/>
          </w:tcPr>
          <w:p w:rsidR="00A64028" w:rsidRPr="000F6109" w:rsidRDefault="00A64028" w:rsidP="00103148">
            <w:pPr>
              <w:spacing w:after="0"/>
              <w:jc w:val="center"/>
              <w:rPr>
                <w:rFonts w:ascii="Arial Narrow" w:hAnsi="Arial Narrow" w:cs="Arial"/>
                <w:sz w:val="20"/>
                <w:szCs w:val="20"/>
              </w:rPr>
            </w:pPr>
            <w:r w:rsidRPr="000F6109">
              <w:rPr>
                <w:rFonts w:ascii="Arial Narrow" w:hAnsi="Arial Narrow" w:cs="Arial"/>
                <w:sz w:val="20"/>
                <w:szCs w:val="20"/>
              </w:rPr>
              <w:t>10</w:t>
            </w:r>
          </w:p>
        </w:tc>
        <w:tc>
          <w:tcPr>
            <w:tcW w:w="2234" w:type="dxa"/>
            <w:shd w:val="clear" w:color="auto" w:fill="auto"/>
            <w:noWrap/>
            <w:vAlign w:val="bottom"/>
            <w:hideMark/>
          </w:tcPr>
          <w:p w:rsidR="00A64028" w:rsidRPr="000F6109" w:rsidRDefault="00A64028" w:rsidP="00A96FB4">
            <w:pPr>
              <w:spacing w:after="0"/>
              <w:ind w:left="107"/>
              <w:rPr>
                <w:rFonts w:ascii="Arial Narrow" w:hAnsi="Arial Narrow" w:cs="Arial"/>
                <w:sz w:val="20"/>
                <w:szCs w:val="20"/>
              </w:rPr>
            </w:pPr>
            <w:r w:rsidRPr="000F6109">
              <w:rPr>
                <w:rFonts w:ascii="Arial Narrow" w:hAnsi="Arial Narrow" w:cs="Arial"/>
                <w:sz w:val="20"/>
                <w:szCs w:val="20"/>
              </w:rPr>
              <w:t>ООО «Аптеки Алтая»</w:t>
            </w:r>
          </w:p>
        </w:tc>
        <w:tc>
          <w:tcPr>
            <w:tcW w:w="3969" w:type="dxa"/>
            <w:shd w:val="clear" w:color="auto" w:fill="auto"/>
            <w:noWrap/>
            <w:vAlign w:val="bottom"/>
            <w:hideMark/>
          </w:tcPr>
          <w:p w:rsidR="00A64028" w:rsidRPr="000F6109" w:rsidRDefault="00A64028" w:rsidP="00A96FB4">
            <w:pPr>
              <w:spacing w:after="0"/>
              <w:ind w:left="141"/>
              <w:rPr>
                <w:rFonts w:ascii="Arial Narrow" w:hAnsi="Arial Narrow" w:cs="Arial"/>
                <w:sz w:val="20"/>
                <w:szCs w:val="20"/>
              </w:rPr>
            </w:pPr>
            <w:r w:rsidRPr="000F6109">
              <w:rPr>
                <w:rFonts w:ascii="Arial Narrow" w:hAnsi="Arial Narrow" w:cs="Arial"/>
                <w:sz w:val="20"/>
                <w:szCs w:val="20"/>
              </w:rPr>
              <w:t>Услуги розничной торговли лекарственными средствами, изделиями медицинского назначения и сопутствующими товарами</w:t>
            </w:r>
          </w:p>
        </w:tc>
        <w:tc>
          <w:tcPr>
            <w:tcW w:w="1559" w:type="dxa"/>
            <w:shd w:val="clear" w:color="auto" w:fill="auto"/>
            <w:noWrap/>
            <w:vAlign w:val="bottom"/>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ОКВЭД 52.3</w:t>
            </w:r>
          </w:p>
        </w:tc>
        <w:tc>
          <w:tcPr>
            <w:tcW w:w="1134" w:type="dxa"/>
            <w:shd w:val="clear" w:color="auto" w:fill="auto"/>
            <w:noWrap/>
            <w:vAlign w:val="bottom"/>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&lt; 50</w:t>
            </w:r>
          </w:p>
        </w:tc>
        <w:tc>
          <w:tcPr>
            <w:tcW w:w="4213" w:type="dxa"/>
            <w:shd w:val="clear" w:color="auto" w:fill="auto"/>
            <w:noWrap/>
            <w:vAlign w:val="bottom"/>
            <w:hideMark/>
          </w:tcPr>
          <w:p w:rsidR="00A64028" w:rsidRPr="000F6109" w:rsidRDefault="00A64028" w:rsidP="001820C5">
            <w:pPr>
              <w:spacing w:after="0"/>
              <w:ind w:left="142"/>
              <w:rPr>
                <w:rFonts w:ascii="Arial Narrow" w:hAnsi="Arial Narrow" w:cs="Arial"/>
                <w:sz w:val="20"/>
                <w:szCs w:val="20"/>
              </w:rPr>
            </w:pPr>
            <w:r w:rsidRPr="000F6109">
              <w:rPr>
                <w:rFonts w:ascii="Arial Narrow" w:hAnsi="Arial Narrow" w:cs="Arial"/>
                <w:sz w:val="20"/>
                <w:szCs w:val="20"/>
              </w:rPr>
              <w:t>Искитимский район Новосибирской области</w:t>
            </w:r>
          </w:p>
        </w:tc>
        <w:tc>
          <w:tcPr>
            <w:tcW w:w="1218" w:type="dxa"/>
            <w:vMerge/>
            <w:vAlign w:val="center"/>
            <w:hideMark/>
          </w:tcPr>
          <w:p w:rsidR="00A64028" w:rsidRPr="000F6109" w:rsidRDefault="00A64028" w:rsidP="00103148">
            <w:pPr>
              <w:spacing w:after="0"/>
              <w:rPr>
                <w:rFonts w:ascii="Arial Narrow" w:hAnsi="Arial Narrow" w:cs="Arial"/>
                <w:sz w:val="20"/>
                <w:szCs w:val="20"/>
              </w:rPr>
            </w:pPr>
          </w:p>
        </w:tc>
      </w:tr>
      <w:tr w:rsidR="00A64028" w:rsidRPr="000F6109" w:rsidTr="000F6109">
        <w:tc>
          <w:tcPr>
            <w:tcW w:w="460" w:type="dxa"/>
            <w:shd w:val="clear" w:color="auto" w:fill="auto"/>
            <w:noWrap/>
            <w:vAlign w:val="bottom"/>
            <w:hideMark/>
          </w:tcPr>
          <w:p w:rsidR="00A64028" w:rsidRPr="000F6109" w:rsidRDefault="00A64028" w:rsidP="00103148">
            <w:pPr>
              <w:spacing w:after="0"/>
              <w:jc w:val="center"/>
              <w:rPr>
                <w:rFonts w:ascii="Arial Narrow" w:hAnsi="Arial Narrow" w:cs="Arial"/>
                <w:sz w:val="20"/>
                <w:szCs w:val="20"/>
              </w:rPr>
            </w:pPr>
            <w:r w:rsidRPr="000F6109">
              <w:rPr>
                <w:rFonts w:ascii="Arial Narrow" w:hAnsi="Arial Narrow" w:cs="Arial"/>
                <w:sz w:val="20"/>
                <w:szCs w:val="20"/>
              </w:rPr>
              <w:t>11</w:t>
            </w:r>
          </w:p>
        </w:tc>
        <w:tc>
          <w:tcPr>
            <w:tcW w:w="2234" w:type="dxa"/>
            <w:shd w:val="clear" w:color="auto" w:fill="auto"/>
            <w:noWrap/>
            <w:vAlign w:val="bottom"/>
            <w:hideMark/>
          </w:tcPr>
          <w:p w:rsidR="00A64028" w:rsidRPr="000F6109" w:rsidRDefault="00A64028" w:rsidP="00A96FB4">
            <w:pPr>
              <w:spacing w:after="0"/>
              <w:ind w:left="107"/>
              <w:rPr>
                <w:rFonts w:ascii="Arial Narrow" w:hAnsi="Arial Narrow" w:cs="Arial"/>
                <w:sz w:val="20"/>
                <w:szCs w:val="20"/>
              </w:rPr>
            </w:pPr>
            <w:r w:rsidRPr="000F6109">
              <w:rPr>
                <w:rFonts w:ascii="Arial Narrow" w:hAnsi="Arial Narrow" w:cs="Arial"/>
                <w:sz w:val="20"/>
                <w:szCs w:val="20"/>
              </w:rPr>
              <w:t>ООО «ЗДОРОВЬЕ»</w:t>
            </w:r>
          </w:p>
        </w:tc>
        <w:tc>
          <w:tcPr>
            <w:tcW w:w="3969" w:type="dxa"/>
            <w:shd w:val="clear" w:color="auto" w:fill="auto"/>
            <w:noWrap/>
            <w:vAlign w:val="bottom"/>
            <w:hideMark/>
          </w:tcPr>
          <w:p w:rsidR="00A64028" w:rsidRPr="000F6109" w:rsidRDefault="00A64028" w:rsidP="00A96FB4">
            <w:pPr>
              <w:spacing w:after="0"/>
              <w:ind w:left="141"/>
              <w:rPr>
                <w:rFonts w:ascii="Arial Narrow" w:hAnsi="Arial Narrow" w:cs="Arial"/>
                <w:sz w:val="20"/>
                <w:szCs w:val="20"/>
              </w:rPr>
            </w:pPr>
            <w:r w:rsidRPr="000F6109">
              <w:rPr>
                <w:rFonts w:ascii="Arial Narrow" w:hAnsi="Arial Narrow" w:cs="Arial"/>
                <w:sz w:val="20"/>
                <w:szCs w:val="20"/>
              </w:rPr>
              <w:t>Услуги розничной торговли лекарственными средствами, изделиями медицинского назначения и сопутствующими товарами</w:t>
            </w:r>
          </w:p>
        </w:tc>
        <w:tc>
          <w:tcPr>
            <w:tcW w:w="1559" w:type="dxa"/>
            <w:shd w:val="clear" w:color="auto" w:fill="auto"/>
            <w:noWrap/>
            <w:vAlign w:val="bottom"/>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ОКВЭД 52.3</w:t>
            </w:r>
          </w:p>
        </w:tc>
        <w:tc>
          <w:tcPr>
            <w:tcW w:w="1134" w:type="dxa"/>
            <w:shd w:val="clear" w:color="auto" w:fill="auto"/>
            <w:noWrap/>
            <w:vAlign w:val="bottom"/>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&lt; 50</w:t>
            </w:r>
          </w:p>
        </w:tc>
        <w:tc>
          <w:tcPr>
            <w:tcW w:w="4213" w:type="dxa"/>
            <w:shd w:val="clear" w:color="auto" w:fill="auto"/>
            <w:noWrap/>
            <w:vAlign w:val="bottom"/>
            <w:hideMark/>
          </w:tcPr>
          <w:p w:rsidR="00A64028" w:rsidRPr="000F6109" w:rsidRDefault="00A64028" w:rsidP="001820C5">
            <w:pPr>
              <w:spacing w:after="0"/>
              <w:ind w:left="142"/>
              <w:rPr>
                <w:rFonts w:ascii="Arial Narrow" w:hAnsi="Arial Narrow" w:cs="Arial"/>
                <w:sz w:val="20"/>
                <w:szCs w:val="20"/>
              </w:rPr>
            </w:pPr>
            <w:r w:rsidRPr="000F6109">
              <w:rPr>
                <w:rFonts w:ascii="Arial Narrow" w:hAnsi="Arial Narrow" w:cs="Arial"/>
                <w:sz w:val="20"/>
                <w:szCs w:val="20"/>
              </w:rPr>
              <w:t>Маслянинский район Новосибирской области</w:t>
            </w:r>
          </w:p>
        </w:tc>
        <w:tc>
          <w:tcPr>
            <w:tcW w:w="1218" w:type="dxa"/>
            <w:vMerge w:val="restart"/>
            <w:vAlign w:val="center"/>
            <w:hideMark/>
          </w:tcPr>
          <w:p w:rsidR="00A64028" w:rsidRPr="000F6109" w:rsidRDefault="00A64028" w:rsidP="00103148">
            <w:pPr>
              <w:spacing w:after="0"/>
              <w:rPr>
                <w:rFonts w:ascii="Arial Narrow" w:hAnsi="Arial Narrow" w:cs="Arial"/>
                <w:sz w:val="20"/>
                <w:szCs w:val="20"/>
              </w:rPr>
            </w:pPr>
          </w:p>
        </w:tc>
      </w:tr>
      <w:tr w:rsidR="00A64028" w:rsidRPr="000F6109" w:rsidTr="000F6109">
        <w:tc>
          <w:tcPr>
            <w:tcW w:w="460" w:type="dxa"/>
            <w:shd w:val="clear" w:color="auto" w:fill="auto"/>
            <w:noWrap/>
            <w:vAlign w:val="bottom"/>
            <w:hideMark/>
          </w:tcPr>
          <w:p w:rsidR="00A64028" w:rsidRPr="000F6109" w:rsidRDefault="00A64028" w:rsidP="00103148">
            <w:pPr>
              <w:spacing w:after="0"/>
              <w:jc w:val="center"/>
              <w:rPr>
                <w:rFonts w:ascii="Arial Narrow" w:hAnsi="Arial Narrow" w:cs="Arial"/>
                <w:sz w:val="20"/>
                <w:szCs w:val="20"/>
              </w:rPr>
            </w:pPr>
            <w:r w:rsidRPr="000F6109">
              <w:rPr>
                <w:rFonts w:ascii="Arial Narrow" w:hAnsi="Arial Narrow" w:cs="Arial"/>
                <w:sz w:val="20"/>
                <w:szCs w:val="20"/>
              </w:rPr>
              <w:t>12</w:t>
            </w:r>
          </w:p>
        </w:tc>
        <w:tc>
          <w:tcPr>
            <w:tcW w:w="2234" w:type="dxa"/>
            <w:shd w:val="clear" w:color="auto" w:fill="auto"/>
            <w:noWrap/>
            <w:vAlign w:val="bottom"/>
            <w:hideMark/>
          </w:tcPr>
          <w:p w:rsidR="00A64028" w:rsidRPr="000F6109" w:rsidRDefault="00A64028" w:rsidP="00A96FB4">
            <w:pPr>
              <w:spacing w:after="0"/>
              <w:ind w:left="107"/>
              <w:rPr>
                <w:rFonts w:ascii="Arial Narrow" w:hAnsi="Arial Narrow" w:cs="Arial"/>
                <w:sz w:val="20"/>
                <w:szCs w:val="20"/>
              </w:rPr>
            </w:pPr>
            <w:r w:rsidRPr="000F6109">
              <w:rPr>
                <w:rFonts w:ascii="Arial Narrow" w:hAnsi="Arial Narrow" w:cs="Arial"/>
                <w:sz w:val="20"/>
                <w:szCs w:val="20"/>
              </w:rPr>
              <w:t>ООО «СТ  ФИТОЦЕНТР РОМАШКА»</w:t>
            </w:r>
          </w:p>
        </w:tc>
        <w:tc>
          <w:tcPr>
            <w:tcW w:w="3969" w:type="dxa"/>
            <w:shd w:val="clear" w:color="auto" w:fill="auto"/>
            <w:noWrap/>
            <w:vAlign w:val="bottom"/>
            <w:hideMark/>
          </w:tcPr>
          <w:p w:rsidR="00A64028" w:rsidRPr="000F6109" w:rsidRDefault="00A64028" w:rsidP="00A96FB4">
            <w:pPr>
              <w:spacing w:after="0"/>
              <w:ind w:left="141"/>
              <w:rPr>
                <w:rFonts w:ascii="Arial Narrow" w:hAnsi="Arial Narrow" w:cs="Arial"/>
                <w:sz w:val="20"/>
                <w:szCs w:val="20"/>
              </w:rPr>
            </w:pPr>
            <w:r w:rsidRPr="000F6109">
              <w:rPr>
                <w:rFonts w:ascii="Arial Narrow" w:hAnsi="Arial Narrow" w:cs="Arial"/>
                <w:sz w:val="20"/>
                <w:szCs w:val="20"/>
              </w:rPr>
              <w:t>Услуги розничной торговли лекарственными средствами, изделиями медицинского назначения и сопутствующими товарами</w:t>
            </w:r>
          </w:p>
        </w:tc>
        <w:tc>
          <w:tcPr>
            <w:tcW w:w="1559" w:type="dxa"/>
            <w:shd w:val="clear" w:color="auto" w:fill="auto"/>
            <w:noWrap/>
            <w:vAlign w:val="bottom"/>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ОКВЭД 52.31</w:t>
            </w:r>
          </w:p>
        </w:tc>
        <w:tc>
          <w:tcPr>
            <w:tcW w:w="1134" w:type="dxa"/>
            <w:shd w:val="clear" w:color="auto" w:fill="auto"/>
            <w:noWrap/>
            <w:vAlign w:val="bottom"/>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&lt; 50</w:t>
            </w:r>
          </w:p>
        </w:tc>
        <w:tc>
          <w:tcPr>
            <w:tcW w:w="4213" w:type="dxa"/>
            <w:shd w:val="clear" w:color="auto" w:fill="auto"/>
            <w:noWrap/>
            <w:vAlign w:val="bottom"/>
            <w:hideMark/>
          </w:tcPr>
          <w:p w:rsidR="00A64028" w:rsidRPr="000F6109" w:rsidRDefault="00A64028" w:rsidP="001820C5">
            <w:pPr>
              <w:spacing w:after="0"/>
              <w:ind w:left="142"/>
              <w:rPr>
                <w:rFonts w:ascii="Arial Narrow" w:hAnsi="Arial Narrow" w:cs="Arial"/>
                <w:sz w:val="20"/>
                <w:szCs w:val="20"/>
              </w:rPr>
            </w:pPr>
            <w:r w:rsidRPr="000F6109">
              <w:rPr>
                <w:rFonts w:ascii="Arial Narrow" w:hAnsi="Arial Narrow" w:cs="Arial"/>
                <w:sz w:val="20"/>
                <w:szCs w:val="20"/>
              </w:rPr>
              <w:t>Новосибирский район Новосибирской области</w:t>
            </w:r>
          </w:p>
        </w:tc>
        <w:tc>
          <w:tcPr>
            <w:tcW w:w="1218" w:type="dxa"/>
            <w:vMerge/>
            <w:vAlign w:val="center"/>
            <w:hideMark/>
          </w:tcPr>
          <w:p w:rsidR="00A64028" w:rsidRPr="000F6109" w:rsidRDefault="00A64028" w:rsidP="00103148">
            <w:pPr>
              <w:spacing w:after="0"/>
              <w:rPr>
                <w:rFonts w:ascii="Arial Narrow" w:hAnsi="Arial Narrow" w:cs="Arial"/>
                <w:sz w:val="20"/>
                <w:szCs w:val="20"/>
              </w:rPr>
            </w:pPr>
          </w:p>
        </w:tc>
      </w:tr>
      <w:tr w:rsidR="00A64028" w:rsidRPr="000F6109" w:rsidTr="000F6109">
        <w:tc>
          <w:tcPr>
            <w:tcW w:w="460" w:type="dxa"/>
            <w:shd w:val="clear" w:color="auto" w:fill="auto"/>
            <w:noWrap/>
            <w:vAlign w:val="bottom"/>
            <w:hideMark/>
          </w:tcPr>
          <w:p w:rsidR="00A64028" w:rsidRPr="000F6109" w:rsidRDefault="00A64028" w:rsidP="00103148">
            <w:pPr>
              <w:spacing w:after="0"/>
              <w:jc w:val="center"/>
              <w:rPr>
                <w:rFonts w:ascii="Arial Narrow" w:hAnsi="Arial Narrow" w:cs="Arial"/>
                <w:sz w:val="20"/>
                <w:szCs w:val="20"/>
              </w:rPr>
            </w:pPr>
            <w:r w:rsidRPr="000F6109">
              <w:rPr>
                <w:rFonts w:ascii="Arial Narrow" w:hAnsi="Arial Narrow" w:cs="Arial"/>
                <w:sz w:val="20"/>
                <w:szCs w:val="20"/>
              </w:rPr>
              <w:t>13</w:t>
            </w:r>
          </w:p>
        </w:tc>
        <w:tc>
          <w:tcPr>
            <w:tcW w:w="2234" w:type="dxa"/>
            <w:shd w:val="clear" w:color="auto" w:fill="auto"/>
            <w:noWrap/>
            <w:vAlign w:val="bottom"/>
            <w:hideMark/>
          </w:tcPr>
          <w:p w:rsidR="00A64028" w:rsidRPr="000F6109" w:rsidRDefault="00A64028" w:rsidP="00A96FB4">
            <w:pPr>
              <w:spacing w:after="0"/>
              <w:ind w:left="107"/>
              <w:rPr>
                <w:rFonts w:ascii="Arial Narrow" w:hAnsi="Arial Narrow" w:cs="Arial"/>
                <w:sz w:val="20"/>
                <w:szCs w:val="20"/>
              </w:rPr>
            </w:pPr>
            <w:r w:rsidRPr="000F6109">
              <w:rPr>
                <w:rFonts w:ascii="Arial Narrow" w:hAnsi="Arial Narrow" w:cs="Arial"/>
                <w:sz w:val="20"/>
                <w:szCs w:val="20"/>
              </w:rPr>
              <w:t>ООО Аптека "Авиценна"</w:t>
            </w:r>
          </w:p>
        </w:tc>
        <w:tc>
          <w:tcPr>
            <w:tcW w:w="3969" w:type="dxa"/>
            <w:shd w:val="clear" w:color="auto" w:fill="auto"/>
            <w:noWrap/>
            <w:vAlign w:val="bottom"/>
            <w:hideMark/>
          </w:tcPr>
          <w:p w:rsidR="00A64028" w:rsidRPr="000F6109" w:rsidRDefault="00A64028" w:rsidP="00A96FB4">
            <w:pPr>
              <w:spacing w:after="0"/>
              <w:ind w:left="141"/>
              <w:rPr>
                <w:rFonts w:ascii="Arial Narrow" w:hAnsi="Arial Narrow" w:cs="Arial"/>
                <w:sz w:val="20"/>
                <w:szCs w:val="20"/>
              </w:rPr>
            </w:pPr>
            <w:r w:rsidRPr="000F6109">
              <w:rPr>
                <w:rFonts w:ascii="Arial Narrow" w:hAnsi="Arial Narrow" w:cs="Arial"/>
                <w:sz w:val="20"/>
                <w:szCs w:val="20"/>
              </w:rPr>
              <w:t>Услуги розничной торговли лекарственными средствами, изделиями медицинского назначения и сопутствующими товарами</w:t>
            </w:r>
          </w:p>
        </w:tc>
        <w:tc>
          <w:tcPr>
            <w:tcW w:w="1559" w:type="dxa"/>
            <w:shd w:val="clear" w:color="auto" w:fill="auto"/>
            <w:noWrap/>
            <w:vAlign w:val="bottom"/>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ОКВЭД 52.31</w:t>
            </w:r>
          </w:p>
        </w:tc>
        <w:tc>
          <w:tcPr>
            <w:tcW w:w="1134" w:type="dxa"/>
            <w:shd w:val="clear" w:color="auto" w:fill="auto"/>
            <w:noWrap/>
            <w:vAlign w:val="bottom"/>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&lt; 50</w:t>
            </w:r>
          </w:p>
        </w:tc>
        <w:tc>
          <w:tcPr>
            <w:tcW w:w="4213" w:type="dxa"/>
            <w:shd w:val="clear" w:color="auto" w:fill="auto"/>
            <w:noWrap/>
            <w:vAlign w:val="bottom"/>
            <w:hideMark/>
          </w:tcPr>
          <w:p w:rsidR="00A64028" w:rsidRPr="000F6109" w:rsidRDefault="00A64028" w:rsidP="001820C5">
            <w:pPr>
              <w:spacing w:after="0"/>
              <w:ind w:left="142"/>
              <w:rPr>
                <w:rFonts w:ascii="Arial Narrow" w:hAnsi="Arial Narrow" w:cs="Arial"/>
                <w:sz w:val="20"/>
                <w:szCs w:val="20"/>
              </w:rPr>
            </w:pPr>
            <w:r w:rsidRPr="000F6109">
              <w:rPr>
                <w:rFonts w:ascii="Arial Narrow" w:hAnsi="Arial Narrow" w:cs="Arial"/>
                <w:sz w:val="20"/>
                <w:szCs w:val="20"/>
              </w:rPr>
              <w:t>Болотнинский район Новосибирской области</w:t>
            </w:r>
          </w:p>
        </w:tc>
        <w:tc>
          <w:tcPr>
            <w:tcW w:w="1218" w:type="dxa"/>
            <w:vMerge/>
            <w:vAlign w:val="center"/>
            <w:hideMark/>
          </w:tcPr>
          <w:p w:rsidR="00A64028" w:rsidRPr="000F6109" w:rsidRDefault="00A64028" w:rsidP="00103148">
            <w:pPr>
              <w:spacing w:after="0"/>
              <w:rPr>
                <w:rFonts w:ascii="Arial Narrow" w:hAnsi="Arial Narrow" w:cs="Arial"/>
                <w:sz w:val="20"/>
                <w:szCs w:val="20"/>
              </w:rPr>
            </w:pPr>
          </w:p>
        </w:tc>
      </w:tr>
      <w:tr w:rsidR="00A64028" w:rsidRPr="000F6109" w:rsidTr="000F6109">
        <w:tc>
          <w:tcPr>
            <w:tcW w:w="460" w:type="dxa"/>
            <w:shd w:val="clear" w:color="auto" w:fill="auto"/>
            <w:noWrap/>
            <w:vAlign w:val="bottom"/>
            <w:hideMark/>
          </w:tcPr>
          <w:p w:rsidR="00A64028" w:rsidRPr="000F6109" w:rsidRDefault="00A64028" w:rsidP="00103148">
            <w:pPr>
              <w:spacing w:after="0"/>
              <w:jc w:val="center"/>
              <w:rPr>
                <w:rFonts w:ascii="Arial Narrow" w:hAnsi="Arial Narrow" w:cs="Arial"/>
                <w:sz w:val="20"/>
                <w:szCs w:val="20"/>
              </w:rPr>
            </w:pPr>
            <w:r w:rsidRPr="000F6109">
              <w:rPr>
                <w:rFonts w:ascii="Arial Narrow" w:hAnsi="Arial Narrow" w:cs="Arial"/>
                <w:sz w:val="20"/>
                <w:szCs w:val="20"/>
              </w:rPr>
              <w:t>14</w:t>
            </w:r>
          </w:p>
        </w:tc>
        <w:tc>
          <w:tcPr>
            <w:tcW w:w="2234" w:type="dxa"/>
            <w:shd w:val="clear" w:color="auto" w:fill="auto"/>
            <w:noWrap/>
            <w:vAlign w:val="bottom"/>
            <w:hideMark/>
          </w:tcPr>
          <w:p w:rsidR="00A64028" w:rsidRPr="000F6109" w:rsidRDefault="00A64028" w:rsidP="00A96FB4">
            <w:pPr>
              <w:spacing w:after="0"/>
              <w:ind w:left="107"/>
              <w:rPr>
                <w:rFonts w:ascii="Arial Narrow" w:hAnsi="Arial Narrow" w:cs="Arial"/>
                <w:sz w:val="20"/>
                <w:szCs w:val="20"/>
              </w:rPr>
            </w:pPr>
            <w:r w:rsidRPr="000F6109">
              <w:rPr>
                <w:rFonts w:ascii="Arial Narrow" w:hAnsi="Arial Narrow" w:cs="Arial"/>
                <w:sz w:val="20"/>
                <w:szCs w:val="20"/>
              </w:rPr>
              <w:t>ООО Фармацевтическая компания "СП-Фарм"</w:t>
            </w:r>
          </w:p>
        </w:tc>
        <w:tc>
          <w:tcPr>
            <w:tcW w:w="3969" w:type="dxa"/>
            <w:shd w:val="clear" w:color="auto" w:fill="auto"/>
            <w:noWrap/>
            <w:vAlign w:val="bottom"/>
            <w:hideMark/>
          </w:tcPr>
          <w:p w:rsidR="00A64028" w:rsidRPr="000F6109" w:rsidRDefault="00A64028" w:rsidP="00A96FB4">
            <w:pPr>
              <w:spacing w:after="0"/>
              <w:ind w:left="141"/>
              <w:rPr>
                <w:rFonts w:ascii="Arial Narrow" w:hAnsi="Arial Narrow" w:cs="Arial"/>
                <w:sz w:val="20"/>
                <w:szCs w:val="20"/>
              </w:rPr>
            </w:pPr>
            <w:r w:rsidRPr="000F6109">
              <w:rPr>
                <w:rFonts w:ascii="Arial Narrow" w:hAnsi="Arial Narrow" w:cs="Arial"/>
                <w:sz w:val="20"/>
                <w:szCs w:val="20"/>
              </w:rPr>
              <w:t>услуги розничной торговли лекарственными средствами, изделиями медицинского назначения и сопутствующими товарами</w:t>
            </w:r>
          </w:p>
        </w:tc>
        <w:tc>
          <w:tcPr>
            <w:tcW w:w="1559" w:type="dxa"/>
            <w:shd w:val="clear" w:color="auto" w:fill="auto"/>
            <w:noWrap/>
            <w:vAlign w:val="bottom"/>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ОКВЭД 52.3</w:t>
            </w:r>
          </w:p>
        </w:tc>
        <w:tc>
          <w:tcPr>
            <w:tcW w:w="1134" w:type="dxa"/>
            <w:shd w:val="clear" w:color="auto" w:fill="auto"/>
            <w:noWrap/>
            <w:vAlign w:val="bottom"/>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&gt; 50</w:t>
            </w:r>
          </w:p>
        </w:tc>
        <w:tc>
          <w:tcPr>
            <w:tcW w:w="4213" w:type="dxa"/>
            <w:shd w:val="clear" w:color="auto" w:fill="auto"/>
            <w:noWrap/>
            <w:vAlign w:val="bottom"/>
            <w:hideMark/>
          </w:tcPr>
          <w:p w:rsidR="00A64028" w:rsidRPr="000F6109" w:rsidRDefault="00A64028" w:rsidP="001820C5">
            <w:pPr>
              <w:spacing w:after="0"/>
              <w:ind w:left="142"/>
              <w:rPr>
                <w:rFonts w:ascii="Arial Narrow" w:hAnsi="Arial Narrow" w:cs="Arial"/>
                <w:sz w:val="20"/>
                <w:szCs w:val="20"/>
              </w:rPr>
            </w:pPr>
            <w:r w:rsidRPr="000F6109">
              <w:rPr>
                <w:rFonts w:ascii="Arial Narrow" w:hAnsi="Arial Narrow" w:cs="Arial"/>
                <w:sz w:val="20"/>
                <w:szCs w:val="20"/>
              </w:rPr>
              <w:t>город Обь Новосибирской области</w:t>
            </w:r>
          </w:p>
        </w:tc>
        <w:tc>
          <w:tcPr>
            <w:tcW w:w="1218" w:type="dxa"/>
            <w:vMerge/>
            <w:vAlign w:val="center"/>
            <w:hideMark/>
          </w:tcPr>
          <w:p w:rsidR="00A64028" w:rsidRPr="000F6109" w:rsidRDefault="00A64028" w:rsidP="00103148">
            <w:pPr>
              <w:spacing w:after="0"/>
              <w:rPr>
                <w:rFonts w:ascii="Arial Narrow" w:hAnsi="Arial Narrow" w:cs="Arial"/>
                <w:sz w:val="20"/>
                <w:szCs w:val="20"/>
              </w:rPr>
            </w:pPr>
          </w:p>
        </w:tc>
      </w:tr>
      <w:tr w:rsidR="00A64028" w:rsidRPr="000F6109" w:rsidTr="000F6109">
        <w:tc>
          <w:tcPr>
            <w:tcW w:w="460" w:type="dxa"/>
            <w:shd w:val="clear" w:color="auto" w:fill="auto"/>
            <w:hideMark/>
          </w:tcPr>
          <w:p w:rsidR="00A64028" w:rsidRPr="000F6109" w:rsidRDefault="00A64028" w:rsidP="00103148">
            <w:pPr>
              <w:spacing w:after="0"/>
              <w:jc w:val="center"/>
              <w:rPr>
                <w:rFonts w:ascii="Arial Narrow" w:hAnsi="Arial Narrow" w:cs="Arial"/>
                <w:sz w:val="20"/>
                <w:szCs w:val="20"/>
              </w:rPr>
            </w:pPr>
            <w:r w:rsidRPr="000F6109">
              <w:rPr>
                <w:rFonts w:ascii="Arial Narrow" w:hAnsi="Arial Narrow" w:cs="Arial"/>
                <w:sz w:val="20"/>
                <w:szCs w:val="20"/>
              </w:rPr>
              <w:t>15</w:t>
            </w:r>
          </w:p>
        </w:tc>
        <w:tc>
          <w:tcPr>
            <w:tcW w:w="2234" w:type="dxa"/>
            <w:shd w:val="clear" w:color="auto" w:fill="auto"/>
            <w:hideMark/>
          </w:tcPr>
          <w:p w:rsidR="00A64028" w:rsidRPr="000F6109" w:rsidRDefault="00A64028" w:rsidP="00A96FB4">
            <w:pPr>
              <w:spacing w:after="0"/>
              <w:ind w:left="107"/>
              <w:rPr>
                <w:rFonts w:ascii="Arial Narrow" w:hAnsi="Arial Narrow" w:cs="Arial"/>
                <w:sz w:val="20"/>
                <w:szCs w:val="20"/>
              </w:rPr>
            </w:pPr>
            <w:r w:rsidRPr="000F6109">
              <w:rPr>
                <w:rFonts w:ascii="Arial Narrow" w:hAnsi="Arial Narrow" w:cs="Arial"/>
                <w:sz w:val="20"/>
                <w:szCs w:val="20"/>
              </w:rPr>
              <w:t>ЗАО фирма «ФАРМАКОН»</w:t>
            </w:r>
          </w:p>
        </w:tc>
        <w:tc>
          <w:tcPr>
            <w:tcW w:w="3969" w:type="dxa"/>
            <w:shd w:val="clear" w:color="auto" w:fill="auto"/>
            <w:hideMark/>
          </w:tcPr>
          <w:p w:rsidR="00A64028" w:rsidRPr="000F6109" w:rsidRDefault="00A64028" w:rsidP="00A96FB4">
            <w:pPr>
              <w:spacing w:after="0"/>
              <w:ind w:left="141"/>
              <w:rPr>
                <w:rFonts w:ascii="Arial Narrow" w:hAnsi="Arial Narrow" w:cs="Arial"/>
                <w:sz w:val="20"/>
                <w:szCs w:val="20"/>
              </w:rPr>
            </w:pPr>
            <w:r w:rsidRPr="000F6109">
              <w:rPr>
                <w:rFonts w:ascii="Arial Narrow" w:hAnsi="Arial Narrow" w:cs="Arial"/>
                <w:sz w:val="20"/>
                <w:szCs w:val="20"/>
              </w:rPr>
              <w:t>Услуги розничной торговли лекарственными средствами, изделиями медицинского назначения и сопутствующими товарами</w:t>
            </w:r>
          </w:p>
        </w:tc>
        <w:tc>
          <w:tcPr>
            <w:tcW w:w="1559" w:type="dxa"/>
            <w:shd w:val="clear" w:color="auto" w:fill="auto"/>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ОКВЭД 52.31</w:t>
            </w:r>
          </w:p>
        </w:tc>
        <w:tc>
          <w:tcPr>
            <w:tcW w:w="1134" w:type="dxa"/>
            <w:shd w:val="clear" w:color="auto" w:fill="auto"/>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&lt; 50</w:t>
            </w:r>
          </w:p>
        </w:tc>
        <w:tc>
          <w:tcPr>
            <w:tcW w:w="4213" w:type="dxa"/>
            <w:shd w:val="clear" w:color="auto" w:fill="auto"/>
            <w:hideMark/>
          </w:tcPr>
          <w:p w:rsidR="00A64028" w:rsidRPr="000F6109" w:rsidRDefault="00A64028" w:rsidP="001820C5">
            <w:pPr>
              <w:spacing w:after="0"/>
              <w:ind w:left="142"/>
              <w:rPr>
                <w:rFonts w:ascii="Arial Narrow" w:hAnsi="Arial Narrow" w:cs="Arial"/>
                <w:sz w:val="20"/>
                <w:szCs w:val="20"/>
              </w:rPr>
            </w:pPr>
            <w:r w:rsidRPr="000F6109">
              <w:rPr>
                <w:rFonts w:ascii="Arial Narrow" w:hAnsi="Arial Narrow" w:cs="Arial"/>
                <w:sz w:val="20"/>
                <w:szCs w:val="20"/>
              </w:rPr>
              <w:t>Мошковский район Новосибирской области</w:t>
            </w:r>
          </w:p>
        </w:tc>
        <w:tc>
          <w:tcPr>
            <w:tcW w:w="1218" w:type="dxa"/>
            <w:vMerge/>
            <w:vAlign w:val="center"/>
            <w:hideMark/>
          </w:tcPr>
          <w:p w:rsidR="00A64028" w:rsidRPr="000F6109" w:rsidRDefault="00A64028" w:rsidP="00103148">
            <w:pPr>
              <w:spacing w:after="0"/>
              <w:rPr>
                <w:rFonts w:ascii="Arial Narrow" w:hAnsi="Arial Narrow" w:cs="Arial"/>
                <w:sz w:val="20"/>
                <w:szCs w:val="20"/>
              </w:rPr>
            </w:pPr>
          </w:p>
        </w:tc>
      </w:tr>
      <w:tr w:rsidR="00A64028" w:rsidRPr="000F6109" w:rsidTr="000F6109">
        <w:tc>
          <w:tcPr>
            <w:tcW w:w="460" w:type="dxa"/>
            <w:shd w:val="clear" w:color="auto" w:fill="auto"/>
            <w:hideMark/>
          </w:tcPr>
          <w:p w:rsidR="00A64028" w:rsidRPr="000F6109" w:rsidRDefault="00A64028" w:rsidP="00103148">
            <w:pPr>
              <w:spacing w:after="0"/>
              <w:jc w:val="center"/>
              <w:rPr>
                <w:rFonts w:ascii="Arial Narrow" w:hAnsi="Arial Narrow" w:cs="Arial"/>
                <w:sz w:val="20"/>
                <w:szCs w:val="20"/>
              </w:rPr>
            </w:pPr>
            <w:r w:rsidRPr="000F6109">
              <w:rPr>
                <w:rFonts w:ascii="Arial Narrow" w:hAnsi="Arial Narrow" w:cs="Arial"/>
                <w:sz w:val="20"/>
                <w:szCs w:val="20"/>
              </w:rPr>
              <w:t>16</w:t>
            </w:r>
          </w:p>
        </w:tc>
        <w:tc>
          <w:tcPr>
            <w:tcW w:w="2234" w:type="dxa"/>
            <w:shd w:val="clear" w:color="auto" w:fill="auto"/>
            <w:hideMark/>
          </w:tcPr>
          <w:p w:rsidR="00A64028" w:rsidRPr="000F6109" w:rsidRDefault="00A64028" w:rsidP="00A96FB4">
            <w:pPr>
              <w:spacing w:after="0"/>
              <w:ind w:left="107"/>
              <w:rPr>
                <w:rFonts w:ascii="Arial Narrow" w:hAnsi="Arial Narrow" w:cs="Arial"/>
                <w:sz w:val="20"/>
                <w:szCs w:val="20"/>
              </w:rPr>
            </w:pPr>
            <w:r w:rsidRPr="000F6109">
              <w:rPr>
                <w:rFonts w:ascii="Arial Narrow" w:hAnsi="Arial Narrow" w:cs="Arial"/>
                <w:sz w:val="20"/>
                <w:szCs w:val="20"/>
              </w:rPr>
              <w:t>ИП Калганова Светлана Леонидовна</w:t>
            </w:r>
          </w:p>
        </w:tc>
        <w:tc>
          <w:tcPr>
            <w:tcW w:w="3969" w:type="dxa"/>
            <w:shd w:val="clear" w:color="auto" w:fill="auto"/>
            <w:hideMark/>
          </w:tcPr>
          <w:p w:rsidR="00A64028" w:rsidRPr="000F6109" w:rsidRDefault="00A64028" w:rsidP="00A96FB4">
            <w:pPr>
              <w:spacing w:after="0"/>
              <w:ind w:left="141"/>
              <w:rPr>
                <w:rFonts w:ascii="Arial Narrow" w:hAnsi="Arial Narrow" w:cs="Arial"/>
                <w:sz w:val="20"/>
                <w:szCs w:val="20"/>
              </w:rPr>
            </w:pPr>
            <w:r w:rsidRPr="000F6109">
              <w:rPr>
                <w:rFonts w:ascii="Arial Narrow" w:hAnsi="Arial Narrow" w:cs="Arial"/>
                <w:sz w:val="20"/>
                <w:szCs w:val="20"/>
              </w:rPr>
              <w:t>Услуги розничной торговли лекарственными средствами, изделиями медицинского назначения и сопутствующими товарами</w:t>
            </w:r>
          </w:p>
        </w:tc>
        <w:tc>
          <w:tcPr>
            <w:tcW w:w="1559" w:type="dxa"/>
            <w:shd w:val="clear" w:color="auto" w:fill="auto"/>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ОКВЭД 52.31</w:t>
            </w:r>
          </w:p>
        </w:tc>
        <w:tc>
          <w:tcPr>
            <w:tcW w:w="1134" w:type="dxa"/>
            <w:shd w:val="clear" w:color="auto" w:fill="auto"/>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&lt; 50</w:t>
            </w:r>
          </w:p>
        </w:tc>
        <w:tc>
          <w:tcPr>
            <w:tcW w:w="4213" w:type="dxa"/>
            <w:shd w:val="clear" w:color="auto" w:fill="auto"/>
            <w:hideMark/>
          </w:tcPr>
          <w:p w:rsidR="00A64028" w:rsidRPr="000F6109" w:rsidRDefault="00A64028" w:rsidP="001820C5">
            <w:pPr>
              <w:spacing w:after="0"/>
              <w:ind w:left="142"/>
              <w:rPr>
                <w:rFonts w:ascii="Arial Narrow" w:hAnsi="Arial Narrow" w:cs="Arial"/>
                <w:sz w:val="20"/>
                <w:szCs w:val="20"/>
              </w:rPr>
            </w:pPr>
            <w:r w:rsidRPr="000F6109">
              <w:rPr>
                <w:rFonts w:ascii="Arial Narrow" w:hAnsi="Arial Narrow" w:cs="Arial"/>
                <w:sz w:val="20"/>
                <w:szCs w:val="20"/>
              </w:rPr>
              <w:t>город Бердск Новосибирской области</w:t>
            </w:r>
          </w:p>
        </w:tc>
        <w:tc>
          <w:tcPr>
            <w:tcW w:w="1218" w:type="dxa"/>
            <w:vMerge/>
            <w:vAlign w:val="center"/>
            <w:hideMark/>
          </w:tcPr>
          <w:p w:rsidR="00A64028" w:rsidRPr="000F6109" w:rsidRDefault="00A64028" w:rsidP="00103148">
            <w:pPr>
              <w:spacing w:after="0"/>
              <w:rPr>
                <w:rFonts w:ascii="Arial Narrow" w:hAnsi="Arial Narrow" w:cs="Arial"/>
                <w:sz w:val="20"/>
                <w:szCs w:val="20"/>
              </w:rPr>
            </w:pPr>
          </w:p>
        </w:tc>
      </w:tr>
    </w:tbl>
    <w:p w:rsidR="00A96FB4" w:rsidRDefault="00A96FB4"/>
    <w:p w:rsidR="00A96FB4" w:rsidRDefault="00A96FB4"/>
    <w:p w:rsidR="00A96FB4" w:rsidRPr="00A96FB4" w:rsidRDefault="00A96FB4" w:rsidP="00A96FB4">
      <w:pPr>
        <w:spacing w:after="0" w:line="240" w:lineRule="auto"/>
        <w:jc w:val="right"/>
        <w:rPr>
          <w:rFonts w:ascii="Arial Narrow" w:hAnsi="Arial Narrow"/>
          <w:sz w:val="24"/>
          <w:szCs w:val="24"/>
        </w:rPr>
      </w:pPr>
      <w:r w:rsidRPr="004865F9">
        <w:rPr>
          <w:rFonts w:ascii="Arial Narrow" w:hAnsi="Arial Narrow"/>
          <w:sz w:val="24"/>
          <w:szCs w:val="24"/>
        </w:rPr>
        <w:lastRenderedPageBreak/>
        <w:t xml:space="preserve">Продолжение Таблицы </w:t>
      </w:r>
      <w:r>
        <w:rPr>
          <w:rFonts w:ascii="Arial Narrow" w:hAnsi="Arial Narrow"/>
          <w:sz w:val="24"/>
          <w:szCs w:val="24"/>
        </w:rPr>
        <w:t>7.5</w:t>
      </w:r>
    </w:p>
    <w:tbl>
      <w:tblPr>
        <w:tblW w:w="14787" w:type="dxa"/>
        <w:tblInd w:w="-1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460"/>
        <w:gridCol w:w="2234"/>
        <w:gridCol w:w="3969"/>
        <w:gridCol w:w="1559"/>
        <w:gridCol w:w="1134"/>
        <w:gridCol w:w="4213"/>
        <w:gridCol w:w="1218"/>
      </w:tblGrid>
      <w:tr w:rsidR="00A64028" w:rsidRPr="000F6109" w:rsidTr="000F6109">
        <w:tc>
          <w:tcPr>
            <w:tcW w:w="460" w:type="dxa"/>
            <w:shd w:val="clear" w:color="auto" w:fill="auto"/>
            <w:hideMark/>
          </w:tcPr>
          <w:p w:rsidR="00A64028" w:rsidRPr="000F6109" w:rsidRDefault="00A64028" w:rsidP="00103148">
            <w:pPr>
              <w:spacing w:after="0"/>
              <w:jc w:val="center"/>
              <w:rPr>
                <w:rFonts w:ascii="Arial Narrow" w:hAnsi="Arial Narrow" w:cs="Arial"/>
                <w:sz w:val="20"/>
                <w:szCs w:val="20"/>
              </w:rPr>
            </w:pPr>
            <w:r w:rsidRPr="000F6109">
              <w:rPr>
                <w:rFonts w:ascii="Arial Narrow" w:hAnsi="Arial Narrow" w:cs="Arial"/>
                <w:sz w:val="20"/>
                <w:szCs w:val="20"/>
              </w:rPr>
              <w:t>17</w:t>
            </w:r>
          </w:p>
        </w:tc>
        <w:tc>
          <w:tcPr>
            <w:tcW w:w="2234" w:type="dxa"/>
            <w:shd w:val="clear" w:color="auto" w:fill="auto"/>
            <w:hideMark/>
          </w:tcPr>
          <w:p w:rsidR="00A64028" w:rsidRPr="000F6109" w:rsidRDefault="00A64028" w:rsidP="00A96FB4">
            <w:pPr>
              <w:spacing w:after="0"/>
              <w:ind w:left="107"/>
              <w:rPr>
                <w:rFonts w:ascii="Arial Narrow" w:hAnsi="Arial Narrow" w:cs="Arial"/>
                <w:sz w:val="20"/>
                <w:szCs w:val="20"/>
              </w:rPr>
            </w:pPr>
            <w:r w:rsidRPr="000F6109">
              <w:rPr>
                <w:rFonts w:ascii="Arial Narrow" w:hAnsi="Arial Narrow" w:cs="Arial"/>
                <w:sz w:val="20"/>
                <w:szCs w:val="20"/>
              </w:rPr>
              <w:t>ЗАО "Новосибирский мелькомбинат №1"</w:t>
            </w:r>
          </w:p>
        </w:tc>
        <w:tc>
          <w:tcPr>
            <w:tcW w:w="3969" w:type="dxa"/>
            <w:shd w:val="clear" w:color="auto" w:fill="auto"/>
            <w:hideMark/>
          </w:tcPr>
          <w:p w:rsidR="00A64028" w:rsidRPr="000F6109" w:rsidRDefault="00A64028" w:rsidP="00A96FB4">
            <w:pPr>
              <w:spacing w:after="0"/>
              <w:ind w:left="141"/>
              <w:rPr>
                <w:rFonts w:ascii="Arial Narrow" w:hAnsi="Arial Narrow" w:cs="Arial"/>
                <w:sz w:val="20"/>
                <w:szCs w:val="20"/>
              </w:rPr>
            </w:pPr>
            <w:r w:rsidRPr="000F6109">
              <w:rPr>
                <w:rFonts w:ascii="Arial Narrow" w:hAnsi="Arial Narrow" w:cs="Arial"/>
                <w:sz w:val="20"/>
                <w:szCs w:val="20"/>
              </w:rPr>
              <w:t>Мука пшеничная</w:t>
            </w:r>
          </w:p>
        </w:tc>
        <w:tc>
          <w:tcPr>
            <w:tcW w:w="1559" w:type="dxa"/>
            <w:shd w:val="clear" w:color="auto" w:fill="auto"/>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ОКВЭД 15.61.2</w:t>
            </w:r>
          </w:p>
        </w:tc>
        <w:tc>
          <w:tcPr>
            <w:tcW w:w="1134" w:type="dxa"/>
            <w:shd w:val="clear" w:color="auto" w:fill="auto"/>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&gt; 65</w:t>
            </w:r>
          </w:p>
        </w:tc>
        <w:tc>
          <w:tcPr>
            <w:tcW w:w="4213" w:type="dxa"/>
            <w:shd w:val="clear" w:color="auto" w:fill="auto"/>
            <w:hideMark/>
          </w:tcPr>
          <w:p w:rsidR="00A64028" w:rsidRPr="000F6109" w:rsidRDefault="00A64028" w:rsidP="001820C5">
            <w:pPr>
              <w:spacing w:after="0"/>
              <w:ind w:left="142"/>
              <w:rPr>
                <w:rFonts w:ascii="Arial Narrow" w:hAnsi="Arial Narrow" w:cs="Arial"/>
                <w:sz w:val="20"/>
                <w:szCs w:val="20"/>
              </w:rPr>
            </w:pPr>
            <w:r w:rsidRPr="000F6109">
              <w:rPr>
                <w:rFonts w:ascii="Arial Narrow" w:hAnsi="Arial Narrow" w:cs="Arial"/>
                <w:sz w:val="20"/>
                <w:szCs w:val="20"/>
              </w:rPr>
              <w:t>Новосибирская область</w:t>
            </w:r>
          </w:p>
        </w:tc>
        <w:tc>
          <w:tcPr>
            <w:tcW w:w="1218" w:type="dxa"/>
            <w:vMerge w:val="restart"/>
            <w:shd w:val="clear" w:color="auto" w:fill="auto"/>
            <w:noWrap/>
            <w:vAlign w:val="bottom"/>
            <w:hideMark/>
          </w:tcPr>
          <w:p w:rsidR="00A64028" w:rsidRPr="000F6109" w:rsidRDefault="00A64028" w:rsidP="00103148">
            <w:pPr>
              <w:spacing w:after="0"/>
              <w:jc w:val="center"/>
              <w:rPr>
                <w:rFonts w:ascii="Arial Narrow" w:hAnsi="Arial Narrow" w:cs="Arial"/>
                <w:sz w:val="20"/>
                <w:szCs w:val="20"/>
              </w:rPr>
            </w:pPr>
            <w:r w:rsidRPr="000F6109">
              <w:rPr>
                <w:rFonts w:ascii="Arial Narrow" w:hAnsi="Arial Narrow" w:cs="Arial"/>
                <w:sz w:val="20"/>
                <w:szCs w:val="20"/>
              </w:rPr>
              <w:t>Рынок развития, производства, переработки и хранения сельскохозяйственной продукции</w:t>
            </w:r>
          </w:p>
        </w:tc>
      </w:tr>
      <w:tr w:rsidR="00A64028" w:rsidRPr="000F6109" w:rsidTr="000F6109">
        <w:trPr>
          <w:trHeight w:val="1236"/>
        </w:trPr>
        <w:tc>
          <w:tcPr>
            <w:tcW w:w="460" w:type="dxa"/>
            <w:shd w:val="clear" w:color="auto" w:fill="auto"/>
            <w:noWrap/>
            <w:vAlign w:val="bottom"/>
            <w:hideMark/>
          </w:tcPr>
          <w:p w:rsidR="00A64028" w:rsidRPr="000F6109" w:rsidRDefault="00A64028" w:rsidP="00103148">
            <w:pPr>
              <w:spacing w:after="0"/>
              <w:jc w:val="center"/>
              <w:rPr>
                <w:rFonts w:ascii="Arial Narrow" w:hAnsi="Arial Narrow" w:cs="Arial"/>
                <w:sz w:val="20"/>
                <w:szCs w:val="20"/>
              </w:rPr>
            </w:pPr>
            <w:r w:rsidRPr="000F6109">
              <w:rPr>
                <w:rFonts w:ascii="Arial Narrow" w:hAnsi="Arial Narrow" w:cs="Arial"/>
                <w:sz w:val="20"/>
                <w:szCs w:val="20"/>
              </w:rPr>
              <w:t>18</w:t>
            </w:r>
          </w:p>
        </w:tc>
        <w:tc>
          <w:tcPr>
            <w:tcW w:w="2234" w:type="dxa"/>
            <w:shd w:val="clear" w:color="auto" w:fill="auto"/>
            <w:noWrap/>
            <w:vAlign w:val="bottom"/>
            <w:hideMark/>
          </w:tcPr>
          <w:p w:rsidR="00A64028" w:rsidRPr="000F6109" w:rsidRDefault="00A64028" w:rsidP="00A96FB4">
            <w:pPr>
              <w:spacing w:after="0"/>
              <w:ind w:left="107"/>
              <w:rPr>
                <w:rFonts w:ascii="Arial Narrow" w:hAnsi="Arial Narrow" w:cs="Arial"/>
                <w:sz w:val="20"/>
                <w:szCs w:val="20"/>
              </w:rPr>
            </w:pPr>
            <w:r w:rsidRPr="000F6109">
              <w:rPr>
                <w:rFonts w:ascii="Arial Narrow" w:hAnsi="Arial Narrow" w:cs="Arial"/>
                <w:sz w:val="20"/>
                <w:szCs w:val="20"/>
              </w:rPr>
              <w:t>ЗАО "Восход-Бейкер" ( в составе группы лиц c ОАО "Хлебообъединение "Восход")</w:t>
            </w:r>
          </w:p>
        </w:tc>
        <w:tc>
          <w:tcPr>
            <w:tcW w:w="3969" w:type="dxa"/>
            <w:shd w:val="clear" w:color="auto" w:fill="auto"/>
            <w:noWrap/>
            <w:vAlign w:val="bottom"/>
            <w:hideMark/>
          </w:tcPr>
          <w:p w:rsidR="00A64028" w:rsidRPr="000F6109" w:rsidRDefault="00A64028" w:rsidP="00A96FB4">
            <w:pPr>
              <w:spacing w:after="0"/>
              <w:ind w:left="141"/>
              <w:rPr>
                <w:rFonts w:ascii="Arial Narrow" w:hAnsi="Arial Narrow" w:cs="Arial"/>
                <w:sz w:val="20"/>
                <w:szCs w:val="20"/>
              </w:rPr>
            </w:pPr>
            <w:r w:rsidRPr="000F6109">
              <w:rPr>
                <w:rFonts w:ascii="Arial Narrow" w:hAnsi="Arial Narrow" w:cs="Arial"/>
                <w:sz w:val="20"/>
                <w:szCs w:val="20"/>
              </w:rPr>
              <w:t>Хлеб из смеси разных сортов ржаной и пшеничной муки ОКП 911350 7</w:t>
            </w:r>
          </w:p>
        </w:tc>
        <w:tc>
          <w:tcPr>
            <w:tcW w:w="1559" w:type="dxa"/>
            <w:shd w:val="clear" w:color="auto" w:fill="auto"/>
            <w:noWrap/>
            <w:vAlign w:val="bottom"/>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ОКВЭД 15.81</w:t>
            </w:r>
          </w:p>
        </w:tc>
        <w:tc>
          <w:tcPr>
            <w:tcW w:w="1134" w:type="dxa"/>
            <w:shd w:val="clear" w:color="auto" w:fill="auto"/>
            <w:noWrap/>
            <w:vAlign w:val="bottom"/>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&lt; 50 (в составе группы лиц)</w:t>
            </w:r>
          </w:p>
        </w:tc>
        <w:tc>
          <w:tcPr>
            <w:tcW w:w="4213" w:type="dxa"/>
            <w:shd w:val="clear" w:color="auto" w:fill="auto"/>
            <w:noWrap/>
            <w:vAlign w:val="bottom"/>
            <w:hideMark/>
          </w:tcPr>
          <w:p w:rsidR="00A64028" w:rsidRPr="000F6109" w:rsidRDefault="00A64028" w:rsidP="001820C5">
            <w:pPr>
              <w:spacing w:after="0"/>
              <w:ind w:left="142"/>
              <w:rPr>
                <w:rFonts w:ascii="Arial Narrow" w:hAnsi="Arial Narrow" w:cs="Arial"/>
                <w:sz w:val="20"/>
                <w:szCs w:val="20"/>
              </w:rPr>
            </w:pPr>
            <w:r w:rsidRPr="000F6109">
              <w:rPr>
                <w:rFonts w:ascii="Arial Narrow" w:hAnsi="Arial Narrow" w:cs="Arial"/>
                <w:sz w:val="20"/>
                <w:szCs w:val="20"/>
              </w:rPr>
              <w:t>г. Новосибирск</w:t>
            </w:r>
          </w:p>
        </w:tc>
        <w:tc>
          <w:tcPr>
            <w:tcW w:w="1218" w:type="dxa"/>
            <w:vMerge/>
            <w:vAlign w:val="center"/>
            <w:hideMark/>
          </w:tcPr>
          <w:p w:rsidR="00A64028" w:rsidRPr="000F6109" w:rsidRDefault="00A64028" w:rsidP="00103148">
            <w:pPr>
              <w:spacing w:after="0"/>
              <w:rPr>
                <w:rFonts w:ascii="Arial Narrow" w:hAnsi="Arial Narrow" w:cs="Arial"/>
                <w:sz w:val="20"/>
                <w:szCs w:val="20"/>
              </w:rPr>
            </w:pPr>
          </w:p>
        </w:tc>
      </w:tr>
      <w:tr w:rsidR="00A64028" w:rsidRPr="000F6109" w:rsidTr="000F6109">
        <w:tc>
          <w:tcPr>
            <w:tcW w:w="460" w:type="dxa"/>
            <w:vAlign w:val="center"/>
            <w:hideMark/>
          </w:tcPr>
          <w:p w:rsidR="00A64028" w:rsidRPr="000F6109" w:rsidRDefault="00A64028" w:rsidP="00103148">
            <w:pPr>
              <w:spacing w:after="0"/>
              <w:jc w:val="center"/>
              <w:rPr>
                <w:rFonts w:ascii="Arial Narrow" w:hAnsi="Arial Narrow" w:cs="Arial"/>
                <w:sz w:val="20"/>
                <w:szCs w:val="20"/>
              </w:rPr>
            </w:pPr>
          </w:p>
        </w:tc>
        <w:tc>
          <w:tcPr>
            <w:tcW w:w="2234" w:type="dxa"/>
            <w:shd w:val="clear" w:color="auto" w:fill="auto"/>
            <w:noWrap/>
            <w:vAlign w:val="bottom"/>
            <w:hideMark/>
          </w:tcPr>
          <w:p w:rsidR="00A64028" w:rsidRPr="000F6109" w:rsidRDefault="00A64028" w:rsidP="00A96FB4">
            <w:pPr>
              <w:spacing w:after="0"/>
              <w:ind w:left="107"/>
              <w:rPr>
                <w:rFonts w:ascii="Arial Narrow" w:hAnsi="Arial Narrow" w:cs="Arial"/>
                <w:sz w:val="20"/>
                <w:szCs w:val="20"/>
              </w:rPr>
            </w:pPr>
            <w:r w:rsidRPr="000F6109">
              <w:rPr>
                <w:rFonts w:ascii="Arial Narrow" w:hAnsi="Arial Narrow" w:cs="Arial"/>
                <w:sz w:val="20"/>
                <w:szCs w:val="20"/>
              </w:rPr>
              <w:t>ЗАО "Восход-Бейкер" ( в составе группы лиц c ОАО "Хлебообъединение "Восход")</w:t>
            </w:r>
          </w:p>
        </w:tc>
        <w:tc>
          <w:tcPr>
            <w:tcW w:w="3969" w:type="dxa"/>
            <w:shd w:val="clear" w:color="auto" w:fill="auto"/>
            <w:noWrap/>
            <w:vAlign w:val="bottom"/>
            <w:hideMark/>
          </w:tcPr>
          <w:p w:rsidR="00A64028" w:rsidRPr="000F6109" w:rsidRDefault="00A64028" w:rsidP="00A96FB4">
            <w:pPr>
              <w:spacing w:after="0"/>
              <w:ind w:left="141"/>
              <w:rPr>
                <w:rFonts w:ascii="Arial Narrow" w:hAnsi="Arial Narrow" w:cs="Arial"/>
                <w:sz w:val="20"/>
                <w:szCs w:val="20"/>
              </w:rPr>
            </w:pPr>
            <w:r w:rsidRPr="000F6109">
              <w:rPr>
                <w:rFonts w:ascii="Arial Narrow" w:hAnsi="Arial Narrow" w:cs="Arial"/>
                <w:sz w:val="20"/>
                <w:szCs w:val="20"/>
              </w:rPr>
              <w:t>Хлеб из пшеничной муки ОКП 911400 8</w:t>
            </w:r>
          </w:p>
        </w:tc>
        <w:tc>
          <w:tcPr>
            <w:tcW w:w="1559" w:type="dxa"/>
            <w:shd w:val="clear" w:color="auto" w:fill="auto"/>
            <w:noWrap/>
            <w:vAlign w:val="bottom"/>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ОКВЭД 15.81</w:t>
            </w:r>
          </w:p>
        </w:tc>
        <w:tc>
          <w:tcPr>
            <w:tcW w:w="1134" w:type="dxa"/>
            <w:shd w:val="clear" w:color="auto" w:fill="auto"/>
            <w:noWrap/>
            <w:vAlign w:val="bottom"/>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&lt; 50 (в составе группы лиц)</w:t>
            </w:r>
          </w:p>
        </w:tc>
        <w:tc>
          <w:tcPr>
            <w:tcW w:w="4213" w:type="dxa"/>
            <w:shd w:val="clear" w:color="auto" w:fill="auto"/>
            <w:noWrap/>
            <w:vAlign w:val="bottom"/>
            <w:hideMark/>
          </w:tcPr>
          <w:p w:rsidR="00A64028" w:rsidRPr="000F6109" w:rsidRDefault="00A64028" w:rsidP="001820C5">
            <w:pPr>
              <w:spacing w:after="0"/>
              <w:ind w:left="142"/>
              <w:rPr>
                <w:rFonts w:ascii="Arial Narrow" w:hAnsi="Arial Narrow" w:cs="Arial"/>
                <w:sz w:val="20"/>
                <w:szCs w:val="20"/>
              </w:rPr>
            </w:pPr>
            <w:r w:rsidRPr="000F6109">
              <w:rPr>
                <w:rFonts w:ascii="Arial Narrow" w:hAnsi="Arial Narrow" w:cs="Arial"/>
                <w:sz w:val="20"/>
                <w:szCs w:val="20"/>
              </w:rPr>
              <w:t>г. Новосибирск</w:t>
            </w:r>
          </w:p>
        </w:tc>
        <w:tc>
          <w:tcPr>
            <w:tcW w:w="1218" w:type="dxa"/>
            <w:vMerge w:val="restart"/>
            <w:vAlign w:val="center"/>
            <w:hideMark/>
          </w:tcPr>
          <w:p w:rsidR="00A64028" w:rsidRPr="000F6109" w:rsidRDefault="00A64028" w:rsidP="00103148">
            <w:pPr>
              <w:spacing w:after="0"/>
              <w:rPr>
                <w:rFonts w:ascii="Arial Narrow" w:hAnsi="Arial Narrow" w:cs="Arial"/>
                <w:sz w:val="20"/>
                <w:szCs w:val="20"/>
              </w:rPr>
            </w:pPr>
          </w:p>
        </w:tc>
      </w:tr>
      <w:tr w:rsidR="00A64028" w:rsidRPr="000F6109" w:rsidTr="000F6109">
        <w:tc>
          <w:tcPr>
            <w:tcW w:w="460" w:type="dxa"/>
            <w:vMerge w:val="restart"/>
            <w:shd w:val="clear" w:color="auto" w:fill="auto"/>
            <w:noWrap/>
            <w:vAlign w:val="bottom"/>
            <w:hideMark/>
          </w:tcPr>
          <w:p w:rsidR="00A64028" w:rsidRPr="000F6109" w:rsidRDefault="00A64028" w:rsidP="00103148">
            <w:pPr>
              <w:spacing w:after="0"/>
              <w:jc w:val="center"/>
              <w:rPr>
                <w:rFonts w:ascii="Arial Narrow" w:hAnsi="Arial Narrow" w:cs="Arial"/>
                <w:sz w:val="20"/>
                <w:szCs w:val="20"/>
              </w:rPr>
            </w:pPr>
            <w:r w:rsidRPr="000F6109">
              <w:rPr>
                <w:rFonts w:ascii="Arial Narrow" w:hAnsi="Arial Narrow" w:cs="Arial"/>
                <w:sz w:val="20"/>
                <w:szCs w:val="20"/>
              </w:rPr>
              <w:t>19</w:t>
            </w:r>
          </w:p>
        </w:tc>
        <w:tc>
          <w:tcPr>
            <w:tcW w:w="2234" w:type="dxa"/>
            <w:shd w:val="clear" w:color="auto" w:fill="auto"/>
            <w:noWrap/>
            <w:vAlign w:val="bottom"/>
            <w:hideMark/>
          </w:tcPr>
          <w:p w:rsidR="00A64028" w:rsidRPr="000F6109" w:rsidRDefault="00A64028" w:rsidP="00A96FB4">
            <w:pPr>
              <w:spacing w:after="0"/>
              <w:ind w:left="107"/>
              <w:rPr>
                <w:rFonts w:ascii="Arial Narrow" w:hAnsi="Arial Narrow" w:cs="Arial"/>
                <w:sz w:val="20"/>
                <w:szCs w:val="20"/>
              </w:rPr>
            </w:pPr>
            <w:r w:rsidRPr="000F6109">
              <w:rPr>
                <w:rFonts w:ascii="Arial Narrow" w:hAnsi="Arial Narrow" w:cs="Arial"/>
                <w:sz w:val="20"/>
                <w:szCs w:val="20"/>
              </w:rPr>
              <w:t>ОАО "Хлебообъединение "Восход" ( в составе группы лиц c ЗАО "Восход-Бейкер")</w:t>
            </w:r>
          </w:p>
        </w:tc>
        <w:tc>
          <w:tcPr>
            <w:tcW w:w="3969" w:type="dxa"/>
            <w:shd w:val="clear" w:color="auto" w:fill="auto"/>
            <w:noWrap/>
            <w:vAlign w:val="bottom"/>
            <w:hideMark/>
          </w:tcPr>
          <w:p w:rsidR="00A64028" w:rsidRPr="000F6109" w:rsidRDefault="00A64028" w:rsidP="00A96FB4">
            <w:pPr>
              <w:spacing w:after="0"/>
              <w:ind w:left="141"/>
              <w:rPr>
                <w:rFonts w:ascii="Arial Narrow" w:hAnsi="Arial Narrow" w:cs="Arial"/>
                <w:sz w:val="20"/>
                <w:szCs w:val="20"/>
              </w:rPr>
            </w:pPr>
            <w:r w:rsidRPr="000F6109">
              <w:rPr>
                <w:rFonts w:ascii="Arial Narrow" w:hAnsi="Arial Narrow" w:cs="Arial"/>
                <w:sz w:val="20"/>
                <w:szCs w:val="20"/>
              </w:rPr>
              <w:t>Хлеб из пшеничной муки ОКП 911400 8</w:t>
            </w:r>
          </w:p>
        </w:tc>
        <w:tc>
          <w:tcPr>
            <w:tcW w:w="1559" w:type="dxa"/>
            <w:shd w:val="clear" w:color="auto" w:fill="auto"/>
            <w:noWrap/>
            <w:vAlign w:val="bottom"/>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ОКВЭД 15.81</w:t>
            </w:r>
          </w:p>
        </w:tc>
        <w:tc>
          <w:tcPr>
            <w:tcW w:w="1134" w:type="dxa"/>
            <w:shd w:val="clear" w:color="auto" w:fill="auto"/>
            <w:noWrap/>
            <w:vAlign w:val="bottom"/>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&lt; 50 (в составе группы лиц)</w:t>
            </w:r>
          </w:p>
        </w:tc>
        <w:tc>
          <w:tcPr>
            <w:tcW w:w="4213" w:type="dxa"/>
            <w:shd w:val="clear" w:color="auto" w:fill="auto"/>
            <w:noWrap/>
            <w:vAlign w:val="bottom"/>
            <w:hideMark/>
          </w:tcPr>
          <w:p w:rsidR="00A64028" w:rsidRPr="000F6109" w:rsidRDefault="00A64028" w:rsidP="001820C5">
            <w:pPr>
              <w:spacing w:after="0"/>
              <w:ind w:left="142"/>
              <w:rPr>
                <w:rFonts w:ascii="Arial Narrow" w:hAnsi="Arial Narrow" w:cs="Arial"/>
                <w:sz w:val="20"/>
                <w:szCs w:val="20"/>
              </w:rPr>
            </w:pPr>
            <w:r w:rsidRPr="000F6109">
              <w:rPr>
                <w:rFonts w:ascii="Arial Narrow" w:hAnsi="Arial Narrow" w:cs="Arial"/>
                <w:sz w:val="20"/>
                <w:szCs w:val="20"/>
              </w:rPr>
              <w:t>г. Новосибирск</w:t>
            </w:r>
          </w:p>
        </w:tc>
        <w:tc>
          <w:tcPr>
            <w:tcW w:w="1218" w:type="dxa"/>
            <w:vMerge/>
            <w:vAlign w:val="center"/>
            <w:hideMark/>
          </w:tcPr>
          <w:p w:rsidR="00A64028" w:rsidRPr="000F6109" w:rsidRDefault="00A64028" w:rsidP="00103148">
            <w:pPr>
              <w:spacing w:after="0"/>
              <w:rPr>
                <w:rFonts w:ascii="Arial Narrow" w:hAnsi="Arial Narrow" w:cs="Arial"/>
                <w:sz w:val="20"/>
                <w:szCs w:val="20"/>
              </w:rPr>
            </w:pPr>
          </w:p>
        </w:tc>
      </w:tr>
      <w:tr w:rsidR="00A64028" w:rsidRPr="000F6109" w:rsidTr="000F6109">
        <w:tc>
          <w:tcPr>
            <w:tcW w:w="460" w:type="dxa"/>
            <w:vMerge/>
            <w:vAlign w:val="center"/>
            <w:hideMark/>
          </w:tcPr>
          <w:p w:rsidR="00A64028" w:rsidRPr="000F6109" w:rsidRDefault="00A64028" w:rsidP="00103148">
            <w:pPr>
              <w:spacing w:after="0"/>
              <w:jc w:val="center"/>
              <w:rPr>
                <w:rFonts w:ascii="Arial Narrow" w:hAnsi="Arial Narrow" w:cs="Arial"/>
                <w:sz w:val="20"/>
                <w:szCs w:val="20"/>
              </w:rPr>
            </w:pPr>
          </w:p>
        </w:tc>
        <w:tc>
          <w:tcPr>
            <w:tcW w:w="2234" w:type="dxa"/>
            <w:shd w:val="clear" w:color="auto" w:fill="auto"/>
            <w:noWrap/>
            <w:vAlign w:val="bottom"/>
            <w:hideMark/>
          </w:tcPr>
          <w:p w:rsidR="00A64028" w:rsidRPr="000F6109" w:rsidRDefault="00A64028" w:rsidP="00A96FB4">
            <w:pPr>
              <w:spacing w:after="0"/>
              <w:ind w:left="107"/>
              <w:rPr>
                <w:rFonts w:ascii="Arial Narrow" w:hAnsi="Arial Narrow" w:cs="Arial"/>
                <w:sz w:val="20"/>
                <w:szCs w:val="20"/>
              </w:rPr>
            </w:pPr>
            <w:r w:rsidRPr="000F6109">
              <w:rPr>
                <w:rFonts w:ascii="Arial Narrow" w:hAnsi="Arial Narrow" w:cs="Arial"/>
                <w:sz w:val="20"/>
                <w:szCs w:val="20"/>
              </w:rPr>
              <w:t>ОАО "Хлебообъединение "Восход" ( в составе группы лиц c ЗАО "Восход-Бейкер")</w:t>
            </w:r>
          </w:p>
        </w:tc>
        <w:tc>
          <w:tcPr>
            <w:tcW w:w="3969" w:type="dxa"/>
            <w:shd w:val="clear" w:color="auto" w:fill="auto"/>
            <w:noWrap/>
            <w:vAlign w:val="bottom"/>
            <w:hideMark/>
          </w:tcPr>
          <w:p w:rsidR="00A64028" w:rsidRPr="000F6109" w:rsidRDefault="00A64028" w:rsidP="00A96FB4">
            <w:pPr>
              <w:spacing w:after="0"/>
              <w:ind w:left="141"/>
              <w:rPr>
                <w:rFonts w:ascii="Arial Narrow" w:hAnsi="Arial Narrow" w:cs="Arial"/>
                <w:sz w:val="20"/>
                <w:szCs w:val="20"/>
              </w:rPr>
            </w:pPr>
            <w:r w:rsidRPr="000F6109">
              <w:rPr>
                <w:rFonts w:ascii="Arial Narrow" w:hAnsi="Arial Narrow" w:cs="Arial"/>
                <w:sz w:val="20"/>
                <w:szCs w:val="20"/>
              </w:rPr>
              <w:t>Хлеб из смеси разных сортов ржаной и пшеничной муки ОКП 911350 7</w:t>
            </w:r>
          </w:p>
        </w:tc>
        <w:tc>
          <w:tcPr>
            <w:tcW w:w="1559" w:type="dxa"/>
            <w:shd w:val="clear" w:color="auto" w:fill="auto"/>
            <w:noWrap/>
            <w:vAlign w:val="bottom"/>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ОКВЭД 15.81</w:t>
            </w:r>
          </w:p>
        </w:tc>
        <w:tc>
          <w:tcPr>
            <w:tcW w:w="1134" w:type="dxa"/>
            <w:shd w:val="clear" w:color="auto" w:fill="auto"/>
            <w:noWrap/>
            <w:vAlign w:val="bottom"/>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&lt; 50 (в составе группы лиц)</w:t>
            </w:r>
          </w:p>
        </w:tc>
        <w:tc>
          <w:tcPr>
            <w:tcW w:w="4213" w:type="dxa"/>
            <w:shd w:val="clear" w:color="auto" w:fill="auto"/>
            <w:noWrap/>
            <w:vAlign w:val="bottom"/>
            <w:hideMark/>
          </w:tcPr>
          <w:p w:rsidR="00A64028" w:rsidRPr="000F6109" w:rsidRDefault="00A64028" w:rsidP="001820C5">
            <w:pPr>
              <w:spacing w:after="0"/>
              <w:ind w:left="142"/>
              <w:rPr>
                <w:rFonts w:ascii="Arial Narrow" w:hAnsi="Arial Narrow" w:cs="Arial"/>
                <w:sz w:val="20"/>
                <w:szCs w:val="20"/>
              </w:rPr>
            </w:pPr>
            <w:r w:rsidRPr="000F6109">
              <w:rPr>
                <w:rFonts w:ascii="Arial Narrow" w:hAnsi="Arial Narrow" w:cs="Arial"/>
                <w:sz w:val="20"/>
                <w:szCs w:val="20"/>
              </w:rPr>
              <w:t>г. Новосибирск</w:t>
            </w:r>
          </w:p>
        </w:tc>
        <w:tc>
          <w:tcPr>
            <w:tcW w:w="1218" w:type="dxa"/>
            <w:vMerge/>
            <w:vAlign w:val="center"/>
            <w:hideMark/>
          </w:tcPr>
          <w:p w:rsidR="00A64028" w:rsidRPr="000F6109" w:rsidRDefault="00A64028" w:rsidP="00103148">
            <w:pPr>
              <w:spacing w:after="0"/>
              <w:rPr>
                <w:rFonts w:ascii="Arial Narrow" w:hAnsi="Arial Narrow" w:cs="Arial"/>
                <w:sz w:val="20"/>
                <w:szCs w:val="20"/>
              </w:rPr>
            </w:pPr>
          </w:p>
        </w:tc>
      </w:tr>
      <w:tr w:rsidR="00A64028" w:rsidRPr="000F6109" w:rsidTr="000F6109">
        <w:tc>
          <w:tcPr>
            <w:tcW w:w="460" w:type="dxa"/>
            <w:shd w:val="clear" w:color="auto" w:fill="auto"/>
            <w:hideMark/>
          </w:tcPr>
          <w:p w:rsidR="00A64028" w:rsidRPr="000F6109" w:rsidRDefault="00A64028" w:rsidP="00103148">
            <w:pPr>
              <w:spacing w:after="0"/>
              <w:jc w:val="center"/>
              <w:rPr>
                <w:rFonts w:ascii="Arial Narrow" w:hAnsi="Arial Narrow" w:cs="Arial"/>
                <w:sz w:val="20"/>
                <w:szCs w:val="20"/>
              </w:rPr>
            </w:pPr>
            <w:r w:rsidRPr="000F6109">
              <w:rPr>
                <w:rFonts w:ascii="Arial Narrow" w:hAnsi="Arial Narrow" w:cs="Arial"/>
                <w:sz w:val="20"/>
                <w:szCs w:val="20"/>
              </w:rPr>
              <w:t>20</w:t>
            </w:r>
          </w:p>
        </w:tc>
        <w:tc>
          <w:tcPr>
            <w:tcW w:w="2234" w:type="dxa"/>
            <w:shd w:val="clear" w:color="auto" w:fill="auto"/>
            <w:hideMark/>
          </w:tcPr>
          <w:p w:rsidR="00A64028" w:rsidRPr="000F6109" w:rsidRDefault="00A64028" w:rsidP="00A96FB4">
            <w:pPr>
              <w:spacing w:after="0"/>
              <w:ind w:left="107"/>
              <w:rPr>
                <w:rFonts w:ascii="Arial Narrow" w:hAnsi="Arial Narrow" w:cs="Arial"/>
                <w:sz w:val="20"/>
                <w:szCs w:val="20"/>
              </w:rPr>
            </w:pPr>
            <w:r w:rsidRPr="000F6109">
              <w:rPr>
                <w:rFonts w:ascii="Arial Narrow" w:hAnsi="Arial Narrow" w:cs="Arial"/>
                <w:sz w:val="20"/>
                <w:szCs w:val="20"/>
              </w:rPr>
              <w:t>ЗАО "Шоколадная фабрика "Новосибирская"</w:t>
            </w:r>
          </w:p>
        </w:tc>
        <w:tc>
          <w:tcPr>
            <w:tcW w:w="3969" w:type="dxa"/>
            <w:shd w:val="clear" w:color="auto" w:fill="auto"/>
            <w:hideMark/>
          </w:tcPr>
          <w:p w:rsidR="00A64028" w:rsidRPr="000F6109" w:rsidRDefault="00A64028" w:rsidP="00A96FB4">
            <w:pPr>
              <w:spacing w:after="0"/>
              <w:ind w:left="141"/>
              <w:rPr>
                <w:rFonts w:ascii="Arial Narrow" w:hAnsi="Arial Narrow" w:cs="Arial"/>
                <w:sz w:val="20"/>
                <w:szCs w:val="20"/>
              </w:rPr>
            </w:pPr>
            <w:r w:rsidRPr="000F6109">
              <w:rPr>
                <w:rFonts w:ascii="Arial Narrow" w:hAnsi="Arial Narrow" w:cs="Arial"/>
                <w:sz w:val="20"/>
                <w:szCs w:val="20"/>
              </w:rPr>
              <w:t>Конфеты глазированные (шоколадной и шоколадно-молочной глазурью)</w:t>
            </w:r>
          </w:p>
        </w:tc>
        <w:tc>
          <w:tcPr>
            <w:tcW w:w="1559" w:type="dxa"/>
            <w:shd w:val="clear" w:color="auto" w:fill="auto"/>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ОКВЭД 15.84</w:t>
            </w:r>
          </w:p>
        </w:tc>
        <w:tc>
          <w:tcPr>
            <w:tcW w:w="1134" w:type="dxa"/>
            <w:shd w:val="clear" w:color="auto" w:fill="auto"/>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&gt; 65</w:t>
            </w:r>
          </w:p>
        </w:tc>
        <w:tc>
          <w:tcPr>
            <w:tcW w:w="4213" w:type="dxa"/>
            <w:shd w:val="clear" w:color="auto" w:fill="auto"/>
            <w:hideMark/>
          </w:tcPr>
          <w:p w:rsidR="00A64028" w:rsidRPr="000F6109" w:rsidRDefault="00A64028" w:rsidP="001820C5">
            <w:pPr>
              <w:spacing w:after="0"/>
              <w:ind w:left="142"/>
              <w:rPr>
                <w:rFonts w:ascii="Arial Narrow" w:hAnsi="Arial Narrow" w:cs="Arial"/>
                <w:sz w:val="20"/>
                <w:szCs w:val="20"/>
              </w:rPr>
            </w:pPr>
            <w:r w:rsidRPr="000F6109">
              <w:rPr>
                <w:rFonts w:ascii="Arial Narrow" w:hAnsi="Arial Narrow" w:cs="Arial"/>
                <w:sz w:val="20"/>
                <w:szCs w:val="20"/>
              </w:rPr>
              <w:t>Новосибирская область</w:t>
            </w:r>
          </w:p>
        </w:tc>
        <w:tc>
          <w:tcPr>
            <w:tcW w:w="1218" w:type="dxa"/>
            <w:vMerge/>
            <w:vAlign w:val="center"/>
            <w:hideMark/>
          </w:tcPr>
          <w:p w:rsidR="00A64028" w:rsidRPr="000F6109" w:rsidRDefault="00A64028" w:rsidP="00103148">
            <w:pPr>
              <w:spacing w:after="0"/>
              <w:rPr>
                <w:rFonts w:ascii="Arial Narrow" w:hAnsi="Arial Narrow" w:cs="Arial"/>
                <w:sz w:val="20"/>
                <w:szCs w:val="20"/>
              </w:rPr>
            </w:pPr>
          </w:p>
        </w:tc>
      </w:tr>
      <w:tr w:rsidR="00A64028" w:rsidRPr="000F6109" w:rsidTr="000F6109">
        <w:tc>
          <w:tcPr>
            <w:tcW w:w="460" w:type="dxa"/>
            <w:shd w:val="clear" w:color="auto" w:fill="auto"/>
            <w:hideMark/>
          </w:tcPr>
          <w:p w:rsidR="00A64028" w:rsidRPr="000F6109" w:rsidRDefault="00A64028" w:rsidP="00103148">
            <w:pPr>
              <w:spacing w:after="0"/>
              <w:jc w:val="center"/>
              <w:rPr>
                <w:rFonts w:ascii="Arial Narrow" w:hAnsi="Arial Narrow" w:cs="Arial"/>
                <w:sz w:val="20"/>
                <w:szCs w:val="20"/>
              </w:rPr>
            </w:pPr>
            <w:r w:rsidRPr="000F6109">
              <w:rPr>
                <w:rFonts w:ascii="Arial Narrow" w:hAnsi="Arial Narrow" w:cs="Arial"/>
                <w:sz w:val="20"/>
                <w:szCs w:val="20"/>
              </w:rPr>
              <w:t>21</w:t>
            </w:r>
          </w:p>
        </w:tc>
        <w:tc>
          <w:tcPr>
            <w:tcW w:w="2234" w:type="dxa"/>
            <w:shd w:val="clear" w:color="auto" w:fill="auto"/>
            <w:hideMark/>
          </w:tcPr>
          <w:p w:rsidR="00A64028" w:rsidRPr="000F6109" w:rsidRDefault="00A64028" w:rsidP="00A96FB4">
            <w:pPr>
              <w:spacing w:after="0"/>
              <w:ind w:left="107"/>
              <w:rPr>
                <w:rFonts w:ascii="Arial Narrow" w:hAnsi="Arial Narrow" w:cs="Arial"/>
                <w:sz w:val="20"/>
                <w:szCs w:val="20"/>
              </w:rPr>
            </w:pPr>
            <w:r w:rsidRPr="000F6109">
              <w:rPr>
                <w:rFonts w:ascii="Arial Narrow" w:hAnsi="Arial Narrow" w:cs="Arial"/>
                <w:sz w:val="20"/>
                <w:szCs w:val="20"/>
              </w:rPr>
              <w:t>ЗАО племзавод "Ирмень"</w:t>
            </w:r>
          </w:p>
        </w:tc>
        <w:tc>
          <w:tcPr>
            <w:tcW w:w="3969" w:type="dxa"/>
            <w:shd w:val="clear" w:color="auto" w:fill="auto"/>
            <w:hideMark/>
          </w:tcPr>
          <w:p w:rsidR="00A64028" w:rsidRPr="000F6109" w:rsidRDefault="00A64028" w:rsidP="00A96FB4">
            <w:pPr>
              <w:spacing w:after="0"/>
              <w:ind w:left="141"/>
              <w:rPr>
                <w:rFonts w:ascii="Arial Narrow" w:hAnsi="Arial Narrow" w:cs="Arial"/>
                <w:sz w:val="20"/>
                <w:szCs w:val="20"/>
              </w:rPr>
            </w:pPr>
            <w:r w:rsidRPr="000F6109">
              <w:rPr>
                <w:rFonts w:ascii="Arial Narrow" w:hAnsi="Arial Narrow" w:cs="Arial"/>
                <w:sz w:val="20"/>
                <w:szCs w:val="20"/>
              </w:rPr>
              <w:t>молоко питьевое пастеризованное 3,2% жирности</w:t>
            </w:r>
          </w:p>
        </w:tc>
        <w:tc>
          <w:tcPr>
            <w:tcW w:w="1559" w:type="dxa"/>
            <w:shd w:val="clear" w:color="auto" w:fill="auto"/>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ОКВЭД 15.51.11</w:t>
            </w:r>
          </w:p>
        </w:tc>
        <w:tc>
          <w:tcPr>
            <w:tcW w:w="1134" w:type="dxa"/>
            <w:shd w:val="clear" w:color="auto" w:fill="auto"/>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&lt; 50</w:t>
            </w:r>
          </w:p>
        </w:tc>
        <w:tc>
          <w:tcPr>
            <w:tcW w:w="4213" w:type="dxa"/>
            <w:shd w:val="clear" w:color="auto" w:fill="auto"/>
            <w:hideMark/>
          </w:tcPr>
          <w:p w:rsidR="00A64028" w:rsidRPr="000F6109" w:rsidRDefault="00A64028" w:rsidP="001820C5">
            <w:pPr>
              <w:spacing w:after="0"/>
              <w:ind w:left="142"/>
              <w:rPr>
                <w:rFonts w:ascii="Arial Narrow" w:hAnsi="Arial Narrow" w:cs="Arial"/>
                <w:sz w:val="20"/>
                <w:szCs w:val="20"/>
              </w:rPr>
            </w:pPr>
            <w:r w:rsidRPr="000F6109">
              <w:rPr>
                <w:rFonts w:ascii="Arial Narrow" w:hAnsi="Arial Narrow" w:cs="Arial"/>
                <w:sz w:val="20"/>
                <w:szCs w:val="20"/>
              </w:rPr>
              <w:t>Новосибирская область</w:t>
            </w:r>
          </w:p>
        </w:tc>
        <w:tc>
          <w:tcPr>
            <w:tcW w:w="1218" w:type="dxa"/>
            <w:vMerge/>
            <w:vAlign w:val="center"/>
            <w:hideMark/>
          </w:tcPr>
          <w:p w:rsidR="00A64028" w:rsidRPr="000F6109" w:rsidRDefault="00A64028" w:rsidP="00103148">
            <w:pPr>
              <w:spacing w:after="0"/>
              <w:rPr>
                <w:rFonts w:ascii="Arial Narrow" w:hAnsi="Arial Narrow" w:cs="Arial"/>
                <w:sz w:val="20"/>
                <w:szCs w:val="20"/>
              </w:rPr>
            </w:pPr>
          </w:p>
        </w:tc>
      </w:tr>
      <w:tr w:rsidR="00A64028" w:rsidRPr="000F6109" w:rsidTr="000F6109">
        <w:tc>
          <w:tcPr>
            <w:tcW w:w="460" w:type="dxa"/>
            <w:vMerge w:val="restart"/>
            <w:shd w:val="clear" w:color="auto" w:fill="auto"/>
            <w:noWrap/>
            <w:vAlign w:val="bottom"/>
            <w:hideMark/>
          </w:tcPr>
          <w:p w:rsidR="00A64028" w:rsidRPr="000F6109" w:rsidRDefault="00A64028" w:rsidP="00103148">
            <w:pPr>
              <w:spacing w:after="0"/>
              <w:jc w:val="center"/>
              <w:rPr>
                <w:rFonts w:ascii="Arial Narrow" w:hAnsi="Arial Narrow" w:cs="Arial"/>
                <w:sz w:val="20"/>
                <w:szCs w:val="20"/>
              </w:rPr>
            </w:pPr>
            <w:r w:rsidRPr="000F6109">
              <w:rPr>
                <w:rFonts w:ascii="Arial Narrow" w:hAnsi="Arial Narrow" w:cs="Arial"/>
                <w:sz w:val="20"/>
                <w:szCs w:val="20"/>
              </w:rPr>
              <w:t>22</w:t>
            </w:r>
          </w:p>
        </w:tc>
        <w:tc>
          <w:tcPr>
            <w:tcW w:w="2234" w:type="dxa"/>
            <w:shd w:val="clear" w:color="auto" w:fill="auto"/>
            <w:noWrap/>
            <w:vAlign w:val="bottom"/>
            <w:hideMark/>
          </w:tcPr>
          <w:p w:rsidR="00A64028" w:rsidRPr="000F6109" w:rsidRDefault="00A64028" w:rsidP="00A96FB4">
            <w:pPr>
              <w:spacing w:after="0"/>
              <w:ind w:left="107"/>
              <w:rPr>
                <w:rFonts w:ascii="Arial Narrow" w:hAnsi="Arial Narrow" w:cs="Arial"/>
                <w:sz w:val="20"/>
                <w:szCs w:val="20"/>
              </w:rPr>
            </w:pPr>
            <w:r w:rsidRPr="000F6109">
              <w:rPr>
                <w:rFonts w:ascii="Arial Narrow" w:hAnsi="Arial Narrow" w:cs="Arial"/>
                <w:sz w:val="20"/>
                <w:szCs w:val="20"/>
              </w:rPr>
              <w:t>ООО "Сибирская продовольственная компания"</w:t>
            </w:r>
          </w:p>
        </w:tc>
        <w:tc>
          <w:tcPr>
            <w:tcW w:w="3969" w:type="dxa"/>
            <w:shd w:val="clear" w:color="auto" w:fill="auto"/>
            <w:noWrap/>
            <w:vAlign w:val="bottom"/>
            <w:hideMark/>
          </w:tcPr>
          <w:p w:rsidR="00A64028" w:rsidRPr="000F6109" w:rsidRDefault="00A64028" w:rsidP="00A96FB4">
            <w:pPr>
              <w:spacing w:after="0"/>
              <w:ind w:left="141"/>
              <w:rPr>
                <w:rFonts w:ascii="Arial Narrow" w:hAnsi="Arial Narrow" w:cs="Arial"/>
                <w:sz w:val="20"/>
                <w:szCs w:val="20"/>
              </w:rPr>
            </w:pPr>
            <w:r w:rsidRPr="000F6109">
              <w:rPr>
                <w:rFonts w:ascii="Arial Narrow" w:hAnsi="Arial Narrow" w:cs="Arial"/>
                <w:sz w:val="20"/>
                <w:szCs w:val="20"/>
              </w:rPr>
              <w:t>колбасы полукопченые (включая из мяса птицы) ОКП 92 1330 Оптовая реализация</w:t>
            </w:r>
          </w:p>
        </w:tc>
        <w:tc>
          <w:tcPr>
            <w:tcW w:w="1559" w:type="dxa"/>
            <w:shd w:val="clear" w:color="auto" w:fill="auto"/>
            <w:noWrap/>
            <w:vAlign w:val="bottom"/>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ОКВЭД 15.1</w:t>
            </w:r>
          </w:p>
        </w:tc>
        <w:tc>
          <w:tcPr>
            <w:tcW w:w="1134" w:type="dxa"/>
            <w:shd w:val="clear" w:color="auto" w:fill="auto"/>
            <w:noWrap/>
            <w:vAlign w:val="bottom"/>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&gt; 35</w:t>
            </w:r>
          </w:p>
        </w:tc>
        <w:tc>
          <w:tcPr>
            <w:tcW w:w="4213" w:type="dxa"/>
            <w:shd w:val="clear" w:color="auto" w:fill="auto"/>
            <w:noWrap/>
            <w:vAlign w:val="bottom"/>
            <w:hideMark/>
          </w:tcPr>
          <w:p w:rsidR="00A64028" w:rsidRPr="000F6109" w:rsidRDefault="00A64028" w:rsidP="001820C5">
            <w:pPr>
              <w:spacing w:after="0"/>
              <w:ind w:left="142"/>
              <w:rPr>
                <w:rFonts w:ascii="Arial Narrow" w:hAnsi="Arial Narrow" w:cs="Arial"/>
                <w:sz w:val="20"/>
                <w:szCs w:val="20"/>
              </w:rPr>
            </w:pPr>
            <w:r w:rsidRPr="000F6109">
              <w:rPr>
                <w:rFonts w:ascii="Arial Narrow" w:hAnsi="Arial Narrow" w:cs="Arial"/>
                <w:sz w:val="20"/>
                <w:szCs w:val="20"/>
              </w:rPr>
              <w:t>Новосибирская область</w:t>
            </w:r>
          </w:p>
        </w:tc>
        <w:tc>
          <w:tcPr>
            <w:tcW w:w="1218" w:type="dxa"/>
            <w:vMerge/>
            <w:vAlign w:val="center"/>
            <w:hideMark/>
          </w:tcPr>
          <w:p w:rsidR="00A64028" w:rsidRPr="000F6109" w:rsidRDefault="00A64028" w:rsidP="00103148">
            <w:pPr>
              <w:spacing w:after="0"/>
              <w:rPr>
                <w:rFonts w:ascii="Arial Narrow" w:hAnsi="Arial Narrow" w:cs="Arial"/>
                <w:sz w:val="20"/>
                <w:szCs w:val="20"/>
              </w:rPr>
            </w:pPr>
          </w:p>
        </w:tc>
      </w:tr>
      <w:tr w:rsidR="00A64028" w:rsidRPr="000F6109" w:rsidTr="000F6109">
        <w:tc>
          <w:tcPr>
            <w:tcW w:w="460" w:type="dxa"/>
            <w:vMerge/>
            <w:vAlign w:val="center"/>
            <w:hideMark/>
          </w:tcPr>
          <w:p w:rsidR="00A64028" w:rsidRPr="000F6109" w:rsidRDefault="00A64028" w:rsidP="00103148">
            <w:pPr>
              <w:spacing w:after="0"/>
              <w:jc w:val="center"/>
              <w:rPr>
                <w:rFonts w:ascii="Arial Narrow" w:hAnsi="Arial Narrow" w:cs="Arial"/>
                <w:sz w:val="20"/>
                <w:szCs w:val="20"/>
              </w:rPr>
            </w:pPr>
          </w:p>
        </w:tc>
        <w:tc>
          <w:tcPr>
            <w:tcW w:w="2234" w:type="dxa"/>
            <w:shd w:val="clear" w:color="auto" w:fill="auto"/>
            <w:noWrap/>
            <w:vAlign w:val="bottom"/>
            <w:hideMark/>
          </w:tcPr>
          <w:p w:rsidR="00A64028" w:rsidRPr="000F6109" w:rsidRDefault="00A64028" w:rsidP="00A96FB4">
            <w:pPr>
              <w:spacing w:after="0"/>
              <w:ind w:left="107"/>
              <w:rPr>
                <w:rFonts w:ascii="Arial Narrow" w:hAnsi="Arial Narrow" w:cs="Arial"/>
                <w:sz w:val="20"/>
                <w:szCs w:val="20"/>
              </w:rPr>
            </w:pPr>
            <w:r w:rsidRPr="000F6109">
              <w:rPr>
                <w:rFonts w:ascii="Arial Narrow" w:hAnsi="Arial Narrow" w:cs="Arial"/>
                <w:sz w:val="20"/>
                <w:szCs w:val="20"/>
              </w:rPr>
              <w:t>ООО "Сибирская продовольственная компания"</w:t>
            </w:r>
          </w:p>
        </w:tc>
        <w:tc>
          <w:tcPr>
            <w:tcW w:w="3969" w:type="dxa"/>
            <w:shd w:val="clear" w:color="auto" w:fill="auto"/>
            <w:noWrap/>
            <w:vAlign w:val="bottom"/>
            <w:hideMark/>
          </w:tcPr>
          <w:p w:rsidR="00A64028" w:rsidRPr="000F6109" w:rsidRDefault="00A64028" w:rsidP="00A96FB4">
            <w:pPr>
              <w:spacing w:after="0"/>
              <w:ind w:left="141"/>
              <w:rPr>
                <w:rFonts w:ascii="Arial Narrow" w:hAnsi="Arial Narrow" w:cs="Arial"/>
                <w:sz w:val="20"/>
                <w:szCs w:val="20"/>
              </w:rPr>
            </w:pPr>
            <w:r w:rsidRPr="000F6109">
              <w:rPr>
                <w:rFonts w:ascii="Arial Narrow" w:hAnsi="Arial Narrow" w:cs="Arial"/>
                <w:sz w:val="20"/>
                <w:szCs w:val="20"/>
              </w:rPr>
              <w:t>изделия колбасные вареные ОКП 92 1310 Оптовая реализация</w:t>
            </w:r>
          </w:p>
        </w:tc>
        <w:tc>
          <w:tcPr>
            <w:tcW w:w="1559" w:type="dxa"/>
            <w:shd w:val="clear" w:color="auto" w:fill="auto"/>
            <w:noWrap/>
            <w:vAlign w:val="bottom"/>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ОКВЭД 15.1</w:t>
            </w:r>
          </w:p>
        </w:tc>
        <w:tc>
          <w:tcPr>
            <w:tcW w:w="1134" w:type="dxa"/>
            <w:shd w:val="clear" w:color="auto" w:fill="auto"/>
            <w:noWrap/>
            <w:vAlign w:val="bottom"/>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&gt; 50</w:t>
            </w:r>
          </w:p>
        </w:tc>
        <w:tc>
          <w:tcPr>
            <w:tcW w:w="4213" w:type="dxa"/>
            <w:shd w:val="clear" w:color="auto" w:fill="auto"/>
            <w:noWrap/>
            <w:vAlign w:val="bottom"/>
            <w:hideMark/>
          </w:tcPr>
          <w:p w:rsidR="00A64028" w:rsidRPr="000F6109" w:rsidRDefault="00A64028" w:rsidP="001820C5">
            <w:pPr>
              <w:spacing w:after="0"/>
              <w:ind w:left="142"/>
              <w:rPr>
                <w:rFonts w:ascii="Arial Narrow" w:hAnsi="Arial Narrow" w:cs="Arial"/>
                <w:sz w:val="20"/>
                <w:szCs w:val="20"/>
              </w:rPr>
            </w:pPr>
            <w:r w:rsidRPr="000F6109">
              <w:rPr>
                <w:rFonts w:ascii="Arial Narrow" w:hAnsi="Arial Narrow" w:cs="Arial"/>
                <w:sz w:val="20"/>
                <w:szCs w:val="20"/>
              </w:rPr>
              <w:t>Новосибирская область</w:t>
            </w:r>
          </w:p>
        </w:tc>
        <w:tc>
          <w:tcPr>
            <w:tcW w:w="1218" w:type="dxa"/>
            <w:vMerge/>
            <w:vAlign w:val="center"/>
            <w:hideMark/>
          </w:tcPr>
          <w:p w:rsidR="00A64028" w:rsidRPr="000F6109" w:rsidRDefault="00A64028" w:rsidP="00103148">
            <w:pPr>
              <w:spacing w:after="0"/>
              <w:rPr>
                <w:rFonts w:ascii="Arial Narrow" w:hAnsi="Arial Narrow" w:cs="Arial"/>
                <w:sz w:val="20"/>
                <w:szCs w:val="20"/>
              </w:rPr>
            </w:pPr>
          </w:p>
        </w:tc>
      </w:tr>
      <w:tr w:rsidR="00A64028" w:rsidRPr="000F6109" w:rsidTr="000F6109">
        <w:tc>
          <w:tcPr>
            <w:tcW w:w="460" w:type="dxa"/>
            <w:vMerge/>
            <w:vAlign w:val="center"/>
            <w:hideMark/>
          </w:tcPr>
          <w:p w:rsidR="00A64028" w:rsidRPr="000F6109" w:rsidRDefault="00A64028" w:rsidP="00103148">
            <w:pPr>
              <w:spacing w:after="0"/>
              <w:jc w:val="center"/>
              <w:rPr>
                <w:rFonts w:ascii="Arial Narrow" w:hAnsi="Arial Narrow" w:cs="Arial"/>
                <w:sz w:val="20"/>
                <w:szCs w:val="20"/>
              </w:rPr>
            </w:pPr>
          </w:p>
        </w:tc>
        <w:tc>
          <w:tcPr>
            <w:tcW w:w="2234" w:type="dxa"/>
            <w:shd w:val="clear" w:color="auto" w:fill="auto"/>
            <w:noWrap/>
            <w:vAlign w:val="bottom"/>
            <w:hideMark/>
          </w:tcPr>
          <w:p w:rsidR="00A64028" w:rsidRPr="000F6109" w:rsidRDefault="00A64028" w:rsidP="00A96FB4">
            <w:pPr>
              <w:spacing w:after="0"/>
              <w:ind w:left="107"/>
              <w:rPr>
                <w:rFonts w:ascii="Arial Narrow" w:hAnsi="Arial Narrow" w:cs="Arial"/>
                <w:sz w:val="20"/>
                <w:szCs w:val="20"/>
              </w:rPr>
            </w:pPr>
            <w:r w:rsidRPr="000F6109">
              <w:rPr>
                <w:rFonts w:ascii="Arial Narrow" w:hAnsi="Arial Narrow" w:cs="Arial"/>
                <w:sz w:val="20"/>
                <w:szCs w:val="20"/>
              </w:rPr>
              <w:t>ООО "Сибирская продовольственная компания"</w:t>
            </w:r>
          </w:p>
        </w:tc>
        <w:tc>
          <w:tcPr>
            <w:tcW w:w="3969" w:type="dxa"/>
            <w:shd w:val="clear" w:color="auto" w:fill="auto"/>
            <w:noWrap/>
            <w:vAlign w:val="bottom"/>
            <w:hideMark/>
          </w:tcPr>
          <w:p w:rsidR="00A64028" w:rsidRPr="000F6109" w:rsidRDefault="00A64028" w:rsidP="00A96FB4">
            <w:pPr>
              <w:spacing w:after="0"/>
              <w:ind w:left="141"/>
              <w:rPr>
                <w:rFonts w:ascii="Arial Narrow" w:hAnsi="Arial Narrow" w:cs="Arial"/>
                <w:sz w:val="20"/>
                <w:szCs w:val="20"/>
              </w:rPr>
            </w:pPr>
            <w:r w:rsidRPr="000F6109">
              <w:rPr>
                <w:rFonts w:ascii="Arial Narrow" w:hAnsi="Arial Narrow" w:cs="Arial"/>
                <w:sz w:val="20"/>
                <w:szCs w:val="20"/>
              </w:rPr>
              <w:t xml:space="preserve">сосиски и сардельки ОКП 92 1320 Оптовая реализация </w:t>
            </w:r>
          </w:p>
        </w:tc>
        <w:tc>
          <w:tcPr>
            <w:tcW w:w="1559" w:type="dxa"/>
            <w:shd w:val="clear" w:color="auto" w:fill="auto"/>
            <w:noWrap/>
            <w:vAlign w:val="bottom"/>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ОКВЭД 15.1</w:t>
            </w:r>
          </w:p>
        </w:tc>
        <w:tc>
          <w:tcPr>
            <w:tcW w:w="1134" w:type="dxa"/>
            <w:shd w:val="clear" w:color="auto" w:fill="auto"/>
            <w:noWrap/>
            <w:vAlign w:val="bottom"/>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&gt; 50</w:t>
            </w:r>
          </w:p>
        </w:tc>
        <w:tc>
          <w:tcPr>
            <w:tcW w:w="4213" w:type="dxa"/>
            <w:shd w:val="clear" w:color="auto" w:fill="auto"/>
            <w:noWrap/>
            <w:vAlign w:val="bottom"/>
            <w:hideMark/>
          </w:tcPr>
          <w:p w:rsidR="00A64028" w:rsidRPr="000F6109" w:rsidRDefault="00A64028" w:rsidP="001820C5">
            <w:pPr>
              <w:spacing w:after="0"/>
              <w:ind w:left="142"/>
              <w:rPr>
                <w:rFonts w:ascii="Arial Narrow" w:hAnsi="Arial Narrow" w:cs="Arial"/>
                <w:sz w:val="20"/>
                <w:szCs w:val="20"/>
              </w:rPr>
            </w:pPr>
            <w:r w:rsidRPr="000F6109">
              <w:rPr>
                <w:rFonts w:ascii="Arial Narrow" w:hAnsi="Arial Narrow" w:cs="Arial"/>
                <w:sz w:val="20"/>
                <w:szCs w:val="20"/>
              </w:rPr>
              <w:t>Новосибирская область</w:t>
            </w:r>
          </w:p>
        </w:tc>
        <w:tc>
          <w:tcPr>
            <w:tcW w:w="1218" w:type="dxa"/>
            <w:vMerge/>
            <w:vAlign w:val="center"/>
            <w:hideMark/>
          </w:tcPr>
          <w:p w:rsidR="00A64028" w:rsidRPr="000F6109" w:rsidRDefault="00A64028" w:rsidP="00103148">
            <w:pPr>
              <w:spacing w:after="0"/>
              <w:rPr>
                <w:rFonts w:ascii="Arial Narrow" w:hAnsi="Arial Narrow" w:cs="Arial"/>
                <w:sz w:val="20"/>
                <w:szCs w:val="20"/>
              </w:rPr>
            </w:pPr>
          </w:p>
        </w:tc>
      </w:tr>
      <w:tr w:rsidR="00A64028" w:rsidRPr="000F6109" w:rsidTr="000F6109">
        <w:tc>
          <w:tcPr>
            <w:tcW w:w="460" w:type="dxa"/>
            <w:shd w:val="clear" w:color="auto" w:fill="auto"/>
            <w:hideMark/>
          </w:tcPr>
          <w:p w:rsidR="00A64028" w:rsidRPr="000F6109" w:rsidRDefault="00A64028" w:rsidP="00103148">
            <w:pPr>
              <w:spacing w:after="0"/>
              <w:jc w:val="center"/>
              <w:rPr>
                <w:rFonts w:ascii="Arial Narrow" w:hAnsi="Arial Narrow" w:cs="Arial"/>
                <w:sz w:val="20"/>
                <w:szCs w:val="20"/>
              </w:rPr>
            </w:pPr>
            <w:r w:rsidRPr="000F6109">
              <w:rPr>
                <w:rFonts w:ascii="Arial Narrow" w:hAnsi="Arial Narrow" w:cs="Arial"/>
                <w:sz w:val="20"/>
                <w:szCs w:val="20"/>
              </w:rPr>
              <w:t>23</w:t>
            </w:r>
          </w:p>
        </w:tc>
        <w:tc>
          <w:tcPr>
            <w:tcW w:w="2234" w:type="dxa"/>
            <w:shd w:val="clear" w:color="auto" w:fill="auto"/>
            <w:hideMark/>
          </w:tcPr>
          <w:p w:rsidR="00A64028" w:rsidRPr="000F6109" w:rsidRDefault="00A64028" w:rsidP="00A96FB4">
            <w:pPr>
              <w:spacing w:after="0"/>
              <w:ind w:left="107"/>
              <w:rPr>
                <w:rFonts w:ascii="Arial Narrow" w:hAnsi="Arial Narrow" w:cs="Arial"/>
                <w:sz w:val="20"/>
                <w:szCs w:val="20"/>
              </w:rPr>
            </w:pPr>
            <w:r w:rsidRPr="000F6109">
              <w:rPr>
                <w:rFonts w:ascii="Arial Narrow" w:hAnsi="Arial Narrow" w:cs="Arial"/>
                <w:sz w:val="20"/>
                <w:szCs w:val="20"/>
              </w:rPr>
              <w:t>ОАО "Авангард"</w:t>
            </w:r>
          </w:p>
        </w:tc>
        <w:tc>
          <w:tcPr>
            <w:tcW w:w="3969" w:type="dxa"/>
            <w:shd w:val="clear" w:color="auto" w:fill="auto"/>
            <w:hideMark/>
          </w:tcPr>
          <w:p w:rsidR="00A64028" w:rsidRPr="000F6109" w:rsidRDefault="00A64028" w:rsidP="00A96FB4">
            <w:pPr>
              <w:spacing w:after="0"/>
              <w:ind w:left="141"/>
              <w:rPr>
                <w:rFonts w:ascii="Arial Narrow" w:hAnsi="Arial Narrow" w:cs="Arial"/>
                <w:sz w:val="20"/>
                <w:szCs w:val="20"/>
              </w:rPr>
            </w:pPr>
            <w:r w:rsidRPr="000F6109">
              <w:rPr>
                <w:rFonts w:ascii="Arial Narrow" w:hAnsi="Arial Narrow" w:cs="Arial"/>
                <w:sz w:val="20"/>
                <w:szCs w:val="20"/>
              </w:rPr>
              <w:t>Услуги по помолу ржи</w:t>
            </w:r>
          </w:p>
        </w:tc>
        <w:tc>
          <w:tcPr>
            <w:tcW w:w="1559" w:type="dxa"/>
            <w:shd w:val="clear" w:color="auto" w:fill="auto"/>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ОКВЭД 15.61.2</w:t>
            </w:r>
          </w:p>
        </w:tc>
        <w:tc>
          <w:tcPr>
            <w:tcW w:w="1134" w:type="dxa"/>
            <w:shd w:val="clear" w:color="auto" w:fill="auto"/>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&gt; 65</w:t>
            </w:r>
          </w:p>
        </w:tc>
        <w:tc>
          <w:tcPr>
            <w:tcW w:w="4213" w:type="dxa"/>
            <w:shd w:val="clear" w:color="auto" w:fill="auto"/>
            <w:hideMark/>
          </w:tcPr>
          <w:p w:rsidR="00A64028" w:rsidRPr="000F6109" w:rsidRDefault="00A64028" w:rsidP="001820C5">
            <w:pPr>
              <w:spacing w:after="0"/>
              <w:ind w:left="142"/>
              <w:rPr>
                <w:rFonts w:ascii="Arial Narrow" w:hAnsi="Arial Narrow" w:cs="Arial"/>
                <w:sz w:val="20"/>
                <w:szCs w:val="20"/>
              </w:rPr>
            </w:pPr>
            <w:r w:rsidRPr="000F6109">
              <w:rPr>
                <w:rFonts w:ascii="Arial Narrow" w:hAnsi="Arial Narrow" w:cs="Arial"/>
                <w:sz w:val="20"/>
                <w:szCs w:val="20"/>
              </w:rPr>
              <w:t>Новосибирская область</w:t>
            </w:r>
          </w:p>
        </w:tc>
        <w:tc>
          <w:tcPr>
            <w:tcW w:w="1218" w:type="dxa"/>
            <w:vMerge/>
            <w:vAlign w:val="center"/>
            <w:hideMark/>
          </w:tcPr>
          <w:p w:rsidR="00A64028" w:rsidRPr="000F6109" w:rsidRDefault="00A64028" w:rsidP="00103148">
            <w:pPr>
              <w:spacing w:after="0"/>
              <w:rPr>
                <w:rFonts w:ascii="Arial Narrow" w:hAnsi="Arial Narrow" w:cs="Arial"/>
                <w:sz w:val="20"/>
                <w:szCs w:val="20"/>
              </w:rPr>
            </w:pPr>
          </w:p>
        </w:tc>
      </w:tr>
      <w:tr w:rsidR="00A64028" w:rsidRPr="000F6109" w:rsidTr="000F6109">
        <w:tc>
          <w:tcPr>
            <w:tcW w:w="460" w:type="dxa"/>
            <w:shd w:val="clear" w:color="auto" w:fill="auto"/>
            <w:hideMark/>
          </w:tcPr>
          <w:p w:rsidR="00A64028" w:rsidRPr="000F6109" w:rsidRDefault="00A64028" w:rsidP="00103148">
            <w:pPr>
              <w:spacing w:after="0"/>
              <w:jc w:val="center"/>
              <w:rPr>
                <w:rFonts w:ascii="Arial Narrow" w:hAnsi="Arial Narrow" w:cs="Arial"/>
                <w:sz w:val="20"/>
                <w:szCs w:val="20"/>
              </w:rPr>
            </w:pPr>
            <w:r w:rsidRPr="000F6109">
              <w:rPr>
                <w:rFonts w:ascii="Arial Narrow" w:hAnsi="Arial Narrow" w:cs="Arial"/>
                <w:sz w:val="20"/>
                <w:szCs w:val="20"/>
              </w:rPr>
              <w:t>24</w:t>
            </w:r>
          </w:p>
        </w:tc>
        <w:tc>
          <w:tcPr>
            <w:tcW w:w="2234" w:type="dxa"/>
            <w:shd w:val="clear" w:color="auto" w:fill="auto"/>
            <w:hideMark/>
          </w:tcPr>
          <w:p w:rsidR="00A64028" w:rsidRPr="000F6109" w:rsidRDefault="00A64028" w:rsidP="00A96FB4">
            <w:pPr>
              <w:spacing w:after="0"/>
              <w:ind w:left="107"/>
              <w:rPr>
                <w:rFonts w:ascii="Arial Narrow" w:hAnsi="Arial Narrow" w:cs="Arial"/>
                <w:sz w:val="20"/>
                <w:szCs w:val="20"/>
              </w:rPr>
            </w:pPr>
            <w:r w:rsidRPr="000F6109">
              <w:rPr>
                <w:rFonts w:ascii="Arial Narrow" w:hAnsi="Arial Narrow" w:cs="Arial"/>
                <w:sz w:val="20"/>
                <w:szCs w:val="20"/>
              </w:rPr>
              <w:t>ОАО "Вимм-Билль-Данн"</w:t>
            </w:r>
          </w:p>
        </w:tc>
        <w:tc>
          <w:tcPr>
            <w:tcW w:w="3969" w:type="dxa"/>
            <w:shd w:val="clear" w:color="auto" w:fill="auto"/>
            <w:hideMark/>
          </w:tcPr>
          <w:p w:rsidR="00A64028" w:rsidRPr="000F6109" w:rsidRDefault="00A64028" w:rsidP="00A96FB4">
            <w:pPr>
              <w:spacing w:after="0"/>
              <w:ind w:left="141"/>
              <w:rPr>
                <w:rFonts w:ascii="Arial Narrow" w:hAnsi="Arial Narrow" w:cs="Arial"/>
                <w:sz w:val="20"/>
                <w:szCs w:val="20"/>
              </w:rPr>
            </w:pPr>
            <w:r w:rsidRPr="000F6109">
              <w:rPr>
                <w:rFonts w:ascii="Arial Narrow" w:hAnsi="Arial Narrow" w:cs="Arial"/>
                <w:sz w:val="20"/>
                <w:szCs w:val="20"/>
              </w:rPr>
              <w:t>молоко питьевое стерилизованное</w:t>
            </w:r>
          </w:p>
        </w:tc>
        <w:tc>
          <w:tcPr>
            <w:tcW w:w="1559" w:type="dxa"/>
            <w:shd w:val="clear" w:color="auto" w:fill="auto"/>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ОКВЭД 15.5</w:t>
            </w:r>
          </w:p>
        </w:tc>
        <w:tc>
          <w:tcPr>
            <w:tcW w:w="1134" w:type="dxa"/>
            <w:shd w:val="clear" w:color="auto" w:fill="auto"/>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&gt; 50</w:t>
            </w:r>
          </w:p>
        </w:tc>
        <w:tc>
          <w:tcPr>
            <w:tcW w:w="4213" w:type="dxa"/>
            <w:shd w:val="clear" w:color="auto" w:fill="auto"/>
            <w:hideMark/>
          </w:tcPr>
          <w:p w:rsidR="00A64028" w:rsidRPr="000F6109" w:rsidRDefault="00A64028" w:rsidP="001820C5">
            <w:pPr>
              <w:spacing w:after="0"/>
              <w:ind w:left="142"/>
              <w:rPr>
                <w:rFonts w:ascii="Arial Narrow" w:hAnsi="Arial Narrow" w:cs="Arial"/>
                <w:sz w:val="20"/>
                <w:szCs w:val="20"/>
              </w:rPr>
            </w:pPr>
            <w:r w:rsidRPr="000F6109">
              <w:rPr>
                <w:rFonts w:ascii="Arial Narrow" w:hAnsi="Arial Narrow" w:cs="Arial"/>
                <w:sz w:val="20"/>
                <w:szCs w:val="20"/>
              </w:rPr>
              <w:t>Новосибирская область</w:t>
            </w:r>
          </w:p>
        </w:tc>
        <w:tc>
          <w:tcPr>
            <w:tcW w:w="1218" w:type="dxa"/>
            <w:vMerge/>
            <w:vAlign w:val="center"/>
            <w:hideMark/>
          </w:tcPr>
          <w:p w:rsidR="00A64028" w:rsidRPr="000F6109" w:rsidRDefault="00A64028" w:rsidP="00103148">
            <w:pPr>
              <w:spacing w:after="0"/>
              <w:rPr>
                <w:rFonts w:ascii="Arial Narrow" w:hAnsi="Arial Narrow" w:cs="Arial"/>
                <w:sz w:val="20"/>
                <w:szCs w:val="20"/>
              </w:rPr>
            </w:pPr>
          </w:p>
        </w:tc>
      </w:tr>
    </w:tbl>
    <w:p w:rsidR="00A96FB4" w:rsidRDefault="00A96FB4"/>
    <w:p w:rsidR="00A96FB4" w:rsidRDefault="00A96FB4"/>
    <w:p w:rsidR="00A96FB4" w:rsidRPr="00A96FB4" w:rsidRDefault="00A96FB4" w:rsidP="00A96FB4">
      <w:pPr>
        <w:spacing w:after="0" w:line="240" w:lineRule="auto"/>
        <w:jc w:val="right"/>
        <w:rPr>
          <w:rFonts w:ascii="Arial Narrow" w:hAnsi="Arial Narrow"/>
          <w:sz w:val="24"/>
          <w:szCs w:val="24"/>
        </w:rPr>
      </w:pPr>
      <w:r w:rsidRPr="004865F9">
        <w:rPr>
          <w:rFonts w:ascii="Arial Narrow" w:hAnsi="Arial Narrow"/>
          <w:sz w:val="24"/>
          <w:szCs w:val="24"/>
        </w:rPr>
        <w:lastRenderedPageBreak/>
        <w:t xml:space="preserve">Продолжение Таблицы </w:t>
      </w:r>
      <w:r>
        <w:rPr>
          <w:rFonts w:ascii="Arial Narrow" w:hAnsi="Arial Narrow"/>
          <w:sz w:val="24"/>
          <w:szCs w:val="24"/>
        </w:rPr>
        <w:t>7.5</w:t>
      </w:r>
    </w:p>
    <w:tbl>
      <w:tblPr>
        <w:tblW w:w="14787" w:type="dxa"/>
        <w:tblInd w:w="-1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460"/>
        <w:gridCol w:w="2234"/>
        <w:gridCol w:w="3969"/>
        <w:gridCol w:w="1559"/>
        <w:gridCol w:w="1134"/>
        <w:gridCol w:w="4213"/>
        <w:gridCol w:w="1218"/>
      </w:tblGrid>
      <w:tr w:rsidR="00A64028" w:rsidRPr="000F6109" w:rsidTr="000F6109">
        <w:tc>
          <w:tcPr>
            <w:tcW w:w="460" w:type="dxa"/>
            <w:shd w:val="clear" w:color="auto" w:fill="auto"/>
            <w:hideMark/>
          </w:tcPr>
          <w:p w:rsidR="00A64028" w:rsidRPr="000F6109" w:rsidRDefault="00A64028" w:rsidP="00103148">
            <w:pPr>
              <w:spacing w:after="0"/>
              <w:jc w:val="center"/>
              <w:rPr>
                <w:rFonts w:ascii="Arial Narrow" w:hAnsi="Arial Narrow" w:cs="Arial"/>
                <w:sz w:val="20"/>
                <w:szCs w:val="20"/>
              </w:rPr>
            </w:pPr>
            <w:r w:rsidRPr="000F6109">
              <w:rPr>
                <w:rFonts w:ascii="Arial Narrow" w:hAnsi="Arial Narrow" w:cs="Arial"/>
                <w:sz w:val="20"/>
                <w:szCs w:val="20"/>
              </w:rPr>
              <w:t>25</w:t>
            </w:r>
          </w:p>
        </w:tc>
        <w:tc>
          <w:tcPr>
            <w:tcW w:w="2234" w:type="dxa"/>
            <w:shd w:val="clear" w:color="auto" w:fill="auto"/>
            <w:hideMark/>
          </w:tcPr>
          <w:p w:rsidR="00A64028" w:rsidRPr="000F6109" w:rsidRDefault="00A64028" w:rsidP="00A96FB4">
            <w:pPr>
              <w:spacing w:after="0"/>
              <w:ind w:left="107"/>
              <w:rPr>
                <w:rFonts w:ascii="Arial Narrow" w:hAnsi="Arial Narrow" w:cs="Arial"/>
                <w:sz w:val="20"/>
                <w:szCs w:val="20"/>
              </w:rPr>
            </w:pPr>
            <w:r w:rsidRPr="000F6109">
              <w:rPr>
                <w:rFonts w:ascii="Arial Narrow" w:hAnsi="Arial Narrow" w:cs="Arial"/>
                <w:sz w:val="20"/>
                <w:szCs w:val="20"/>
              </w:rPr>
              <w:t>МУП "Сузунское ЖКХ"</w:t>
            </w:r>
          </w:p>
        </w:tc>
        <w:tc>
          <w:tcPr>
            <w:tcW w:w="3969" w:type="dxa"/>
            <w:shd w:val="clear" w:color="auto" w:fill="auto"/>
            <w:hideMark/>
          </w:tcPr>
          <w:p w:rsidR="00A64028" w:rsidRPr="000F6109" w:rsidRDefault="00A64028" w:rsidP="00A96FB4">
            <w:pPr>
              <w:spacing w:after="0"/>
              <w:ind w:left="141"/>
              <w:rPr>
                <w:rFonts w:ascii="Arial Narrow" w:hAnsi="Arial Narrow" w:cs="Arial"/>
                <w:sz w:val="20"/>
                <w:szCs w:val="20"/>
              </w:rPr>
            </w:pPr>
            <w:r w:rsidRPr="000F6109">
              <w:rPr>
                <w:rFonts w:ascii="Arial Narrow" w:hAnsi="Arial Narrow" w:cs="Arial"/>
                <w:sz w:val="20"/>
                <w:szCs w:val="20"/>
              </w:rPr>
              <w:t>Услуги по обслуживанию и ремонту жилищного фонда</w:t>
            </w:r>
          </w:p>
        </w:tc>
        <w:tc>
          <w:tcPr>
            <w:tcW w:w="1559" w:type="dxa"/>
            <w:shd w:val="clear" w:color="auto" w:fill="auto"/>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ОКВЭД 93.05</w:t>
            </w:r>
          </w:p>
        </w:tc>
        <w:tc>
          <w:tcPr>
            <w:tcW w:w="1134" w:type="dxa"/>
            <w:shd w:val="clear" w:color="auto" w:fill="auto"/>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&gt; 65</w:t>
            </w:r>
          </w:p>
        </w:tc>
        <w:tc>
          <w:tcPr>
            <w:tcW w:w="4213" w:type="dxa"/>
            <w:shd w:val="clear" w:color="auto" w:fill="auto"/>
            <w:hideMark/>
          </w:tcPr>
          <w:p w:rsidR="00A64028" w:rsidRPr="000F6109" w:rsidRDefault="00A64028" w:rsidP="001820C5">
            <w:pPr>
              <w:spacing w:after="0"/>
              <w:ind w:left="142"/>
              <w:rPr>
                <w:rFonts w:ascii="Arial Narrow" w:hAnsi="Arial Narrow" w:cs="Arial"/>
                <w:sz w:val="20"/>
                <w:szCs w:val="20"/>
              </w:rPr>
            </w:pPr>
            <w:r w:rsidRPr="000F6109">
              <w:rPr>
                <w:rFonts w:ascii="Arial Narrow" w:hAnsi="Arial Narrow" w:cs="Arial"/>
                <w:sz w:val="20"/>
                <w:szCs w:val="20"/>
              </w:rPr>
              <w:t>р.п. Сузун Сузунского района НСО</w:t>
            </w:r>
          </w:p>
        </w:tc>
        <w:tc>
          <w:tcPr>
            <w:tcW w:w="1218" w:type="dxa"/>
            <w:shd w:val="clear" w:color="auto" w:fill="auto"/>
            <w:noWrap/>
            <w:vAlign w:val="bottom"/>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Рынок услуг ЖКХ (управляющие компании)</w:t>
            </w:r>
          </w:p>
        </w:tc>
      </w:tr>
      <w:tr w:rsidR="00A64028" w:rsidRPr="000F6109" w:rsidTr="000F6109">
        <w:tc>
          <w:tcPr>
            <w:tcW w:w="460" w:type="dxa"/>
            <w:shd w:val="clear" w:color="auto" w:fill="auto"/>
            <w:noWrap/>
            <w:vAlign w:val="bottom"/>
            <w:hideMark/>
          </w:tcPr>
          <w:p w:rsidR="00A64028" w:rsidRPr="000F6109" w:rsidRDefault="00A64028" w:rsidP="00103148">
            <w:pPr>
              <w:spacing w:after="0"/>
              <w:jc w:val="center"/>
              <w:rPr>
                <w:rFonts w:ascii="Arial Narrow" w:hAnsi="Arial Narrow" w:cs="Arial"/>
                <w:sz w:val="20"/>
                <w:szCs w:val="20"/>
              </w:rPr>
            </w:pPr>
            <w:r w:rsidRPr="000F6109">
              <w:rPr>
                <w:rFonts w:ascii="Arial Narrow" w:hAnsi="Arial Narrow" w:cs="Arial"/>
                <w:sz w:val="20"/>
                <w:szCs w:val="20"/>
              </w:rPr>
              <w:t>26</w:t>
            </w:r>
          </w:p>
        </w:tc>
        <w:tc>
          <w:tcPr>
            <w:tcW w:w="2234" w:type="dxa"/>
            <w:shd w:val="clear" w:color="auto" w:fill="auto"/>
            <w:noWrap/>
            <w:vAlign w:val="bottom"/>
            <w:hideMark/>
          </w:tcPr>
          <w:p w:rsidR="00A64028" w:rsidRPr="000F6109" w:rsidRDefault="00A64028" w:rsidP="00A96FB4">
            <w:pPr>
              <w:spacing w:after="0"/>
              <w:ind w:left="107"/>
              <w:rPr>
                <w:rFonts w:ascii="Arial Narrow" w:hAnsi="Arial Narrow" w:cs="Arial"/>
                <w:sz w:val="20"/>
                <w:szCs w:val="20"/>
              </w:rPr>
            </w:pPr>
            <w:r w:rsidRPr="000F6109">
              <w:rPr>
                <w:rFonts w:ascii="Arial Narrow" w:hAnsi="Arial Narrow" w:cs="Arial"/>
                <w:sz w:val="20"/>
                <w:szCs w:val="20"/>
              </w:rPr>
              <w:t>ООО "НовАКТВ"</w:t>
            </w:r>
          </w:p>
        </w:tc>
        <w:tc>
          <w:tcPr>
            <w:tcW w:w="3969" w:type="dxa"/>
            <w:shd w:val="clear" w:color="auto" w:fill="auto"/>
            <w:noWrap/>
            <w:vAlign w:val="bottom"/>
            <w:hideMark/>
          </w:tcPr>
          <w:p w:rsidR="00A64028" w:rsidRPr="000F6109" w:rsidRDefault="00A64028" w:rsidP="00A96FB4">
            <w:pPr>
              <w:spacing w:after="0"/>
              <w:ind w:left="141"/>
              <w:rPr>
                <w:rFonts w:ascii="Arial Narrow" w:hAnsi="Arial Narrow" w:cs="Arial"/>
                <w:sz w:val="20"/>
                <w:szCs w:val="20"/>
              </w:rPr>
            </w:pPr>
            <w:r w:rsidRPr="000F6109">
              <w:rPr>
                <w:rFonts w:ascii="Arial Narrow" w:hAnsi="Arial Narrow" w:cs="Arial"/>
                <w:sz w:val="20"/>
                <w:szCs w:val="20"/>
              </w:rPr>
              <w:t>Услуги по предоставлению доступа и пользования системами коллективного приема телевидения</w:t>
            </w:r>
          </w:p>
        </w:tc>
        <w:tc>
          <w:tcPr>
            <w:tcW w:w="1559" w:type="dxa"/>
            <w:shd w:val="clear" w:color="auto" w:fill="auto"/>
            <w:noWrap/>
            <w:vAlign w:val="bottom"/>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ОКВЭД 52.72.1</w:t>
            </w:r>
          </w:p>
        </w:tc>
        <w:tc>
          <w:tcPr>
            <w:tcW w:w="1134" w:type="dxa"/>
            <w:shd w:val="clear" w:color="auto" w:fill="auto"/>
            <w:noWrap/>
            <w:vAlign w:val="bottom"/>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&lt; 65</w:t>
            </w:r>
          </w:p>
        </w:tc>
        <w:tc>
          <w:tcPr>
            <w:tcW w:w="4213" w:type="dxa"/>
            <w:shd w:val="clear" w:color="auto" w:fill="auto"/>
            <w:noWrap/>
            <w:vAlign w:val="bottom"/>
            <w:hideMark/>
          </w:tcPr>
          <w:p w:rsidR="00A64028" w:rsidRPr="000F6109" w:rsidRDefault="00A64028" w:rsidP="001820C5">
            <w:pPr>
              <w:spacing w:after="0"/>
              <w:ind w:left="142"/>
              <w:rPr>
                <w:rFonts w:ascii="Arial Narrow" w:hAnsi="Arial Narrow" w:cs="Arial"/>
                <w:sz w:val="20"/>
                <w:szCs w:val="20"/>
              </w:rPr>
            </w:pPr>
            <w:r w:rsidRPr="000F6109">
              <w:rPr>
                <w:rFonts w:ascii="Arial Narrow" w:hAnsi="Arial Narrow" w:cs="Arial"/>
                <w:sz w:val="20"/>
                <w:szCs w:val="20"/>
              </w:rPr>
              <w:t>г. Новосибирск</w:t>
            </w:r>
          </w:p>
        </w:tc>
        <w:tc>
          <w:tcPr>
            <w:tcW w:w="1218" w:type="dxa"/>
            <w:vMerge w:val="restart"/>
            <w:shd w:val="clear" w:color="auto" w:fill="auto"/>
            <w:noWrap/>
            <w:vAlign w:val="bottom"/>
            <w:hideMark/>
          </w:tcPr>
          <w:p w:rsidR="00A64028" w:rsidRPr="000F6109" w:rsidRDefault="00A64028" w:rsidP="00103148">
            <w:pPr>
              <w:spacing w:after="0"/>
              <w:jc w:val="center"/>
              <w:rPr>
                <w:rFonts w:ascii="Arial Narrow" w:hAnsi="Arial Narrow" w:cs="Arial"/>
                <w:sz w:val="20"/>
                <w:szCs w:val="20"/>
              </w:rPr>
            </w:pPr>
            <w:r w:rsidRPr="000F6109">
              <w:rPr>
                <w:rFonts w:ascii="Arial Narrow" w:hAnsi="Arial Narrow" w:cs="Arial"/>
                <w:sz w:val="20"/>
                <w:szCs w:val="20"/>
              </w:rPr>
              <w:t>Рынок услуг связи</w:t>
            </w:r>
          </w:p>
        </w:tc>
      </w:tr>
      <w:tr w:rsidR="00A64028" w:rsidRPr="000F6109" w:rsidTr="000F6109">
        <w:tc>
          <w:tcPr>
            <w:tcW w:w="460" w:type="dxa"/>
            <w:shd w:val="clear" w:color="auto" w:fill="auto"/>
            <w:noWrap/>
            <w:vAlign w:val="bottom"/>
            <w:hideMark/>
          </w:tcPr>
          <w:p w:rsidR="00A64028" w:rsidRPr="000F6109" w:rsidRDefault="00A64028" w:rsidP="00103148">
            <w:pPr>
              <w:spacing w:after="0"/>
              <w:jc w:val="center"/>
              <w:rPr>
                <w:rFonts w:ascii="Arial Narrow" w:hAnsi="Arial Narrow" w:cs="Arial"/>
                <w:sz w:val="20"/>
                <w:szCs w:val="20"/>
              </w:rPr>
            </w:pPr>
            <w:r w:rsidRPr="000F6109">
              <w:rPr>
                <w:rFonts w:ascii="Arial Narrow" w:hAnsi="Arial Narrow" w:cs="Arial"/>
                <w:sz w:val="20"/>
                <w:szCs w:val="20"/>
              </w:rPr>
              <w:t>27</w:t>
            </w:r>
          </w:p>
        </w:tc>
        <w:tc>
          <w:tcPr>
            <w:tcW w:w="2234" w:type="dxa"/>
            <w:shd w:val="clear" w:color="auto" w:fill="auto"/>
            <w:noWrap/>
            <w:vAlign w:val="bottom"/>
            <w:hideMark/>
          </w:tcPr>
          <w:p w:rsidR="00A64028" w:rsidRPr="000F6109" w:rsidRDefault="00A64028" w:rsidP="00A96FB4">
            <w:pPr>
              <w:spacing w:after="0"/>
              <w:ind w:left="107"/>
              <w:rPr>
                <w:rFonts w:ascii="Arial Narrow" w:hAnsi="Arial Narrow" w:cs="Arial"/>
                <w:sz w:val="20"/>
                <w:szCs w:val="20"/>
              </w:rPr>
            </w:pPr>
            <w:r w:rsidRPr="000F6109">
              <w:rPr>
                <w:rFonts w:ascii="Arial Narrow" w:hAnsi="Arial Narrow" w:cs="Arial"/>
                <w:sz w:val="20"/>
                <w:szCs w:val="20"/>
              </w:rPr>
              <w:t>ООО "НовЭЗ-Телеком"</w:t>
            </w:r>
          </w:p>
        </w:tc>
        <w:tc>
          <w:tcPr>
            <w:tcW w:w="3969" w:type="dxa"/>
            <w:shd w:val="clear" w:color="auto" w:fill="auto"/>
            <w:noWrap/>
            <w:vAlign w:val="bottom"/>
            <w:hideMark/>
          </w:tcPr>
          <w:p w:rsidR="00A64028" w:rsidRPr="000F6109" w:rsidRDefault="00A64028" w:rsidP="00A96FB4">
            <w:pPr>
              <w:spacing w:after="0"/>
              <w:ind w:left="141"/>
              <w:rPr>
                <w:rFonts w:ascii="Arial Narrow" w:hAnsi="Arial Narrow" w:cs="Arial"/>
                <w:sz w:val="20"/>
                <w:szCs w:val="20"/>
              </w:rPr>
            </w:pPr>
            <w:r w:rsidRPr="000F6109">
              <w:rPr>
                <w:rFonts w:ascii="Arial Narrow" w:hAnsi="Arial Narrow" w:cs="Arial"/>
                <w:sz w:val="20"/>
                <w:szCs w:val="20"/>
              </w:rPr>
              <w:t>услуги местной телефонной связи ОКУН 032000</w:t>
            </w:r>
          </w:p>
        </w:tc>
        <w:tc>
          <w:tcPr>
            <w:tcW w:w="1559" w:type="dxa"/>
            <w:shd w:val="clear" w:color="auto" w:fill="auto"/>
            <w:noWrap/>
            <w:vAlign w:val="bottom"/>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ОКВЭД 64.2</w:t>
            </w:r>
          </w:p>
        </w:tc>
        <w:tc>
          <w:tcPr>
            <w:tcW w:w="1134" w:type="dxa"/>
            <w:shd w:val="clear" w:color="auto" w:fill="auto"/>
            <w:noWrap/>
            <w:vAlign w:val="bottom"/>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&gt; 50</w:t>
            </w:r>
          </w:p>
        </w:tc>
        <w:tc>
          <w:tcPr>
            <w:tcW w:w="4213" w:type="dxa"/>
            <w:shd w:val="clear" w:color="auto" w:fill="auto"/>
            <w:noWrap/>
            <w:vAlign w:val="bottom"/>
            <w:hideMark/>
          </w:tcPr>
          <w:p w:rsidR="00A64028" w:rsidRPr="000F6109" w:rsidRDefault="00A64028" w:rsidP="001820C5">
            <w:pPr>
              <w:spacing w:after="0"/>
              <w:ind w:left="142"/>
              <w:rPr>
                <w:rFonts w:ascii="Arial Narrow" w:hAnsi="Arial Narrow" w:cs="Arial"/>
                <w:sz w:val="20"/>
                <w:szCs w:val="20"/>
              </w:rPr>
            </w:pPr>
            <w:r w:rsidRPr="000F6109">
              <w:rPr>
                <w:rFonts w:ascii="Arial Narrow" w:hAnsi="Arial Narrow" w:cs="Arial"/>
                <w:sz w:val="20"/>
                <w:szCs w:val="20"/>
              </w:rPr>
              <w:t>р.п. Линево Искитимского района Новосибирской области</w:t>
            </w:r>
          </w:p>
        </w:tc>
        <w:tc>
          <w:tcPr>
            <w:tcW w:w="1218" w:type="dxa"/>
            <w:vMerge/>
            <w:vAlign w:val="center"/>
            <w:hideMark/>
          </w:tcPr>
          <w:p w:rsidR="00A64028" w:rsidRPr="000F6109" w:rsidRDefault="00A64028" w:rsidP="00103148">
            <w:pPr>
              <w:spacing w:after="0"/>
              <w:rPr>
                <w:rFonts w:ascii="Arial Narrow" w:hAnsi="Arial Narrow" w:cs="Arial"/>
                <w:sz w:val="20"/>
                <w:szCs w:val="20"/>
              </w:rPr>
            </w:pPr>
          </w:p>
        </w:tc>
      </w:tr>
      <w:tr w:rsidR="00A64028" w:rsidRPr="000F6109" w:rsidTr="000F6109">
        <w:tc>
          <w:tcPr>
            <w:tcW w:w="460" w:type="dxa"/>
            <w:shd w:val="clear" w:color="auto" w:fill="auto"/>
            <w:noWrap/>
            <w:vAlign w:val="bottom"/>
            <w:hideMark/>
          </w:tcPr>
          <w:p w:rsidR="00A64028" w:rsidRPr="000F6109" w:rsidRDefault="00A64028" w:rsidP="00103148">
            <w:pPr>
              <w:spacing w:after="0"/>
              <w:jc w:val="center"/>
              <w:rPr>
                <w:rFonts w:ascii="Arial Narrow" w:hAnsi="Arial Narrow" w:cs="Arial"/>
                <w:sz w:val="20"/>
                <w:szCs w:val="20"/>
              </w:rPr>
            </w:pPr>
            <w:r w:rsidRPr="000F6109">
              <w:rPr>
                <w:rFonts w:ascii="Arial Narrow" w:hAnsi="Arial Narrow" w:cs="Arial"/>
                <w:sz w:val="20"/>
                <w:szCs w:val="20"/>
              </w:rPr>
              <w:t>28</w:t>
            </w:r>
          </w:p>
        </w:tc>
        <w:tc>
          <w:tcPr>
            <w:tcW w:w="2234" w:type="dxa"/>
            <w:shd w:val="clear" w:color="auto" w:fill="auto"/>
            <w:noWrap/>
            <w:vAlign w:val="bottom"/>
            <w:hideMark/>
          </w:tcPr>
          <w:p w:rsidR="00A64028" w:rsidRPr="000F6109" w:rsidRDefault="00A64028" w:rsidP="00A96FB4">
            <w:pPr>
              <w:spacing w:after="0"/>
              <w:ind w:left="107"/>
              <w:rPr>
                <w:rFonts w:ascii="Arial Narrow" w:hAnsi="Arial Narrow" w:cs="Arial"/>
                <w:sz w:val="20"/>
                <w:szCs w:val="20"/>
              </w:rPr>
            </w:pPr>
            <w:r w:rsidRPr="000F6109">
              <w:rPr>
                <w:rFonts w:ascii="Arial Narrow" w:hAnsi="Arial Narrow" w:cs="Arial"/>
                <w:sz w:val="20"/>
                <w:szCs w:val="20"/>
              </w:rPr>
              <w:t>ООО "Радиан"</w:t>
            </w:r>
          </w:p>
        </w:tc>
        <w:tc>
          <w:tcPr>
            <w:tcW w:w="3969" w:type="dxa"/>
            <w:shd w:val="clear" w:color="auto" w:fill="auto"/>
            <w:noWrap/>
            <w:vAlign w:val="bottom"/>
            <w:hideMark/>
          </w:tcPr>
          <w:p w:rsidR="00A64028" w:rsidRPr="000F6109" w:rsidRDefault="00A64028" w:rsidP="00A96FB4">
            <w:pPr>
              <w:spacing w:after="0"/>
              <w:ind w:left="141"/>
              <w:rPr>
                <w:rFonts w:ascii="Arial Narrow" w:hAnsi="Arial Narrow" w:cs="Arial"/>
                <w:sz w:val="20"/>
                <w:szCs w:val="20"/>
              </w:rPr>
            </w:pPr>
            <w:r w:rsidRPr="000F6109">
              <w:rPr>
                <w:rFonts w:ascii="Arial Narrow" w:hAnsi="Arial Narrow" w:cs="Arial"/>
                <w:sz w:val="20"/>
                <w:szCs w:val="20"/>
              </w:rPr>
              <w:t>Услуги по предоставлению доступа и пользования системами коллективного приема телевидения</w:t>
            </w:r>
          </w:p>
        </w:tc>
        <w:tc>
          <w:tcPr>
            <w:tcW w:w="1559" w:type="dxa"/>
            <w:shd w:val="clear" w:color="auto" w:fill="auto"/>
            <w:noWrap/>
            <w:vAlign w:val="bottom"/>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ОКВЭД 45.31</w:t>
            </w:r>
          </w:p>
        </w:tc>
        <w:tc>
          <w:tcPr>
            <w:tcW w:w="1134" w:type="dxa"/>
            <w:shd w:val="clear" w:color="auto" w:fill="auto"/>
            <w:noWrap/>
            <w:vAlign w:val="bottom"/>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&lt; 65</w:t>
            </w:r>
          </w:p>
        </w:tc>
        <w:tc>
          <w:tcPr>
            <w:tcW w:w="4213" w:type="dxa"/>
            <w:shd w:val="clear" w:color="auto" w:fill="auto"/>
            <w:noWrap/>
            <w:vAlign w:val="bottom"/>
            <w:hideMark/>
          </w:tcPr>
          <w:p w:rsidR="00A64028" w:rsidRPr="000F6109" w:rsidRDefault="00A64028" w:rsidP="001820C5">
            <w:pPr>
              <w:spacing w:after="0"/>
              <w:ind w:left="142"/>
              <w:rPr>
                <w:rFonts w:ascii="Arial Narrow" w:hAnsi="Arial Narrow" w:cs="Arial"/>
                <w:sz w:val="20"/>
                <w:szCs w:val="20"/>
              </w:rPr>
            </w:pPr>
            <w:r w:rsidRPr="000F6109">
              <w:rPr>
                <w:rFonts w:ascii="Arial Narrow" w:hAnsi="Arial Narrow" w:cs="Arial"/>
                <w:sz w:val="20"/>
                <w:szCs w:val="20"/>
              </w:rPr>
              <w:t>г. Новосибирск</w:t>
            </w:r>
          </w:p>
        </w:tc>
        <w:tc>
          <w:tcPr>
            <w:tcW w:w="1218" w:type="dxa"/>
            <w:vMerge/>
            <w:vAlign w:val="center"/>
            <w:hideMark/>
          </w:tcPr>
          <w:p w:rsidR="00A64028" w:rsidRPr="000F6109" w:rsidRDefault="00A64028" w:rsidP="00103148">
            <w:pPr>
              <w:spacing w:after="0"/>
              <w:rPr>
                <w:rFonts w:ascii="Arial Narrow" w:hAnsi="Arial Narrow" w:cs="Arial"/>
                <w:sz w:val="20"/>
                <w:szCs w:val="20"/>
              </w:rPr>
            </w:pPr>
          </w:p>
        </w:tc>
      </w:tr>
      <w:tr w:rsidR="00A64028" w:rsidRPr="000F6109" w:rsidTr="000F6109">
        <w:tc>
          <w:tcPr>
            <w:tcW w:w="460" w:type="dxa"/>
            <w:shd w:val="clear" w:color="auto" w:fill="auto"/>
            <w:noWrap/>
            <w:vAlign w:val="bottom"/>
            <w:hideMark/>
          </w:tcPr>
          <w:p w:rsidR="00A64028" w:rsidRPr="000F6109" w:rsidRDefault="00A64028" w:rsidP="00103148">
            <w:pPr>
              <w:spacing w:after="0"/>
              <w:jc w:val="center"/>
              <w:rPr>
                <w:rFonts w:ascii="Arial Narrow" w:hAnsi="Arial Narrow" w:cs="Arial"/>
                <w:sz w:val="20"/>
                <w:szCs w:val="20"/>
              </w:rPr>
            </w:pPr>
            <w:r w:rsidRPr="000F6109">
              <w:rPr>
                <w:rFonts w:ascii="Arial Narrow" w:hAnsi="Arial Narrow" w:cs="Arial"/>
                <w:sz w:val="20"/>
                <w:szCs w:val="20"/>
              </w:rPr>
              <w:t>29</w:t>
            </w:r>
          </w:p>
        </w:tc>
        <w:tc>
          <w:tcPr>
            <w:tcW w:w="2234" w:type="dxa"/>
            <w:shd w:val="clear" w:color="auto" w:fill="auto"/>
            <w:noWrap/>
            <w:vAlign w:val="bottom"/>
            <w:hideMark/>
          </w:tcPr>
          <w:p w:rsidR="00A64028" w:rsidRPr="000F6109" w:rsidRDefault="00A64028" w:rsidP="00A96FB4">
            <w:pPr>
              <w:spacing w:after="0"/>
              <w:ind w:left="107"/>
              <w:rPr>
                <w:rFonts w:ascii="Arial Narrow" w:hAnsi="Arial Narrow" w:cs="Arial"/>
                <w:sz w:val="20"/>
                <w:szCs w:val="20"/>
              </w:rPr>
            </w:pPr>
            <w:r w:rsidRPr="000F6109">
              <w:rPr>
                <w:rFonts w:ascii="Arial Narrow" w:hAnsi="Arial Narrow" w:cs="Arial"/>
                <w:sz w:val="20"/>
                <w:szCs w:val="20"/>
              </w:rPr>
              <w:t>ФГУП "Почта России"</w:t>
            </w:r>
          </w:p>
        </w:tc>
        <w:tc>
          <w:tcPr>
            <w:tcW w:w="3969" w:type="dxa"/>
            <w:shd w:val="clear" w:color="auto" w:fill="auto"/>
            <w:noWrap/>
            <w:vAlign w:val="bottom"/>
            <w:hideMark/>
          </w:tcPr>
          <w:p w:rsidR="00A64028" w:rsidRPr="000F6109" w:rsidRDefault="00A64028" w:rsidP="00A96FB4">
            <w:pPr>
              <w:spacing w:after="0"/>
              <w:ind w:left="141"/>
              <w:rPr>
                <w:rFonts w:ascii="Arial Narrow" w:hAnsi="Arial Narrow" w:cs="Arial"/>
                <w:sz w:val="20"/>
                <w:szCs w:val="20"/>
              </w:rPr>
            </w:pPr>
            <w:r w:rsidRPr="000F6109">
              <w:rPr>
                <w:rFonts w:ascii="Arial Narrow" w:hAnsi="Arial Narrow" w:cs="Arial"/>
                <w:sz w:val="20"/>
                <w:szCs w:val="20"/>
              </w:rPr>
              <w:t>Услуги по предоставлению в аренду ячеек абонементных почтовых шкафов</w:t>
            </w:r>
          </w:p>
        </w:tc>
        <w:tc>
          <w:tcPr>
            <w:tcW w:w="1559" w:type="dxa"/>
            <w:shd w:val="clear" w:color="auto" w:fill="auto"/>
            <w:noWrap/>
            <w:vAlign w:val="bottom"/>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ОКВЭД 64.11</w:t>
            </w:r>
          </w:p>
        </w:tc>
        <w:tc>
          <w:tcPr>
            <w:tcW w:w="1134" w:type="dxa"/>
            <w:shd w:val="clear" w:color="auto" w:fill="auto"/>
            <w:noWrap/>
            <w:vAlign w:val="bottom"/>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&gt; 50</w:t>
            </w:r>
          </w:p>
        </w:tc>
        <w:tc>
          <w:tcPr>
            <w:tcW w:w="4213" w:type="dxa"/>
            <w:shd w:val="clear" w:color="auto" w:fill="auto"/>
            <w:noWrap/>
            <w:vAlign w:val="bottom"/>
            <w:hideMark/>
          </w:tcPr>
          <w:p w:rsidR="00A64028" w:rsidRPr="000F6109" w:rsidRDefault="00A64028" w:rsidP="001820C5">
            <w:pPr>
              <w:spacing w:after="0"/>
              <w:ind w:left="142"/>
              <w:rPr>
                <w:rFonts w:ascii="Arial Narrow" w:hAnsi="Arial Narrow" w:cs="Arial"/>
                <w:sz w:val="20"/>
                <w:szCs w:val="20"/>
              </w:rPr>
            </w:pPr>
            <w:r w:rsidRPr="000F6109">
              <w:rPr>
                <w:rFonts w:ascii="Arial Narrow" w:hAnsi="Arial Narrow" w:cs="Arial"/>
                <w:sz w:val="20"/>
                <w:szCs w:val="20"/>
              </w:rPr>
              <w:t>Новосибирская область</w:t>
            </w:r>
          </w:p>
        </w:tc>
        <w:tc>
          <w:tcPr>
            <w:tcW w:w="1218" w:type="dxa"/>
            <w:vMerge/>
            <w:vAlign w:val="center"/>
            <w:hideMark/>
          </w:tcPr>
          <w:p w:rsidR="00A64028" w:rsidRPr="000F6109" w:rsidRDefault="00A64028" w:rsidP="00103148">
            <w:pPr>
              <w:spacing w:after="0"/>
              <w:rPr>
                <w:rFonts w:ascii="Arial Narrow" w:hAnsi="Arial Narrow" w:cs="Arial"/>
                <w:sz w:val="20"/>
                <w:szCs w:val="20"/>
              </w:rPr>
            </w:pPr>
          </w:p>
        </w:tc>
      </w:tr>
      <w:tr w:rsidR="00A64028" w:rsidRPr="000F6109" w:rsidTr="000F6109">
        <w:tc>
          <w:tcPr>
            <w:tcW w:w="460" w:type="dxa"/>
            <w:shd w:val="clear" w:color="auto" w:fill="auto"/>
            <w:hideMark/>
          </w:tcPr>
          <w:p w:rsidR="00A64028" w:rsidRPr="000F6109" w:rsidRDefault="00A64028" w:rsidP="00103148">
            <w:pPr>
              <w:spacing w:after="0"/>
              <w:jc w:val="center"/>
              <w:rPr>
                <w:rFonts w:ascii="Arial Narrow" w:hAnsi="Arial Narrow" w:cs="Arial"/>
                <w:sz w:val="20"/>
                <w:szCs w:val="20"/>
              </w:rPr>
            </w:pPr>
            <w:r w:rsidRPr="000F6109">
              <w:rPr>
                <w:rFonts w:ascii="Arial Narrow" w:hAnsi="Arial Narrow" w:cs="Arial"/>
                <w:sz w:val="20"/>
                <w:szCs w:val="20"/>
              </w:rPr>
              <w:t>30</w:t>
            </w:r>
          </w:p>
        </w:tc>
        <w:tc>
          <w:tcPr>
            <w:tcW w:w="2234" w:type="dxa"/>
            <w:shd w:val="clear" w:color="auto" w:fill="auto"/>
            <w:hideMark/>
          </w:tcPr>
          <w:p w:rsidR="00A64028" w:rsidRPr="000F6109" w:rsidRDefault="00A64028" w:rsidP="00A96FB4">
            <w:pPr>
              <w:spacing w:after="0"/>
              <w:ind w:left="107"/>
              <w:rPr>
                <w:rFonts w:ascii="Arial Narrow" w:hAnsi="Arial Narrow" w:cs="Arial"/>
                <w:sz w:val="20"/>
                <w:szCs w:val="20"/>
              </w:rPr>
            </w:pPr>
            <w:r w:rsidRPr="000F6109">
              <w:rPr>
                <w:rFonts w:ascii="Arial Narrow" w:hAnsi="Arial Narrow" w:cs="Arial"/>
                <w:sz w:val="20"/>
                <w:szCs w:val="20"/>
              </w:rPr>
              <w:t>МУП "Сузунское ЖКХ"</w:t>
            </w:r>
          </w:p>
        </w:tc>
        <w:tc>
          <w:tcPr>
            <w:tcW w:w="3969" w:type="dxa"/>
            <w:shd w:val="clear" w:color="auto" w:fill="auto"/>
            <w:hideMark/>
          </w:tcPr>
          <w:p w:rsidR="00A64028" w:rsidRPr="000F6109" w:rsidRDefault="00A64028" w:rsidP="00A96FB4">
            <w:pPr>
              <w:spacing w:after="0"/>
              <w:ind w:left="141"/>
              <w:rPr>
                <w:rFonts w:ascii="Arial Narrow" w:hAnsi="Arial Narrow" w:cs="Arial"/>
                <w:sz w:val="20"/>
                <w:szCs w:val="20"/>
              </w:rPr>
            </w:pPr>
            <w:r w:rsidRPr="000F6109">
              <w:rPr>
                <w:rFonts w:ascii="Arial Narrow" w:hAnsi="Arial Narrow" w:cs="Arial"/>
                <w:sz w:val="20"/>
                <w:szCs w:val="20"/>
              </w:rPr>
              <w:t>Услуги по вывозу твердых бытовых отходов</w:t>
            </w:r>
          </w:p>
        </w:tc>
        <w:tc>
          <w:tcPr>
            <w:tcW w:w="1559" w:type="dxa"/>
            <w:shd w:val="clear" w:color="auto" w:fill="auto"/>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ОКВЭД 90.00.3</w:t>
            </w:r>
          </w:p>
        </w:tc>
        <w:tc>
          <w:tcPr>
            <w:tcW w:w="1134" w:type="dxa"/>
            <w:shd w:val="clear" w:color="auto" w:fill="auto"/>
            <w:hideMark/>
          </w:tcPr>
          <w:p w:rsidR="00A64028" w:rsidRPr="000F6109" w:rsidRDefault="00A64028" w:rsidP="00103148">
            <w:pPr>
              <w:spacing w:after="0"/>
              <w:rPr>
                <w:rFonts w:ascii="Arial Narrow" w:hAnsi="Arial Narrow" w:cs="Arial"/>
                <w:sz w:val="20"/>
                <w:szCs w:val="20"/>
              </w:rPr>
            </w:pPr>
            <w:r w:rsidRPr="000F6109">
              <w:rPr>
                <w:rFonts w:ascii="Arial Narrow" w:hAnsi="Arial Narrow" w:cs="Arial"/>
                <w:sz w:val="20"/>
                <w:szCs w:val="20"/>
              </w:rPr>
              <w:t>&gt; 65</w:t>
            </w:r>
          </w:p>
        </w:tc>
        <w:tc>
          <w:tcPr>
            <w:tcW w:w="4213" w:type="dxa"/>
            <w:shd w:val="clear" w:color="auto" w:fill="auto"/>
            <w:hideMark/>
          </w:tcPr>
          <w:p w:rsidR="00A64028" w:rsidRPr="000F6109" w:rsidRDefault="00A64028" w:rsidP="001820C5">
            <w:pPr>
              <w:spacing w:after="0"/>
              <w:ind w:left="142"/>
              <w:rPr>
                <w:rFonts w:ascii="Arial Narrow" w:hAnsi="Arial Narrow" w:cs="Arial"/>
                <w:sz w:val="20"/>
                <w:szCs w:val="20"/>
              </w:rPr>
            </w:pPr>
            <w:r w:rsidRPr="000F6109">
              <w:rPr>
                <w:rFonts w:ascii="Arial Narrow" w:hAnsi="Arial Narrow" w:cs="Arial"/>
                <w:sz w:val="20"/>
                <w:szCs w:val="20"/>
              </w:rPr>
              <w:t>р.п. Сузун Сузунского района НСО</w:t>
            </w:r>
          </w:p>
        </w:tc>
        <w:tc>
          <w:tcPr>
            <w:tcW w:w="1218" w:type="dxa"/>
            <w:shd w:val="clear" w:color="auto" w:fill="auto"/>
            <w:noWrap/>
            <w:vAlign w:val="bottom"/>
            <w:hideMark/>
          </w:tcPr>
          <w:p w:rsidR="00A64028" w:rsidRPr="000F6109" w:rsidRDefault="00A64028" w:rsidP="00103148">
            <w:pPr>
              <w:spacing w:after="0"/>
              <w:jc w:val="center"/>
              <w:rPr>
                <w:rFonts w:ascii="Arial Narrow" w:hAnsi="Arial Narrow" w:cs="Arial"/>
                <w:sz w:val="20"/>
                <w:szCs w:val="20"/>
              </w:rPr>
            </w:pPr>
            <w:r w:rsidRPr="000F6109">
              <w:rPr>
                <w:rFonts w:ascii="Arial Narrow" w:hAnsi="Arial Narrow" w:cs="Arial"/>
                <w:sz w:val="20"/>
                <w:szCs w:val="20"/>
              </w:rPr>
              <w:t>Рынок услуг по сбору, сортировке и переработке твердых коммунальных (бытовых) отходов</w:t>
            </w:r>
          </w:p>
        </w:tc>
      </w:tr>
    </w:tbl>
    <w:p w:rsidR="00A64028" w:rsidRPr="00455C1E" w:rsidRDefault="00A64028" w:rsidP="00103148">
      <w:pPr>
        <w:spacing w:after="0"/>
        <w:rPr>
          <w:rFonts w:ascii="Arial Narrow" w:hAnsi="Arial Narrow"/>
          <w:b/>
          <w:sz w:val="12"/>
          <w:szCs w:val="12"/>
        </w:rPr>
      </w:pPr>
    </w:p>
    <w:p w:rsidR="00A64028" w:rsidRPr="00455C1E" w:rsidRDefault="00A64028" w:rsidP="00103148">
      <w:pPr>
        <w:spacing w:after="0"/>
        <w:rPr>
          <w:rFonts w:ascii="Arial Narrow" w:hAnsi="Arial Narrow"/>
          <w:b/>
          <w:sz w:val="12"/>
          <w:szCs w:val="12"/>
        </w:rPr>
        <w:sectPr w:rsidR="00A64028" w:rsidRPr="00455C1E" w:rsidSect="00A64028">
          <w:pgSz w:w="15840" w:h="12240" w:orient="landscape"/>
          <w:pgMar w:top="1134" w:right="567" w:bottom="1134" w:left="1701" w:header="708" w:footer="708" w:gutter="0"/>
          <w:cols w:space="708"/>
          <w:docGrid w:linePitch="360"/>
        </w:sectPr>
      </w:pPr>
    </w:p>
    <w:p w:rsidR="00A64028" w:rsidRPr="00D50BF0" w:rsidRDefault="00A64028" w:rsidP="00A96FB4">
      <w:pPr>
        <w:spacing w:after="0" w:line="360" w:lineRule="auto"/>
        <w:ind w:firstLine="284"/>
        <w:jc w:val="both"/>
        <w:rPr>
          <w:rFonts w:ascii="Arial Narrow" w:hAnsi="Arial Narrow"/>
          <w:b/>
          <w:sz w:val="24"/>
        </w:rPr>
      </w:pPr>
      <w:r>
        <w:rPr>
          <w:rFonts w:ascii="Arial Narrow" w:hAnsi="Arial Narrow"/>
          <w:b/>
          <w:sz w:val="24"/>
        </w:rPr>
        <w:lastRenderedPageBreak/>
        <w:t xml:space="preserve">Значение показателя </w:t>
      </w:r>
      <w:r w:rsidRPr="00D50BF0">
        <w:rPr>
          <w:rFonts w:ascii="Arial Narrow" w:hAnsi="Arial Narrow"/>
          <w:b/>
          <w:sz w:val="24"/>
        </w:rPr>
        <w:t>1.1.5. Оценка состояния предприятий-участников рынков</w:t>
      </w:r>
      <w:r>
        <w:rPr>
          <w:rFonts w:ascii="Arial Narrow" w:hAnsi="Arial Narrow"/>
          <w:b/>
          <w:sz w:val="24"/>
        </w:rPr>
        <w:t xml:space="preserve"> (содержит несколько показателей)</w:t>
      </w:r>
    </w:p>
    <w:p w:rsidR="00A64028" w:rsidRPr="00D50BF0" w:rsidRDefault="00A64028" w:rsidP="00A96FB4">
      <w:pPr>
        <w:spacing w:after="0" w:line="360" w:lineRule="auto"/>
        <w:ind w:firstLine="284"/>
        <w:jc w:val="both"/>
        <w:rPr>
          <w:rFonts w:ascii="Arial Narrow" w:hAnsi="Arial Narrow"/>
          <w:b/>
          <w:sz w:val="24"/>
        </w:rPr>
      </w:pPr>
      <w:r>
        <w:rPr>
          <w:rFonts w:ascii="Arial Narrow" w:hAnsi="Arial Narrow"/>
          <w:b/>
          <w:sz w:val="24"/>
        </w:rPr>
        <w:t xml:space="preserve">Значение показателя </w:t>
      </w:r>
      <w:r w:rsidRPr="00D50BF0">
        <w:rPr>
          <w:rFonts w:ascii="Arial Narrow" w:hAnsi="Arial Narrow"/>
          <w:b/>
          <w:sz w:val="24"/>
        </w:rPr>
        <w:t>1.1.5.1.</w:t>
      </w:r>
      <w:r>
        <w:rPr>
          <w:rFonts w:ascii="Arial Narrow" w:hAnsi="Arial Narrow"/>
          <w:b/>
          <w:sz w:val="24"/>
        </w:rPr>
        <w:t xml:space="preserve"> </w:t>
      </w:r>
      <w:r w:rsidRPr="00D50BF0">
        <w:rPr>
          <w:rFonts w:ascii="Arial Narrow" w:hAnsi="Arial Narrow"/>
          <w:b/>
          <w:sz w:val="24"/>
        </w:rPr>
        <w:t xml:space="preserve">Динамика рентабельности предприятий, участников социально значимых и приоритетных рынков (2015-2016 </w:t>
      </w:r>
      <w:r>
        <w:rPr>
          <w:rFonts w:ascii="Arial Narrow" w:hAnsi="Arial Narrow"/>
          <w:b/>
          <w:sz w:val="24"/>
        </w:rPr>
        <w:t>гг.) (средние значения, сальдо).</w:t>
      </w:r>
    </w:p>
    <w:p w:rsidR="00A64028" w:rsidRPr="009B1D61" w:rsidRDefault="00A64028" w:rsidP="00A96FB4">
      <w:pPr>
        <w:spacing w:after="0" w:line="360" w:lineRule="auto"/>
        <w:ind w:firstLine="284"/>
        <w:jc w:val="both"/>
        <w:rPr>
          <w:rFonts w:ascii="Arial Narrow" w:hAnsi="Arial Narrow"/>
          <w:sz w:val="24"/>
          <w:szCs w:val="24"/>
        </w:rPr>
      </w:pPr>
      <w:r w:rsidRPr="00466F3D">
        <w:rPr>
          <w:rFonts w:ascii="Arial Narrow" w:hAnsi="Arial Narrow"/>
          <w:b/>
          <w:sz w:val="24"/>
          <w:szCs w:val="24"/>
        </w:rPr>
        <w:t>Средний уровень рентабельности</w:t>
      </w:r>
      <w:r w:rsidRPr="009B1D61">
        <w:rPr>
          <w:rFonts w:ascii="Arial Narrow" w:hAnsi="Arial Narrow"/>
          <w:sz w:val="24"/>
          <w:szCs w:val="24"/>
        </w:rPr>
        <w:t xml:space="preserve"> всех исследуемых субъектов предпринимательства составил 15,6 % в 2015 г. и 15,0 % – в 2016 г. Максимально рентабельными как в 2015 г., так и в 2016 г. были субъекты предпринимательства, оказывающие услуги в сфере культуры (</w:t>
      </w:r>
      <w:r>
        <w:rPr>
          <w:rFonts w:ascii="Arial Narrow" w:hAnsi="Arial Narrow"/>
          <w:sz w:val="24"/>
          <w:szCs w:val="24"/>
        </w:rPr>
        <w:t xml:space="preserve">средний </w:t>
      </w:r>
      <w:r w:rsidRPr="009B1D61">
        <w:rPr>
          <w:rFonts w:ascii="Arial Narrow" w:hAnsi="Arial Narrow"/>
          <w:sz w:val="24"/>
          <w:szCs w:val="24"/>
        </w:rPr>
        <w:t>уровень рентабельности – 34,</w:t>
      </w:r>
      <w:r>
        <w:rPr>
          <w:rFonts w:ascii="Arial Narrow" w:hAnsi="Arial Narrow"/>
          <w:sz w:val="24"/>
          <w:szCs w:val="24"/>
        </w:rPr>
        <w:t>1</w:t>
      </w:r>
      <w:r w:rsidRPr="009B1D61">
        <w:rPr>
          <w:rFonts w:ascii="Arial Narrow" w:hAnsi="Arial Narrow"/>
          <w:sz w:val="24"/>
          <w:szCs w:val="24"/>
        </w:rPr>
        <w:t xml:space="preserve"> % и 30,0 % соответственно). </w:t>
      </w:r>
      <w:r>
        <w:rPr>
          <w:rFonts w:ascii="Arial Narrow" w:eastAsia="Calibri" w:hAnsi="Arial Narrow"/>
          <w:bCs/>
          <w:sz w:val="24"/>
        </w:rPr>
        <w:t>Минимальной рентабельностью, по оценкам рентабельности собственного бизнеса, характеризуются рынки дополнительного образования детей (5,0 % в 2015 г. и 6,3 % в 2016 г.), услуг перевозок пассажиров наземным транспортом (5,3 % в 2015 г. и 8,8 % в 2016 г.) и дошкольного образования (8,8 % в 2015 г. и 7,6 % в 2016 г.).</w:t>
      </w:r>
      <w:r w:rsidRPr="009B1D61">
        <w:rPr>
          <w:rFonts w:ascii="Arial Narrow" w:hAnsi="Arial Narrow"/>
          <w:sz w:val="24"/>
          <w:szCs w:val="24"/>
        </w:rPr>
        <w:t xml:space="preserve"> Представители рынков услуг детского отдыха и оздоровления и услуг психолого-педагогического сопровождения детей с ограниченными возможностями здоровья не смогли оценить рентабельность собственного бизнеса</w:t>
      </w:r>
      <w:r>
        <w:rPr>
          <w:rFonts w:ascii="Arial Narrow" w:hAnsi="Arial Narrow"/>
          <w:sz w:val="24"/>
          <w:szCs w:val="24"/>
        </w:rPr>
        <w:t xml:space="preserve"> ввиду недостаточной компетентности</w:t>
      </w:r>
      <w:r w:rsidRPr="009B1D61">
        <w:rPr>
          <w:rFonts w:ascii="Arial Narrow" w:hAnsi="Arial Narrow"/>
          <w:sz w:val="24"/>
          <w:szCs w:val="24"/>
        </w:rPr>
        <w:t>.</w:t>
      </w:r>
      <w:r>
        <w:rPr>
          <w:rFonts w:ascii="Arial Narrow" w:hAnsi="Arial Narrow"/>
          <w:sz w:val="24"/>
          <w:szCs w:val="24"/>
        </w:rPr>
        <w:t xml:space="preserve"> На остальных рынках средний уровень рентабельности предприятий варьируется от </w:t>
      </w:r>
      <w:r w:rsidRPr="00D331D9">
        <w:rPr>
          <w:rFonts w:ascii="Arial Narrow" w:hAnsi="Arial Narrow"/>
          <w:sz w:val="24"/>
          <w:szCs w:val="24"/>
        </w:rPr>
        <w:t>5,3 % до 20</w:t>
      </w:r>
      <w:r>
        <w:rPr>
          <w:rFonts w:ascii="Arial Narrow" w:hAnsi="Arial Narrow"/>
          <w:sz w:val="24"/>
          <w:szCs w:val="24"/>
        </w:rPr>
        <w:t>,0</w:t>
      </w:r>
      <w:r w:rsidRPr="00D331D9">
        <w:rPr>
          <w:rFonts w:ascii="Arial Narrow" w:hAnsi="Arial Narrow"/>
          <w:sz w:val="24"/>
          <w:szCs w:val="24"/>
        </w:rPr>
        <w:t xml:space="preserve"> % в 2015 г. и от 7,5 % до 24,</w:t>
      </w:r>
      <w:r>
        <w:rPr>
          <w:rFonts w:ascii="Arial Narrow" w:hAnsi="Arial Narrow"/>
          <w:sz w:val="24"/>
          <w:szCs w:val="24"/>
        </w:rPr>
        <w:t>4</w:t>
      </w:r>
      <w:r w:rsidRPr="00D331D9">
        <w:rPr>
          <w:rFonts w:ascii="Arial Narrow" w:hAnsi="Arial Narrow"/>
          <w:sz w:val="24"/>
          <w:szCs w:val="24"/>
        </w:rPr>
        <w:t xml:space="preserve"> % </w:t>
      </w:r>
      <w:r>
        <w:rPr>
          <w:rFonts w:ascii="Arial Narrow" w:hAnsi="Arial Narrow"/>
          <w:sz w:val="24"/>
          <w:szCs w:val="24"/>
        </w:rPr>
        <w:t>–</w:t>
      </w:r>
      <w:r w:rsidRPr="00D331D9">
        <w:rPr>
          <w:rFonts w:ascii="Arial Narrow" w:hAnsi="Arial Narrow"/>
          <w:sz w:val="24"/>
          <w:szCs w:val="24"/>
        </w:rPr>
        <w:t xml:space="preserve"> в 2016 г.</w:t>
      </w:r>
    </w:p>
    <w:p w:rsidR="00A64028" w:rsidRDefault="00A64028" w:rsidP="00A96FB4">
      <w:pPr>
        <w:spacing w:after="0" w:line="360" w:lineRule="auto"/>
        <w:ind w:firstLine="284"/>
        <w:jc w:val="both"/>
        <w:rPr>
          <w:rFonts w:ascii="Arial Narrow" w:hAnsi="Arial Narrow"/>
          <w:sz w:val="24"/>
          <w:szCs w:val="24"/>
        </w:rPr>
      </w:pPr>
      <w:r>
        <w:rPr>
          <w:rFonts w:ascii="Arial Narrow" w:hAnsi="Arial Narrow"/>
          <w:sz w:val="24"/>
          <w:szCs w:val="24"/>
        </w:rPr>
        <w:t>П</w:t>
      </w:r>
      <w:r w:rsidRPr="009B1D61">
        <w:rPr>
          <w:rFonts w:ascii="Arial Narrow" w:hAnsi="Arial Narrow"/>
          <w:sz w:val="24"/>
          <w:szCs w:val="24"/>
        </w:rPr>
        <w:t>оложительно</w:t>
      </w:r>
      <w:r>
        <w:rPr>
          <w:rFonts w:ascii="Arial Narrow" w:hAnsi="Arial Narrow"/>
          <w:sz w:val="24"/>
          <w:szCs w:val="24"/>
        </w:rPr>
        <w:t>е сальдо</w:t>
      </w:r>
      <w:r w:rsidRPr="009B1D61">
        <w:rPr>
          <w:rFonts w:ascii="Arial Narrow" w:hAnsi="Arial Narrow"/>
          <w:sz w:val="24"/>
          <w:szCs w:val="24"/>
        </w:rPr>
        <w:t xml:space="preserve"> </w:t>
      </w:r>
      <w:r w:rsidRPr="00466F3D">
        <w:rPr>
          <w:rFonts w:ascii="Arial Narrow" w:hAnsi="Arial Narrow"/>
          <w:b/>
          <w:sz w:val="24"/>
          <w:szCs w:val="24"/>
        </w:rPr>
        <w:t>динамик</w:t>
      </w:r>
      <w:r>
        <w:rPr>
          <w:rFonts w:ascii="Arial Narrow" w:hAnsi="Arial Narrow"/>
          <w:b/>
          <w:sz w:val="24"/>
          <w:szCs w:val="24"/>
        </w:rPr>
        <w:t>и</w:t>
      </w:r>
      <w:r w:rsidRPr="00466F3D">
        <w:rPr>
          <w:rFonts w:ascii="Arial Narrow" w:hAnsi="Arial Narrow"/>
          <w:b/>
          <w:sz w:val="24"/>
          <w:szCs w:val="24"/>
        </w:rPr>
        <w:t xml:space="preserve"> рентабельности</w:t>
      </w:r>
      <w:r w:rsidRPr="009B1D61">
        <w:rPr>
          <w:rFonts w:ascii="Arial Narrow" w:hAnsi="Arial Narrow"/>
          <w:sz w:val="24"/>
          <w:szCs w:val="24"/>
        </w:rPr>
        <w:t xml:space="preserve"> </w:t>
      </w:r>
      <w:r w:rsidRPr="001F349B">
        <w:rPr>
          <w:rFonts w:ascii="Arial Narrow" w:hAnsi="Arial Narrow"/>
          <w:b/>
          <w:sz w:val="24"/>
          <w:szCs w:val="24"/>
        </w:rPr>
        <w:t>предприятий с 2015 по 2016 г.</w:t>
      </w:r>
      <w:r w:rsidRPr="009B1D61">
        <w:rPr>
          <w:rFonts w:ascii="Arial Narrow" w:hAnsi="Arial Narrow"/>
          <w:sz w:val="24"/>
          <w:szCs w:val="24"/>
        </w:rPr>
        <w:t xml:space="preserve"> </w:t>
      </w:r>
      <w:r>
        <w:rPr>
          <w:rFonts w:ascii="Arial Narrow" w:hAnsi="Arial Narrow"/>
          <w:sz w:val="24"/>
          <w:szCs w:val="24"/>
        </w:rPr>
        <w:t>зафиксировано на рынках</w:t>
      </w:r>
      <w:r w:rsidRPr="009B1D61">
        <w:rPr>
          <w:rFonts w:ascii="Arial Narrow" w:hAnsi="Arial Narrow"/>
          <w:sz w:val="24"/>
          <w:szCs w:val="24"/>
        </w:rPr>
        <w:t xml:space="preserve"> социального обслуживания населения, услуг связи и услуг перевозок пассажиров наземным транспортом (средний уровень рентабельности вырос на 3,4–5,2 %). Отрицательная динамика рентабельности заметна на рынках услуг в сфере культуры и розничной торговли (средний уровень рентабельности снизился на 3,3</w:t>
      </w:r>
      <w:r>
        <w:rPr>
          <w:rFonts w:ascii="Arial Narrow" w:hAnsi="Arial Narrow"/>
          <w:sz w:val="24"/>
          <w:szCs w:val="24"/>
        </w:rPr>
        <w:t>–</w:t>
      </w:r>
      <w:r w:rsidRPr="009B1D61">
        <w:rPr>
          <w:rFonts w:ascii="Arial Narrow" w:hAnsi="Arial Narrow"/>
          <w:sz w:val="24"/>
          <w:szCs w:val="24"/>
        </w:rPr>
        <w:t>4,1 %).</w:t>
      </w:r>
      <w:r>
        <w:rPr>
          <w:rFonts w:ascii="Arial Narrow" w:hAnsi="Arial Narrow"/>
          <w:sz w:val="24"/>
          <w:szCs w:val="24"/>
        </w:rPr>
        <w:t xml:space="preserve"> На остальных рынках средняя рентабельность предприятий практически не изменилась.</w:t>
      </w:r>
    </w:p>
    <w:p w:rsidR="00A64028" w:rsidRPr="00D50BF0" w:rsidRDefault="00A64028" w:rsidP="00A96FB4">
      <w:pPr>
        <w:spacing w:after="0" w:line="360" w:lineRule="auto"/>
        <w:ind w:firstLine="284"/>
        <w:jc w:val="both"/>
        <w:rPr>
          <w:rFonts w:ascii="Arial Narrow" w:hAnsi="Arial Narrow"/>
          <w:b/>
          <w:sz w:val="24"/>
        </w:rPr>
      </w:pPr>
      <w:r>
        <w:rPr>
          <w:rFonts w:ascii="Arial Narrow" w:hAnsi="Arial Narrow"/>
          <w:b/>
          <w:sz w:val="24"/>
        </w:rPr>
        <w:t xml:space="preserve">Значение показателя </w:t>
      </w:r>
      <w:r w:rsidRPr="00D50BF0">
        <w:rPr>
          <w:rFonts w:ascii="Arial Narrow" w:hAnsi="Arial Narrow"/>
          <w:b/>
          <w:sz w:val="24"/>
        </w:rPr>
        <w:t>1.1.5.2.</w:t>
      </w:r>
      <w:r>
        <w:rPr>
          <w:rFonts w:ascii="Arial Narrow" w:hAnsi="Arial Narrow"/>
          <w:b/>
          <w:sz w:val="24"/>
        </w:rPr>
        <w:t xml:space="preserve"> </w:t>
      </w:r>
      <w:r w:rsidRPr="00D50BF0">
        <w:rPr>
          <w:rFonts w:ascii="Arial Narrow" w:hAnsi="Arial Narrow"/>
          <w:b/>
          <w:sz w:val="24"/>
        </w:rPr>
        <w:t>Средний уровень рентабельно</w:t>
      </w:r>
      <w:r>
        <w:rPr>
          <w:rFonts w:ascii="Arial Narrow" w:hAnsi="Arial Narrow"/>
          <w:b/>
          <w:sz w:val="24"/>
        </w:rPr>
        <w:t>сти на рынке (среднее значение).</w:t>
      </w:r>
    </w:p>
    <w:p w:rsidR="00A64028" w:rsidRPr="00484385" w:rsidRDefault="00A64028" w:rsidP="00A96FB4">
      <w:pPr>
        <w:spacing w:after="0" w:line="360" w:lineRule="auto"/>
        <w:ind w:firstLine="284"/>
        <w:jc w:val="both"/>
        <w:rPr>
          <w:rFonts w:ascii="Arial Narrow" w:hAnsi="Arial Narrow"/>
          <w:sz w:val="24"/>
          <w:szCs w:val="24"/>
        </w:rPr>
      </w:pPr>
      <w:r w:rsidRPr="00484385">
        <w:rPr>
          <w:rFonts w:ascii="Arial Narrow" w:hAnsi="Arial Narrow"/>
          <w:sz w:val="24"/>
          <w:szCs w:val="24"/>
        </w:rPr>
        <w:t>Средняя рентабельность бизнеса</w:t>
      </w:r>
      <w:r>
        <w:rPr>
          <w:rFonts w:ascii="Arial Narrow" w:hAnsi="Arial Narrow"/>
          <w:sz w:val="24"/>
          <w:szCs w:val="24"/>
        </w:rPr>
        <w:t xml:space="preserve"> в Новосибирской области</w:t>
      </w:r>
      <w:r w:rsidRPr="00484385">
        <w:rPr>
          <w:rFonts w:ascii="Arial Narrow" w:hAnsi="Arial Narrow"/>
          <w:sz w:val="24"/>
          <w:szCs w:val="24"/>
        </w:rPr>
        <w:t>, по оценкам представителей субъектов предпринимательства, составляет 25 % и с 2015 по 2016 г. практически не изменилась.</w:t>
      </w:r>
      <w:r>
        <w:rPr>
          <w:rFonts w:ascii="Arial Narrow" w:hAnsi="Arial Narrow"/>
          <w:sz w:val="24"/>
          <w:szCs w:val="24"/>
        </w:rPr>
        <w:t xml:space="preserve"> Оценки рентабельности на социально значимых и приоритетных рынках варьируются от 20 % до 40 %. Наименьшей рентабельностью отличается рынок услуг детского отдыха и оздоровления (20 %). Наиболее рентабельными рынками, по мнению представителей бизнеса, являются рынок услуг в сфере культуры (40,6 %), услуг дошкольного образования (36,9 %), рынок услуг по сбору, сортировке и переработке ТБО (35,0 %), рынок дополнительного образования детей (32,6 %) и рынок услуг психолого-педагогического сопровождения детей с ограниченными возможностями здоровья (32,0 %).</w:t>
      </w:r>
    </w:p>
    <w:p w:rsidR="00A64028" w:rsidRPr="00D50BF0" w:rsidRDefault="00A64028" w:rsidP="00A96FB4">
      <w:pPr>
        <w:spacing w:after="0" w:line="360" w:lineRule="auto"/>
        <w:ind w:firstLine="284"/>
        <w:jc w:val="both"/>
        <w:rPr>
          <w:rFonts w:ascii="Arial Narrow" w:hAnsi="Arial Narrow"/>
          <w:b/>
          <w:sz w:val="24"/>
        </w:rPr>
      </w:pPr>
      <w:r>
        <w:rPr>
          <w:rFonts w:ascii="Arial Narrow" w:hAnsi="Arial Narrow"/>
          <w:b/>
          <w:sz w:val="24"/>
        </w:rPr>
        <w:t xml:space="preserve">Значение показателя </w:t>
      </w:r>
      <w:r w:rsidRPr="00D50BF0">
        <w:rPr>
          <w:rFonts w:ascii="Arial Narrow" w:hAnsi="Arial Narrow"/>
          <w:b/>
          <w:sz w:val="24"/>
        </w:rPr>
        <w:t>1.1.5.3.</w:t>
      </w:r>
      <w:r>
        <w:rPr>
          <w:rFonts w:ascii="Arial Narrow" w:hAnsi="Arial Narrow"/>
          <w:b/>
          <w:sz w:val="24"/>
        </w:rPr>
        <w:t xml:space="preserve"> </w:t>
      </w:r>
      <w:r w:rsidRPr="00D50BF0">
        <w:rPr>
          <w:rFonts w:ascii="Arial Narrow" w:hAnsi="Arial Narrow"/>
          <w:b/>
          <w:sz w:val="24"/>
        </w:rPr>
        <w:t>Доля участников рынков, считающих свой бизнес успешным (% от числа опрошенных).</w:t>
      </w:r>
    </w:p>
    <w:p w:rsidR="00A64028" w:rsidRDefault="00A64028" w:rsidP="00A96FB4">
      <w:pPr>
        <w:spacing w:after="0" w:line="360" w:lineRule="auto"/>
        <w:ind w:firstLine="284"/>
        <w:jc w:val="both"/>
        <w:rPr>
          <w:rFonts w:ascii="Arial Narrow" w:hAnsi="Arial Narrow"/>
          <w:sz w:val="24"/>
          <w:szCs w:val="24"/>
        </w:rPr>
      </w:pPr>
      <w:r>
        <w:rPr>
          <w:rFonts w:ascii="Arial Narrow" w:hAnsi="Arial Narrow"/>
          <w:sz w:val="24"/>
          <w:szCs w:val="24"/>
        </w:rPr>
        <w:t xml:space="preserve">Доля </w:t>
      </w:r>
      <w:r w:rsidRPr="00E15900">
        <w:rPr>
          <w:rFonts w:ascii="Arial Narrow" w:hAnsi="Arial Narrow"/>
          <w:sz w:val="24"/>
          <w:szCs w:val="24"/>
        </w:rPr>
        <w:t>участников рынков, считающих свой бизнес успешным</w:t>
      </w:r>
      <w:r>
        <w:rPr>
          <w:rFonts w:ascii="Arial Narrow" w:hAnsi="Arial Narrow"/>
          <w:sz w:val="24"/>
          <w:szCs w:val="24"/>
        </w:rPr>
        <w:t>,</w:t>
      </w:r>
      <w:r w:rsidRPr="00E15900">
        <w:rPr>
          <w:rFonts w:ascii="Arial Narrow" w:hAnsi="Arial Narrow"/>
          <w:sz w:val="24"/>
          <w:szCs w:val="24"/>
        </w:rPr>
        <w:t xml:space="preserve"> </w:t>
      </w:r>
      <w:r>
        <w:rPr>
          <w:rFonts w:ascii="Arial Narrow" w:hAnsi="Arial Narrow"/>
          <w:sz w:val="24"/>
          <w:szCs w:val="24"/>
        </w:rPr>
        <w:t xml:space="preserve">составляет 22,7 %. В разрезе рынков она наиболее высока среди работающих в сферах услуг психолого-педагогического сопровождения детей с ограниченными возможностями здоровья </w:t>
      </w:r>
      <w:r>
        <w:rPr>
          <w:rFonts w:ascii="Arial Narrow" w:eastAsia="Calibri" w:hAnsi="Arial Narrow"/>
          <w:bCs/>
          <w:sz w:val="24"/>
        </w:rPr>
        <w:t>(56,0 %)</w:t>
      </w:r>
      <w:r>
        <w:rPr>
          <w:rFonts w:ascii="Arial Narrow" w:hAnsi="Arial Narrow"/>
          <w:sz w:val="24"/>
          <w:szCs w:val="24"/>
        </w:rPr>
        <w:t xml:space="preserve">, а наименее высока – среди тех, кто занят в </w:t>
      </w:r>
      <w:r>
        <w:rPr>
          <w:rFonts w:ascii="Arial Narrow" w:hAnsi="Arial Narrow"/>
          <w:sz w:val="24"/>
          <w:szCs w:val="24"/>
        </w:rPr>
        <w:lastRenderedPageBreak/>
        <w:t>сферах услуг перевозок пассажиров наземным транспортом (13,3 %) и в розничной торговле (13,9 %). На остальных рынках успешным свой бизнес считают от 20 % до 40 % представителей субъектов предпринимательства.</w:t>
      </w:r>
    </w:p>
    <w:p w:rsidR="00BF6DC4" w:rsidRDefault="00BF6DC4" w:rsidP="00262F71">
      <w:pPr>
        <w:spacing w:after="0"/>
        <w:rPr>
          <w:rFonts w:ascii="Arial Narrow" w:eastAsia="Calibri" w:hAnsi="Arial Narrow"/>
          <w:sz w:val="24"/>
          <w:szCs w:val="24"/>
        </w:rPr>
      </w:pPr>
    </w:p>
    <w:p w:rsidR="00A64028" w:rsidRDefault="00A64028" w:rsidP="00262F71">
      <w:pPr>
        <w:spacing w:after="0"/>
        <w:rPr>
          <w:rFonts w:ascii="Arial Narrow" w:hAnsi="Arial Narrow"/>
          <w:sz w:val="24"/>
        </w:rPr>
      </w:pPr>
      <w:r>
        <w:rPr>
          <w:rFonts w:ascii="Arial Narrow" w:eastAsia="Calibri" w:hAnsi="Arial Narrow"/>
          <w:sz w:val="24"/>
          <w:szCs w:val="24"/>
        </w:rPr>
        <w:t xml:space="preserve">Таблица </w:t>
      </w:r>
      <w:r w:rsidR="00262F71">
        <w:rPr>
          <w:rFonts w:ascii="Arial Narrow" w:eastAsia="Calibri" w:hAnsi="Arial Narrow"/>
          <w:sz w:val="24"/>
          <w:szCs w:val="24"/>
        </w:rPr>
        <w:t>7.6.</w:t>
      </w:r>
      <w:r>
        <w:rPr>
          <w:rFonts w:ascii="Arial Narrow" w:eastAsia="Calibri" w:hAnsi="Arial Narrow"/>
          <w:sz w:val="24"/>
          <w:szCs w:val="24"/>
        </w:rPr>
        <w:t xml:space="preserve"> – </w:t>
      </w:r>
      <w:r>
        <w:rPr>
          <w:rFonts w:ascii="Arial Narrow" w:hAnsi="Arial Narrow"/>
          <w:b/>
          <w:sz w:val="24"/>
        </w:rPr>
        <w:t xml:space="preserve">Значение показателя </w:t>
      </w:r>
      <w:r w:rsidRPr="00D50BF0">
        <w:rPr>
          <w:rFonts w:ascii="Arial Narrow" w:hAnsi="Arial Narrow"/>
          <w:b/>
          <w:sz w:val="24"/>
        </w:rPr>
        <w:t>1.1.5. Оценка состояния предприятий-участников рынков</w:t>
      </w:r>
      <w:r>
        <w:rPr>
          <w:rFonts w:ascii="Arial Narrow" w:hAnsi="Arial Narrow"/>
          <w:b/>
          <w:sz w:val="24"/>
        </w:rPr>
        <w:t xml:space="preserve"> (содержит несколько показателей)</w:t>
      </w:r>
    </w:p>
    <w:tbl>
      <w:tblPr>
        <w:tblW w:w="5278"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557"/>
        <w:gridCol w:w="1877"/>
        <w:gridCol w:w="571"/>
        <w:gridCol w:w="555"/>
        <w:gridCol w:w="557"/>
        <w:gridCol w:w="557"/>
        <w:gridCol w:w="476"/>
        <w:gridCol w:w="716"/>
        <w:gridCol w:w="559"/>
        <w:gridCol w:w="476"/>
        <w:gridCol w:w="476"/>
        <w:gridCol w:w="557"/>
        <w:gridCol w:w="557"/>
        <w:gridCol w:w="559"/>
        <w:gridCol w:w="557"/>
        <w:gridCol w:w="576"/>
      </w:tblGrid>
      <w:tr w:rsidR="00A64028" w:rsidRPr="00A96FB4" w:rsidTr="001820C5">
        <w:trPr>
          <w:cantSplit/>
          <w:trHeight w:val="2455"/>
          <w:tblHeader/>
        </w:trPr>
        <w:tc>
          <w:tcPr>
            <w:tcW w:w="277" w:type="pct"/>
            <w:tcBorders>
              <w:top w:val="single" w:sz="4" w:space="0" w:color="auto"/>
              <w:left w:val="single" w:sz="4" w:space="0" w:color="auto"/>
              <w:bottom w:val="single" w:sz="4" w:space="0" w:color="auto"/>
              <w:right w:val="single" w:sz="4" w:space="0" w:color="auto"/>
            </w:tcBorders>
            <w:vAlign w:val="center"/>
            <w:hideMark/>
          </w:tcPr>
          <w:p w:rsidR="00A64028" w:rsidRPr="00A96FB4" w:rsidRDefault="00A64028" w:rsidP="00103148">
            <w:pPr>
              <w:spacing w:after="0"/>
              <w:jc w:val="center"/>
              <w:rPr>
                <w:rFonts w:ascii="Arial Narrow" w:hAnsi="Arial Narrow" w:cs="Arial"/>
                <w:sz w:val="20"/>
                <w:szCs w:val="20"/>
              </w:rPr>
            </w:pPr>
            <w:r w:rsidRPr="00A96FB4">
              <w:rPr>
                <w:rFonts w:ascii="Arial Narrow" w:hAnsi="Arial Narrow" w:cs="Arial"/>
                <w:sz w:val="20"/>
                <w:szCs w:val="20"/>
              </w:rPr>
              <w:t>№</w:t>
            </w:r>
          </w:p>
        </w:tc>
        <w:tc>
          <w:tcPr>
            <w:tcW w:w="925" w:type="pct"/>
            <w:tcBorders>
              <w:top w:val="single" w:sz="4" w:space="0" w:color="auto"/>
              <w:left w:val="single" w:sz="4" w:space="0" w:color="auto"/>
              <w:bottom w:val="single" w:sz="4" w:space="0" w:color="auto"/>
              <w:right w:val="single" w:sz="4" w:space="0" w:color="auto"/>
            </w:tcBorders>
            <w:vAlign w:val="center"/>
            <w:hideMark/>
          </w:tcPr>
          <w:p w:rsidR="00A64028" w:rsidRPr="00A96FB4" w:rsidRDefault="00A64028" w:rsidP="00A96FB4">
            <w:pPr>
              <w:spacing w:after="0" w:line="240" w:lineRule="auto"/>
              <w:jc w:val="center"/>
              <w:rPr>
                <w:rFonts w:ascii="Arial Narrow" w:hAnsi="Arial Narrow" w:cs="Arial"/>
                <w:sz w:val="17"/>
                <w:szCs w:val="17"/>
              </w:rPr>
            </w:pPr>
            <w:r w:rsidRPr="00A96FB4">
              <w:rPr>
                <w:rFonts w:ascii="Arial Narrow" w:hAnsi="Arial Narrow" w:cs="Arial"/>
                <w:sz w:val="17"/>
                <w:szCs w:val="17"/>
              </w:rPr>
              <w:t>Наименование показателя, единица измерения</w:t>
            </w:r>
          </w:p>
        </w:tc>
        <w:tc>
          <w:tcPr>
            <w:tcW w:w="284" w:type="pct"/>
            <w:tcBorders>
              <w:top w:val="single" w:sz="4" w:space="0" w:color="auto"/>
              <w:left w:val="single" w:sz="4" w:space="0" w:color="auto"/>
              <w:bottom w:val="single" w:sz="4" w:space="0" w:color="auto"/>
              <w:right w:val="single" w:sz="4" w:space="0" w:color="auto"/>
            </w:tcBorders>
            <w:textDirection w:val="btLr"/>
            <w:vAlign w:val="center"/>
            <w:hideMark/>
          </w:tcPr>
          <w:p w:rsidR="00A64028" w:rsidRPr="00A96FB4" w:rsidRDefault="001820C5" w:rsidP="001820C5">
            <w:pPr>
              <w:spacing w:after="0" w:line="240" w:lineRule="auto"/>
              <w:ind w:left="113" w:right="113"/>
              <w:jc w:val="center"/>
              <w:rPr>
                <w:rFonts w:ascii="Arial Narrow" w:hAnsi="Arial Narrow" w:cs="Arial"/>
                <w:sz w:val="17"/>
                <w:szCs w:val="17"/>
              </w:rPr>
            </w:pPr>
            <w:r>
              <w:rPr>
                <w:rFonts w:ascii="Arial Narrow" w:hAnsi="Arial Narrow" w:cs="Arial"/>
                <w:sz w:val="17"/>
                <w:szCs w:val="17"/>
              </w:rPr>
              <w:t>Общий по Новоси</w:t>
            </w:r>
            <w:r w:rsidR="00A64028" w:rsidRPr="00A96FB4">
              <w:rPr>
                <w:rFonts w:ascii="Arial Narrow" w:hAnsi="Arial Narrow" w:cs="Arial"/>
                <w:sz w:val="17"/>
                <w:szCs w:val="17"/>
              </w:rPr>
              <w:t>бирской области</w:t>
            </w:r>
          </w:p>
        </w:tc>
        <w:tc>
          <w:tcPr>
            <w:tcW w:w="276" w:type="pct"/>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A96FB4" w:rsidRDefault="00A64028" w:rsidP="00A96FB4">
            <w:pPr>
              <w:spacing w:after="0" w:line="240" w:lineRule="auto"/>
              <w:ind w:left="113" w:right="113"/>
              <w:jc w:val="center"/>
              <w:rPr>
                <w:rFonts w:ascii="Arial Narrow" w:hAnsi="Arial Narrow"/>
                <w:sz w:val="17"/>
                <w:szCs w:val="17"/>
              </w:rPr>
            </w:pPr>
            <w:r w:rsidRPr="00A96FB4">
              <w:rPr>
                <w:rFonts w:ascii="Arial Narrow" w:hAnsi="Arial Narrow"/>
                <w:sz w:val="17"/>
                <w:szCs w:val="17"/>
              </w:rPr>
              <w:t>Рынок услуг дошкольного образования</w:t>
            </w:r>
          </w:p>
        </w:tc>
        <w:tc>
          <w:tcPr>
            <w:tcW w:w="277" w:type="pct"/>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A96FB4" w:rsidRDefault="00A64028" w:rsidP="00A96FB4">
            <w:pPr>
              <w:spacing w:after="0" w:line="240" w:lineRule="auto"/>
              <w:ind w:left="113" w:right="113"/>
              <w:jc w:val="center"/>
              <w:rPr>
                <w:rFonts w:ascii="Arial Narrow" w:hAnsi="Arial Narrow"/>
                <w:sz w:val="17"/>
                <w:szCs w:val="17"/>
              </w:rPr>
            </w:pPr>
            <w:r w:rsidRPr="00A96FB4">
              <w:rPr>
                <w:rFonts w:ascii="Arial Narrow" w:hAnsi="Arial Narrow"/>
                <w:sz w:val="17"/>
                <w:szCs w:val="17"/>
              </w:rPr>
              <w:t>Рынок услуг детского отдыха и оздоровления</w:t>
            </w:r>
          </w:p>
        </w:tc>
        <w:tc>
          <w:tcPr>
            <w:tcW w:w="277" w:type="pct"/>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A96FB4" w:rsidRDefault="00A64028" w:rsidP="00A96FB4">
            <w:pPr>
              <w:spacing w:after="0" w:line="240" w:lineRule="auto"/>
              <w:ind w:left="113" w:right="113"/>
              <w:jc w:val="center"/>
              <w:rPr>
                <w:rFonts w:ascii="Arial Narrow" w:hAnsi="Arial Narrow"/>
                <w:sz w:val="17"/>
                <w:szCs w:val="17"/>
              </w:rPr>
            </w:pPr>
            <w:r w:rsidRPr="00A96FB4">
              <w:rPr>
                <w:rFonts w:ascii="Arial Narrow" w:hAnsi="Arial Narrow"/>
                <w:sz w:val="17"/>
                <w:szCs w:val="17"/>
              </w:rPr>
              <w:t>Рынок дополнительного образования детей</w:t>
            </w:r>
          </w:p>
        </w:tc>
        <w:tc>
          <w:tcPr>
            <w:tcW w:w="214" w:type="pct"/>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A96FB4" w:rsidRDefault="00A64028" w:rsidP="00A96FB4">
            <w:pPr>
              <w:spacing w:after="0" w:line="240" w:lineRule="auto"/>
              <w:ind w:left="113" w:right="113"/>
              <w:jc w:val="center"/>
              <w:rPr>
                <w:rFonts w:ascii="Arial Narrow" w:hAnsi="Arial Narrow"/>
                <w:sz w:val="17"/>
                <w:szCs w:val="17"/>
              </w:rPr>
            </w:pPr>
            <w:r w:rsidRPr="00A96FB4">
              <w:rPr>
                <w:rFonts w:ascii="Arial Narrow" w:hAnsi="Arial Narrow"/>
                <w:sz w:val="17"/>
                <w:szCs w:val="17"/>
              </w:rPr>
              <w:t>Рынок медицинских услуг</w:t>
            </w:r>
          </w:p>
        </w:tc>
        <w:tc>
          <w:tcPr>
            <w:tcW w:w="355" w:type="pct"/>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A96FB4" w:rsidRDefault="00A64028" w:rsidP="00A96FB4">
            <w:pPr>
              <w:spacing w:after="0" w:line="240" w:lineRule="auto"/>
              <w:ind w:left="113" w:right="113"/>
              <w:jc w:val="center"/>
              <w:rPr>
                <w:rFonts w:ascii="Arial Narrow" w:hAnsi="Arial Narrow"/>
                <w:sz w:val="17"/>
                <w:szCs w:val="17"/>
              </w:rPr>
            </w:pPr>
            <w:r w:rsidRPr="00A96FB4">
              <w:rPr>
                <w:rFonts w:ascii="Arial Narrow" w:hAnsi="Arial Narrow"/>
                <w:sz w:val="17"/>
                <w:szCs w:val="17"/>
              </w:rPr>
              <w:t>Рынок услуг психолого-педагогического сопровождения детей с ограниченными возможностями здоровья</w:t>
            </w:r>
          </w:p>
        </w:tc>
        <w:tc>
          <w:tcPr>
            <w:tcW w:w="278" w:type="pct"/>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A96FB4" w:rsidRDefault="00A64028" w:rsidP="00A96FB4">
            <w:pPr>
              <w:spacing w:after="0" w:line="240" w:lineRule="auto"/>
              <w:ind w:left="113" w:right="113"/>
              <w:jc w:val="center"/>
              <w:rPr>
                <w:rFonts w:ascii="Arial Narrow" w:hAnsi="Arial Narrow"/>
                <w:sz w:val="17"/>
                <w:szCs w:val="17"/>
              </w:rPr>
            </w:pPr>
            <w:r w:rsidRPr="00A96FB4">
              <w:rPr>
                <w:rFonts w:ascii="Arial Narrow" w:hAnsi="Arial Narrow"/>
                <w:sz w:val="17"/>
                <w:szCs w:val="17"/>
              </w:rPr>
              <w:t>Рынок услуг в сфере культуры</w:t>
            </w:r>
          </w:p>
        </w:tc>
        <w:tc>
          <w:tcPr>
            <w:tcW w:w="229" w:type="pct"/>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A96FB4" w:rsidRDefault="00A64028" w:rsidP="00A96FB4">
            <w:pPr>
              <w:spacing w:after="0" w:line="240" w:lineRule="auto"/>
              <w:ind w:left="113" w:right="113"/>
              <w:jc w:val="center"/>
              <w:rPr>
                <w:rFonts w:ascii="Arial Narrow" w:hAnsi="Arial Narrow"/>
                <w:sz w:val="17"/>
                <w:szCs w:val="17"/>
              </w:rPr>
            </w:pPr>
            <w:r w:rsidRPr="00A96FB4">
              <w:rPr>
                <w:rFonts w:ascii="Arial Narrow" w:hAnsi="Arial Narrow"/>
                <w:sz w:val="17"/>
                <w:szCs w:val="17"/>
              </w:rPr>
              <w:t>Рынок услуг ЖКХ</w:t>
            </w:r>
          </w:p>
        </w:tc>
        <w:tc>
          <w:tcPr>
            <w:tcW w:w="213" w:type="pct"/>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A96FB4" w:rsidRDefault="00A64028" w:rsidP="00A96FB4">
            <w:pPr>
              <w:spacing w:after="0" w:line="240" w:lineRule="auto"/>
              <w:ind w:left="113" w:right="113"/>
              <w:jc w:val="center"/>
              <w:rPr>
                <w:rFonts w:ascii="Arial Narrow" w:hAnsi="Arial Narrow"/>
                <w:sz w:val="17"/>
                <w:szCs w:val="17"/>
              </w:rPr>
            </w:pPr>
            <w:r w:rsidRPr="00A96FB4">
              <w:rPr>
                <w:rFonts w:ascii="Arial Narrow" w:hAnsi="Arial Narrow"/>
                <w:sz w:val="17"/>
                <w:szCs w:val="17"/>
              </w:rPr>
              <w:t>Розничная торговля</w:t>
            </w:r>
          </w:p>
        </w:tc>
        <w:tc>
          <w:tcPr>
            <w:tcW w:w="277" w:type="pct"/>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A96FB4" w:rsidRDefault="00A64028" w:rsidP="00A96FB4">
            <w:pPr>
              <w:spacing w:after="0" w:line="240" w:lineRule="auto"/>
              <w:ind w:left="113" w:right="113"/>
              <w:jc w:val="center"/>
              <w:rPr>
                <w:rFonts w:ascii="Arial Narrow" w:hAnsi="Arial Narrow"/>
                <w:sz w:val="17"/>
                <w:szCs w:val="17"/>
              </w:rPr>
            </w:pPr>
            <w:r w:rsidRPr="00A96FB4">
              <w:rPr>
                <w:rFonts w:ascii="Arial Narrow" w:hAnsi="Arial Narrow"/>
                <w:sz w:val="17"/>
                <w:szCs w:val="17"/>
              </w:rPr>
              <w:t>Рынок услуг перевозок пассажиров наземным транспортом</w:t>
            </w:r>
          </w:p>
        </w:tc>
        <w:tc>
          <w:tcPr>
            <w:tcW w:w="277" w:type="pct"/>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A96FB4" w:rsidRDefault="00A64028" w:rsidP="00A96FB4">
            <w:pPr>
              <w:spacing w:after="0" w:line="240" w:lineRule="auto"/>
              <w:ind w:left="113" w:right="113"/>
              <w:jc w:val="center"/>
              <w:rPr>
                <w:rFonts w:ascii="Arial Narrow" w:hAnsi="Arial Narrow"/>
                <w:sz w:val="17"/>
                <w:szCs w:val="17"/>
              </w:rPr>
            </w:pPr>
            <w:r w:rsidRPr="00A96FB4">
              <w:rPr>
                <w:rFonts w:ascii="Arial Narrow" w:hAnsi="Arial Narrow"/>
                <w:sz w:val="17"/>
                <w:szCs w:val="17"/>
              </w:rPr>
              <w:t>Рынок услуг связи</w:t>
            </w:r>
          </w:p>
        </w:tc>
        <w:tc>
          <w:tcPr>
            <w:tcW w:w="278" w:type="pct"/>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A96FB4" w:rsidRDefault="00A64028" w:rsidP="00A96FB4">
            <w:pPr>
              <w:spacing w:after="0" w:line="240" w:lineRule="auto"/>
              <w:ind w:left="113" w:right="113"/>
              <w:jc w:val="center"/>
              <w:rPr>
                <w:rFonts w:ascii="Arial Narrow" w:hAnsi="Arial Narrow"/>
                <w:sz w:val="17"/>
                <w:szCs w:val="17"/>
              </w:rPr>
            </w:pPr>
            <w:r w:rsidRPr="00A96FB4">
              <w:rPr>
                <w:rFonts w:ascii="Arial Narrow" w:hAnsi="Arial Narrow"/>
                <w:sz w:val="17"/>
                <w:szCs w:val="17"/>
              </w:rPr>
              <w:t>Рынок услуг социального обслуживания населения</w:t>
            </w:r>
          </w:p>
        </w:tc>
        <w:tc>
          <w:tcPr>
            <w:tcW w:w="277" w:type="pct"/>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A96FB4" w:rsidRDefault="00A64028" w:rsidP="00A96FB4">
            <w:pPr>
              <w:spacing w:after="0" w:line="240" w:lineRule="auto"/>
              <w:ind w:left="113" w:right="113"/>
              <w:jc w:val="center"/>
              <w:rPr>
                <w:rFonts w:ascii="Arial Narrow" w:hAnsi="Arial Narrow"/>
                <w:sz w:val="17"/>
                <w:szCs w:val="17"/>
              </w:rPr>
            </w:pPr>
            <w:r w:rsidRPr="00A96FB4">
              <w:rPr>
                <w:rFonts w:ascii="Arial Narrow" w:hAnsi="Arial Narrow"/>
                <w:sz w:val="17"/>
                <w:szCs w:val="17"/>
              </w:rPr>
              <w:t>Рынок развития, производства, переработки и хранения с/х продукции</w:t>
            </w:r>
          </w:p>
        </w:tc>
        <w:tc>
          <w:tcPr>
            <w:tcW w:w="282" w:type="pct"/>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A96FB4" w:rsidRDefault="00A64028" w:rsidP="00A96FB4">
            <w:pPr>
              <w:spacing w:after="0" w:line="240" w:lineRule="auto"/>
              <w:ind w:left="113" w:right="113"/>
              <w:jc w:val="center"/>
              <w:rPr>
                <w:rFonts w:ascii="Arial Narrow" w:hAnsi="Arial Narrow"/>
                <w:sz w:val="17"/>
                <w:szCs w:val="17"/>
              </w:rPr>
            </w:pPr>
            <w:r w:rsidRPr="00A96FB4">
              <w:rPr>
                <w:rFonts w:ascii="Arial Narrow" w:hAnsi="Arial Narrow"/>
                <w:sz w:val="17"/>
                <w:szCs w:val="17"/>
              </w:rPr>
              <w:t>Рынок услуг по сбору, сортировке и переработке твердых коммунальных (бытовых) отходов</w:t>
            </w:r>
          </w:p>
        </w:tc>
      </w:tr>
      <w:tr w:rsidR="00A64028" w:rsidRPr="00A96FB4" w:rsidTr="00A64028">
        <w:trPr>
          <w:trHeight w:val="90"/>
        </w:trPr>
        <w:tc>
          <w:tcPr>
            <w:tcW w:w="277" w:type="pct"/>
            <w:tcBorders>
              <w:top w:val="single" w:sz="4" w:space="0" w:color="auto"/>
              <w:left w:val="single" w:sz="4" w:space="0" w:color="auto"/>
              <w:bottom w:val="single" w:sz="4" w:space="0" w:color="auto"/>
              <w:right w:val="single" w:sz="4" w:space="0" w:color="auto"/>
            </w:tcBorders>
            <w:vAlign w:val="center"/>
            <w:hideMark/>
          </w:tcPr>
          <w:p w:rsidR="00A64028" w:rsidRPr="00A96FB4" w:rsidRDefault="00A64028" w:rsidP="00103148">
            <w:pPr>
              <w:spacing w:after="0"/>
              <w:jc w:val="both"/>
              <w:rPr>
                <w:rFonts w:ascii="Arial Narrow" w:hAnsi="Arial Narrow"/>
                <w:b/>
                <w:sz w:val="20"/>
                <w:szCs w:val="20"/>
              </w:rPr>
            </w:pPr>
            <w:r w:rsidRPr="00A96FB4">
              <w:rPr>
                <w:rFonts w:ascii="Arial Narrow" w:hAnsi="Arial Narrow"/>
                <w:b/>
                <w:sz w:val="20"/>
                <w:szCs w:val="20"/>
              </w:rPr>
              <w:t>1.1.5.1</w:t>
            </w:r>
          </w:p>
        </w:tc>
        <w:tc>
          <w:tcPr>
            <w:tcW w:w="4723" w:type="pct"/>
            <w:gridSpan w:val="15"/>
            <w:tcBorders>
              <w:top w:val="single" w:sz="4" w:space="0" w:color="auto"/>
              <w:left w:val="single" w:sz="4" w:space="0" w:color="auto"/>
              <w:bottom w:val="single" w:sz="4" w:space="0" w:color="auto"/>
              <w:right w:val="single" w:sz="4" w:space="0" w:color="auto"/>
            </w:tcBorders>
            <w:vAlign w:val="center"/>
            <w:hideMark/>
          </w:tcPr>
          <w:p w:rsidR="00A64028" w:rsidRPr="00A96FB4" w:rsidRDefault="00A64028" w:rsidP="00A96FB4">
            <w:pPr>
              <w:spacing w:after="0"/>
              <w:ind w:left="145" w:right="39"/>
              <w:jc w:val="both"/>
              <w:rPr>
                <w:rFonts w:ascii="Arial Narrow" w:hAnsi="Arial Narrow"/>
                <w:b/>
                <w:sz w:val="20"/>
                <w:szCs w:val="20"/>
              </w:rPr>
            </w:pPr>
            <w:r w:rsidRPr="00A96FB4">
              <w:rPr>
                <w:rFonts w:ascii="Arial Narrow" w:hAnsi="Arial Narrow"/>
                <w:b/>
                <w:sz w:val="20"/>
                <w:szCs w:val="20"/>
              </w:rPr>
              <w:t>Динамика рентабельности предприятий, участников социально значимых и приоритетных рынков (2015–2016 гг.) (средние значения, сальдо)</w:t>
            </w:r>
          </w:p>
        </w:tc>
      </w:tr>
      <w:tr w:rsidR="00A64028" w:rsidRPr="00A96FB4" w:rsidTr="00A64028">
        <w:tc>
          <w:tcPr>
            <w:tcW w:w="277" w:type="pct"/>
            <w:tcBorders>
              <w:top w:val="single" w:sz="4" w:space="0" w:color="auto"/>
              <w:left w:val="single" w:sz="4" w:space="0" w:color="auto"/>
              <w:bottom w:val="single" w:sz="4" w:space="0" w:color="auto"/>
              <w:right w:val="single" w:sz="4" w:space="0" w:color="auto"/>
            </w:tcBorders>
            <w:vAlign w:val="center"/>
            <w:hideMark/>
          </w:tcPr>
          <w:p w:rsidR="00A64028" w:rsidRPr="00A96FB4" w:rsidRDefault="00A64028" w:rsidP="00103148">
            <w:pPr>
              <w:spacing w:after="0" w:line="256" w:lineRule="auto"/>
              <w:rPr>
                <w:sz w:val="20"/>
                <w:szCs w:val="20"/>
              </w:rPr>
            </w:pPr>
          </w:p>
        </w:tc>
        <w:tc>
          <w:tcPr>
            <w:tcW w:w="925" w:type="pct"/>
            <w:tcBorders>
              <w:top w:val="single" w:sz="4" w:space="0" w:color="auto"/>
              <w:left w:val="single" w:sz="4" w:space="0" w:color="auto"/>
              <w:bottom w:val="single" w:sz="4" w:space="0" w:color="auto"/>
              <w:right w:val="single" w:sz="4" w:space="0" w:color="auto"/>
            </w:tcBorders>
            <w:vAlign w:val="center"/>
            <w:hideMark/>
          </w:tcPr>
          <w:p w:rsidR="00A64028" w:rsidRPr="00A96FB4" w:rsidRDefault="00A64028" w:rsidP="00A96FB4">
            <w:pPr>
              <w:spacing w:after="0"/>
              <w:ind w:left="145" w:right="39"/>
              <w:jc w:val="both"/>
              <w:rPr>
                <w:rFonts w:ascii="Arial Narrow" w:hAnsi="Arial Narrow"/>
                <w:sz w:val="20"/>
                <w:szCs w:val="20"/>
              </w:rPr>
            </w:pPr>
            <w:r w:rsidRPr="00A96FB4">
              <w:rPr>
                <w:rFonts w:ascii="Arial Narrow" w:hAnsi="Arial Narrow"/>
                <w:sz w:val="20"/>
                <w:szCs w:val="20"/>
              </w:rPr>
              <w:t>2015 г., %</w:t>
            </w:r>
          </w:p>
        </w:tc>
        <w:tc>
          <w:tcPr>
            <w:tcW w:w="284" w:type="pct"/>
            <w:tcBorders>
              <w:top w:val="single" w:sz="4" w:space="0" w:color="auto"/>
              <w:left w:val="single" w:sz="4" w:space="0" w:color="auto"/>
              <w:bottom w:val="single" w:sz="4" w:space="0" w:color="auto"/>
              <w:right w:val="single" w:sz="4" w:space="0" w:color="auto"/>
            </w:tcBorders>
            <w:noWrap/>
            <w:vAlign w:val="center"/>
            <w:hideMark/>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15,6%</w:t>
            </w:r>
          </w:p>
        </w:tc>
        <w:tc>
          <w:tcPr>
            <w:tcW w:w="276" w:type="pct"/>
            <w:tcBorders>
              <w:top w:val="single" w:sz="4" w:space="0" w:color="auto"/>
              <w:left w:val="single" w:sz="4" w:space="0" w:color="auto"/>
              <w:bottom w:val="single" w:sz="4" w:space="0" w:color="auto"/>
              <w:right w:val="single" w:sz="4" w:space="0" w:color="auto"/>
            </w:tcBorders>
            <w:noWrap/>
            <w:vAlign w:val="center"/>
            <w:hideMark/>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8,8%</w:t>
            </w:r>
          </w:p>
        </w:tc>
        <w:tc>
          <w:tcPr>
            <w:tcW w:w="277" w:type="pct"/>
            <w:tcBorders>
              <w:top w:val="single" w:sz="4" w:space="0" w:color="auto"/>
              <w:left w:val="single" w:sz="4" w:space="0" w:color="auto"/>
              <w:bottom w:val="single" w:sz="4" w:space="0" w:color="auto"/>
              <w:right w:val="single" w:sz="4" w:space="0" w:color="auto"/>
            </w:tcBorders>
            <w:noWrap/>
            <w:vAlign w:val="center"/>
            <w:hideMark/>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50,0%</w:t>
            </w:r>
          </w:p>
        </w:tc>
        <w:tc>
          <w:tcPr>
            <w:tcW w:w="277" w:type="pct"/>
            <w:tcBorders>
              <w:top w:val="single" w:sz="4" w:space="0" w:color="auto"/>
              <w:left w:val="single" w:sz="4" w:space="0" w:color="auto"/>
              <w:bottom w:val="single" w:sz="4" w:space="0" w:color="auto"/>
              <w:right w:val="single" w:sz="4" w:space="0" w:color="auto"/>
            </w:tcBorders>
            <w:noWrap/>
            <w:vAlign w:val="center"/>
            <w:hideMark/>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5,0%</w:t>
            </w:r>
          </w:p>
        </w:tc>
        <w:tc>
          <w:tcPr>
            <w:tcW w:w="214" w:type="pct"/>
            <w:tcBorders>
              <w:top w:val="single" w:sz="4" w:space="0" w:color="auto"/>
              <w:left w:val="single" w:sz="4" w:space="0" w:color="auto"/>
              <w:bottom w:val="single" w:sz="4" w:space="0" w:color="auto"/>
              <w:right w:val="single" w:sz="4" w:space="0" w:color="auto"/>
            </w:tcBorders>
            <w:noWrap/>
            <w:vAlign w:val="center"/>
            <w:hideMark/>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16,0%</w:t>
            </w:r>
          </w:p>
        </w:tc>
        <w:tc>
          <w:tcPr>
            <w:tcW w:w="355" w:type="pct"/>
            <w:tcBorders>
              <w:top w:val="single" w:sz="4" w:space="0" w:color="auto"/>
              <w:left w:val="single" w:sz="4" w:space="0" w:color="auto"/>
              <w:bottom w:val="single" w:sz="4" w:space="0" w:color="auto"/>
              <w:right w:val="single" w:sz="4" w:space="0" w:color="auto"/>
            </w:tcBorders>
            <w:noWrap/>
            <w:vAlign w:val="center"/>
            <w:hideMark/>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0,0%</w:t>
            </w:r>
          </w:p>
        </w:tc>
        <w:tc>
          <w:tcPr>
            <w:tcW w:w="278" w:type="pct"/>
            <w:tcBorders>
              <w:top w:val="single" w:sz="4" w:space="0" w:color="auto"/>
              <w:left w:val="single" w:sz="4" w:space="0" w:color="auto"/>
              <w:bottom w:val="single" w:sz="4" w:space="0" w:color="auto"/>
              <w:right w:val="single" w:sz="4" w:space="0" w:color="auto"/>
            </w:tcBorders>
            <w:noWrap/>
            <w:vAlign w:val="center"/>
            <w:hideMark/>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34,1%</w:t>
            </w:r>
          </w:p>
        </w:tc>
        <w:tc>
          <w:tcPr>
            <w:tcW w:w="229" w:type="pct"/>
            <w:tcBorders>
              <w:top w:val="single" w:sz="4" w:space="0" w:color="auto"/>
              <w:left w:val="single" w:sz="4" w:space="0" w:color="auto"/>
              <w:bottom w:val="single" w:sz="4" w:space="0" w:color="auto"/>
              <w:right w:val="single" w:sz="4" w:space="0" w:color="auto"/>
            </w:tcBorders>
            <w:noWrap/>
            <w:vAlign w:val="center"/>
            <w:hideMark/>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20,0%</w:t>
            </w:r>
          </w:p>
        </w:tc>
        <w:tc>
          <w:tcPr>
            <w:tcW w:w="213" w:type="pct"/>
            <w:tcBorders>
              <w:top w:val="single" w:sz="4" w:space="0" w:color="auto"/>
              <w:left w:val="single" w:sz="4" w:space="0" w:color="auto"/>
              <w:bottom w:val="single" w:sz="4" w:space="0" w:color="auto"/>
              <w:right w:val="single" w:sz="4" w:space="0" w:color="auto"/>
            </w:tcBorders>
            <w:noWrap/>
            <w:vAlign w:val="center"/>
            <w:hideMark/>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15,3%</w:t>
            </w:r>
          </w:p>
        </w:tc>
        <w:tc>
          <w:tcPr>
            <w:tcW w:w="277" w:type="pct"/>
            <w:tcBorders>
              <w:top w:val="single" w:sz="4" w:space="0" w:color="auto"/>
              <w:left w:val="single" w:sz="4" w:space="0" w:color="auto"/>
              <w:bottom w:val="single" w:sz="4" w:space="0" w:color="auto"/>
              <w:right w:val="single" w:sz="4" w:space="0" w:color="auto"/>
            </w:tcBorders>
            <w:noWrap/>
            <w:vAlign w:val="center"/>
            <w:hideMark/>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5,3%</w:t>
            </w:r>
          </w:p>
        </w:tc>
        <w:tc>
          <w:tcPr>
            <w:tcW w:w="277" w:type="pct"/>
            <w:tcBorders>
              <w:top w:val="single" w:sz="4" w:space="0" w:color="auto"/>
              <w:left w:val="single" w:sz="4" w:space="0" w:color="auto"/>
              <w:bottom w:val="single" w:sz="4" w:space="0" w:color="auto"/>
              <w:right w:val="single" w:sz="4" w:space="0" w:color="auto"/>
            </w:tcBorders>
            <w:noWrap/>
            <w:vAlign w:val="center"/>
            <w:hideMark/>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7,0%</w:t>
            </w:r>
          </w:p>
        </w:tc>
        <w:tc>
          <w:tcPr>
            <w:tcW w:w="278" w:type="pct"/>
            <w:tcBorders>
              <w:top w:val="single" w:sz="4" w:space="0" w:color="auto"/>
              <w:left w:val="single" w:sz="4" w:space="0" w:color="auto"/>
              <w:bottom w:val="single" w:sz="4" w:space="0" w:color="auto"/>
              <w:right w:val="single" w:sz="4" w:space="0" w:color="auto"/>
            </w:tcBorders>
            <w:noWrap/>
            <w:vAlign w:val="center"/>
            <w:hideMark/>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19,6%</w:t>
            </w:r>
          </w:p>
        </w:tc>
        <w:tc>
          <w:tcPr>
            <w:tcW w:w="277" w:type="pct"/>
            <w:tcBorders>
              <w:top w:val="single" w:sz="4" w:space="0" w:color="auto"/>
              <w:left w:val="single" w:sz="4" w:space="0" w:color="auto"/>
              <w:bottom w:val="single" w:sz="4" w:space="0" w:color="auto"/>
              <w:right w:val="single" w:sz="4" w:space="0" w:color="auto"/>
            </w:tcBorders>
            <w:noWrap/>
            <w:vAlign w:val="center"/>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13,4%</w:t>
            </w:r>
          </w:p>
        </w:tc>
        <w:tc>
          <w:tcPr>
            <w:tcW w:w="282" w:type="pct"/>
            <w:tcBorders>
              <w:top w:val="single" w:sz="4" w:space="0" w:color="auto"/>
              <w:left w:val="single" w:sz="4" w:space="0" w:color="auto"/>
              <w:bottom w:val="single" w:sz="4" w:space="0" w:color="auto"/>
              <w:right w:val="single" w:sz="4" w:space="0" w:color="auto"/>
            </w:tcBorders>
            <w:noWrap/>
            <w:vAlign w:val="center"/>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12,5%</w:t>
            </w:r>
          </w:p>
        </w:tc>
      </w:tr>
      <w:tr w:rsidR="00A64028" w:rsidRPr="00A96FB4" w:rsidTr="00A64028">
        <w:tc>
          <w:tcPr>
            <w:tcW w:w="277" w:type="pct"/>
            <w:tcBorders>
              <w:top w:val="single" w:sz="4" w:space="0" w:color="auto"/>
              <w:left w:val="single" w:sz="4" w:space="0" w:color="auto"/>
              <w:bottom w:val="single" w:sz="4" w:space="0" w:color="auto"/>
              <w:right w:val="single" w:sz="4" w:space="0" w:color="auto"/>
            </w:tcBorders>
            <w:vAlign w:val="center"/>
          </w:tcPr>
          <w:p w:rsidR="00A64028" w:rsidRPr="00A96FB4" w:rsidRDefault="00A64028" w:rsidP="00103148">
            <w:pPr>
              <w:spacing w:after="0"/>
              <w:jc w:val="center"/>
              <w:rPr>
                <w:rFonts w:ascii="Arial Narrow" w:hAnsi="Arial Narrow" w:cs="Arial"/>
                <w:sz w:val="20"/>
                <w:szCs w:val="20"/>
              </w:rPr>
            </w:pPr>
          </w:p>
        </w:tc>
        <w:tc>
          <w:tcPr>
            <w:tcW w:w="925" w:type="pct"/>
            <w:tcBorders>
              <w:top w:val="single" w:sz="4" w:space="0" w:color="auto"/>
              <w:left w:val="single" w:sz="4" w:space="0" w:color="auto"/>
              <w:bottom w:val="single" w:sz="4" w:space="0" w:color="auto"/>
              <w:right w:val="single" w:sz="4" w:space="0" w:color="auto"/>
            </w:tcBorders>
            <w:vAlign w:val="center"/>
            <w:hideMark/>
          </w:tcPr>
          <w:p w:rsidR="00A64028" w:rsidRPr="00A96FB4" w:rsidRDefault="00A64028" w:rsidP="00A96FB4">
            <w:pPr>
              <w:spacing w:after="0"/>
              <w:ind w:left="145" w:right="39"/>
              <w:jc w:val="both"/>
              <w:rPr>
                <w:rFonts w:ascii="Arial Narrow" w:hAnsi="Arial Narrow"/>
                <w:sz w:val="20"/>
                <w:szCs w:val="20"/>
              </w:rPr>
            </w:pPr>
            <w:r w:rsidRPr="00A96FB4">
              <w:rPr>
                <w:rFonts w:ascii="Arial Narrow" w:hAnsi="Arial Narrow"/>
                <w:sz w:val="20"/>
                <w:szCs w:val="20"/>
              </w:rPr>
              <w:t>2016 г., %</w:t>
            </w:r>
          </w:p>
        </w:tc>
        <w:tc>
          <w:tcPr>
            <w:tcW w:w="284" w:type="pct"/>
            <w:tcBorders>
              <w:top w:val="single" w:sz="4" w:space="0" w:color="auto"/>
              <w:left w:val="single" w:sz="4" w:space="0" w:color="auto"/>
              <w:bottom w:val="single" w:sz="4" w:space="0" w:color="auto"/>
              <w:right w:val="single" w:sz="4" w:space="0" w:color="auto"/>
            </w:tcBorders>
            <w:noWrap/>
            <w:vAlign w:val="center"/>
            <w:hideMark/>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15,0%</w:t>
            </w:r>
          </w:p>
        </w:tc>
        <w:tc>
          <w:tcPr>
            <w:tcW w:w="276" w:type="pct"/>
            <w:tcBorders>
              <w:top w:val="single" w:sz="4" w:space="0" w:color="auto"/>
              <w:left w:val="single" w:sz="4" w:space="0" w:color="auto"/>
              <w:bottom w:val="single" w:sz="4" w:space="0" w:color="auto"/>
              <w:right w:val="single" w:sz="4" w:space="0" w:color="auto"/>
            </w:tcBorders>
            <w:noWrap/>
            <w:vAlign w:val="center"/>
            <w:hideMark/>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7,5%</w:t>
            </w:r>
          </w:p>
        </w:tc>
        <w:tc>
          <w:tcPr>
            <w:tcW w:w="277" w:type="pct"/>
            <w:tcBorders>
              <w:top w:val="single" w:sz="4" w:space="0" w:color="auto"/>
              <w:left w:val="single" w:sz="4" w:space="0" w:color="auto"/>
              <w:bottom w:val="single" w:sz="4" w:space="0" w:color="auto"/>
              <w:right w:val="single" w:sz="4" w:space="0" w:color="auto"/>
            </w:tcBorders>
            <w:noWrap/>
            <w:vAlign w:val="center"/>
            <w:hideMark/>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0,0%</w:t>
            </w:r>
          </w:p>
        </w:tc>
        <w:tc>
          <w:tcPr>
            <w:tcW w:w="277" w:type="pct"/>
            <w:tcBorders>
              <w:top w:val="single" w:sz="4" w:space="0" w:color="auto"/>
              <w:left w:val="single" w:sz="4" w:space="0" w:color="auto"/>
              <w:bottom w:val="single" w:sz="4" w:space="0" w:color="auto"/>
              <w:right w:val="single" w:sz="4" w:space="0" w:color="auto"/>
            </w:tcBorders>
            <w:noWrap/>
            <w:vAlign w:val="center"/>
            <w:hideMark/>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6,3%</w:t>
            </w:r>
          </w:p>
        </w:tc>
        <w:tc>
          <w:tcPr>
            <w:tcW w:w="214" w:type="pct"/>
            <w:tcBorders>
              <w:top w:val="single" w:sz="4" w:space="0" w:color="auto"/>
              <w:left w:val="single" w:sz="4" w:space="0" w:color="auto"/>
              <w:bottom w:val="single" w:sz="4" w:space="0" w:color="auto"/>
              <w:right w:val="single" w:sz="4" w:space="0" w:color="auto"/>
            </w:tcBorders>
            <w:noWrap/>
            <w:vAlign w:val="center"/>
            <w:hideMark/>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15,8%</w:t>
            </w:r>
          </w:p>
        </w:tc>
        <w:tc>
          <w:tcPr>
            <w:tcW w:w="355" w:type="pct"/>
            <w:tcBorders>
              <w:top w:val="single" w:sz="4" w:space="0" w:color="auto"/>
              <w:left w:val="single" w:sz="4" w:space="0" w:color="auto"/>
              <w:bottom w:val="single" w:sz="4" w:space="0" w:color="auto"/>
              <w:right w:val="single" w:sz="4" w:space="0" w:color="auto"/>
            </w:tcBorders>
            <w:noWrap/>
            <w:vAlign w:val="center"/>
            <w:hideMark/>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0,0%</w:t>
            </w:r>
          </w:p>
        </w:tc>
        <w:tc>
          <w:tcPr>
            <w:tcW w:w="278" w:type="pct"/>
            <w:tcBorders>
              <w:top w:val="single" w:sz="4" w:space="0" w:color="auto"/>
              <w:left w:val="single" w:sz="4" w:space="0" w:color="auto"/>
              <w:bottom w:val="single" w:sz="4" w:space="0" w:color="auto"/>
              <w:right w:val="single" w:sz="4" w:space="0" w:color="auto"/>
            </w:tcBorders>
            <w:noWrap/>
            <w:vAlign w:val="center"/>
            <w:hideMark/>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30,0%</w:t>
            </w:r>
          </w:p>
        </w:tc>
        <w:tc>
          <w:tcPr>
            <w:tcW w:w="229" w:type="pct"/>
            <w:tcBorders>
              <w:top w:val="single" w:sz="4" w:space="0" w:color="auto"/>
              <w:left w:val="single" w:sz="4" w:space="0" w:color="auto"/>
              <w:bottom w:val="single" w:sz="4" w:space="0" w:color="auto"/>
              <w:right w:val="single" w:sz="4" w:space="0" w:color="auto"/>
            </w:tcBorders>
            <w:noWrap/>
            <w:vAlign w:val="center"/>
            <w:hideMark/>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18,4%</w:t>
            </w:r>
          </w:p>
        </w:tc>
        <w:tc>
          <w:tcPr>
            <w:tcW w:w="213" w:type="pct"/>
            <w:tcBorders>
              <w:top w:val="single" w:sz="4" w:space="0" w:color="auto"/>
              <w:left w:val="single" w:sz="4" w:space="0" w:color="auto"/>
              <w:bottom w:val="single" w:sz="4" w:space="0" w:color="auto"/>
              <w:right w:val="single" w:sz="4" w:space="0" w:color="auto"/>
            </w:tcBorders>
            <w:noWrap/>
            <w:vAlign w:val="center"/>
            <w:hideMark/>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12,0%</w:t>
            </w:r>
          </w:p>
        </w:tc>
        <w:tc>
          <w:tcPr>
            <w:tcW w:w="277" w:type="pct"/>
            <w:tcBorders>
              <w:top w:val="single" w:sz="4" w:space="0" w:color="auto"/>
              <w:left w:val="single" w:sz="4" w:space="0" w:color="auto"/>
              <w:bottom w:val="single" w:sz="4" w:space="0" w:color="auto"/>
              <w:right w:val="single" w:sz="4" w:space="0" w:color="auto"/>
            </w:tcBorders>
            <w:noWrap/>
            <w:vAlign w:val="center"/>
            <w:hideMark/>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8,8%</w:t>
            </w:r>
          </w:p>
        </w:tc>
        <w:tc>
          <w:tcPr>
            <w:tcW w:w="277" w:type="pct"/>
            <w:tcBorders>
              <w:top w:val="single" w:sz="4" w:space="0" w:color="auto"/>
              <w:left w:val="single" w:sz="4" w:space="0" w:color="auto"/>
              <w:bottom w:val="single" w:sz="4" w:space="0" w:color="auto"/>
              <w:right w:val="single" w:sz="4" w:space="0" w:color="auto"/>
            </w:tcBorders>
            <w:noWrap/>
            <w:vAlign w:val="center"/>
            <w:hideMark/>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13,1%</w:t>
            </w:r>
          </w:p>
        </w:tc>
        <w:tc>
          <w:tcPr>
            <w:tcW w:w="278" w:type="pct"/>
            <w:tcBorders>
              <w:top w:val="single" w:sz="4" w:space="0" w:color="auto"/>
              <w:left w:val="single" w:sz="4" w:space="0" w:color="auto"/>
              <w:bottom w:val="single" w:sz="4" w:space="0" w:color="auto"/>
              <w:right w:val="single" w:sz="4" w:space="0" w:color="auto"/>
            </w:tcBorders>
            <w:noWrap/>
            <w:vAlign w:val="center"/>
            <w:hideMark/>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24,4%</w:t>
            </w:r>
          </w:p>
        </w:tc>
        <w:tc>
          <w:tcPr>
            <w:tcW w:w="277" w:type="pct"/>
            <w:tcBorders>
              <w:top w:val="single" w:sz="4" w:space="0" w:color="auto"/>
              <w:left w:val="single" w:sz="4" w:space="0" w:color="auto"/>
              <w:bottom w:val="single" w:sz="4" w:space="0" w:color="auto"/>
              <w:right w:val="single" w:sz="4" w:space="0" w:color="auto"/>
            </w:tcBorders>
            <w:noWrap/>
            <w:vAlign w:val="center"/>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14,5%</w:t>
            </w:r>
          </w:p>
        </w:tc>
        <w:tc>
          <w:tcPr>
            <w:tcW w:w="282" w:type="pct"/>
            <w:tcBorders>
              <w:top w:val="single" w:sz="4" w:space="0" w:color="auto"/>
              <w:left w:val="single" w:sz="4" w:space="0" w:color="auto"/>
              <w:bottom w:val="single" w:sz="4" w:space="0" w:color="auto"/>
              <w:right w:val="single" w:sz="4" w:space="0" w:color="auto"/>
            </w:tcBorders>
            <w:noWrap/>
            <w:vAlign w:val="center"/>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12,5%</w:t>
            </w:r>
          </w:p>
        </w:tc>
      </w:tr>
      <w:tr w:rsidR="00A64028" w:rsidRPr="00A96FB4" w:rsidTr="00A64028">
        <w:tc>
          <w:tcPr>
            <w:tcW w:w="277" w:type="pct"/>
            <w:tcBorders>
              <w:top w:val="single" w:sz="4" w:space="0" w:color="auto"/>
              <w:left w:val="single" w:sz="4" w:space="0" w:color="auto"/>
              <w:bottom w:val="single" w:sz="4" w:space="0" w:color="auto"/>
              <w:right w:val="single" w:sz="4" w:space="0" w:color="auto"/>
            </w:tcBorders>
            <w:vAlign w:val="center"/>
          </w:tcPr>
          <w:p w:rsidR="00A64028" w:rsidRPr="00A96FB4" w:rsidRDefault="00A64028" w:rsidP="00103148">
            <w:pPr>
              <w:spacing w:after="0"/>
              <w:jc w:val="center"/>
              <w:rPr>
                <w:rFonts w:ascii="Arial Narrow" w:hAnsi="Arial Narrow" w:cs="Arial"/>
                <w:sz w:val="20"/>
                <w:szCs w:val="20"/>
              </w:rPr>
            </w:pPr>
          </w:p>
        </w:tc>
        <w:tc>
          <w:tcPr>
            <w:tcW w:w="925" w:type="pct"/>
            <w:tcBorders>
              <w:top w:val="single" w:sz="4" w:space="0" w:color="auto"/>
              <w:left w:val="single" w:sz="4" w:space="0" w:color="auto"/>
              <w:bottom w:val="single" w:sz="4" w:space="0" w:color="auto"/>
              <w:right w:val="single" w:sz="4" w:space="0" w:color="auto"/>
            </w:tcBorders>
            <w:vAlign w:val="center"/>
          </w:tcPr>
          <w:p w:rsidR="00A64028" w:rsidRPr="00A96FB4" w:rsidRDefault="00A64028" w:rsidP="00A96FB4">
            <w:pPr>
              <w:spacing w:after="0"/>
              <w:ind w:left="145" w:right="39"/>
              <w:jc w:val="both"/>
              <w:rPr>
                <w:rFonts w:ascii="Arial Narrow" w:hAnsi="Arial Narrow"/>
                <w:sz w:val="20"/>
                <w:szCs w:val="20"/>
              </w:rPr>
            </w:pPr>
            <w:r w:rsidRPr="00A96FB4">
              <w:rPr>
                <w:rFonts w:ascii="Arial Narrow" w:hAnsi="Arial Narrow"/>
                <w:sz w:val="20"/>
                <w:szCs w:val="20"/>
              </w:rPr>
              <w:t>Динамика 2016 г. по сравнению с 2015 г. (сальдо), %</w:t>
            </w:r>
          </w:p>
        </w:tc>
        <w:tc>
          <w:tcPr>
            <w:tcW w:w="284" w:type="pct"/>
            <w:tcBorders>
              <w:top w:val="single" w:sz="4" w:space="0" w:color="auto"/>
              <w:left w:val="single" w:sz="4" w:space="0" w:color="auto"/>
              <w:bottom w:val="single" w:sz="4" w:space="0" w:color="auto"/>
              <w:right w:val="single" w:sz="4" w:space="0" w:color="auto"/>
            </w:tcBorders>
            <w:noWrap/>
            <w:vAlign w:val="center"/>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-0,6%</w:t>
            </w:r>
          </w:p>
        </w:tc>
        <w:tc>
          <w:tcPr>
            <w:tcW w:w="276" w:type="pct"/>
            <w:tcBorders>
              <w:top w:val="single" w:sz="4" w:space="0" w:color="auto"/>
              <w:left w:val="single" w:sz="4" w:space="0" w:color="auto"/>
              <w:bottom w:val="single" w:sz="4" w:space="0" w:color="auto"/>
              <w:right w:val="single" w:sz="4" w:space="0" w:color="auto"/>
            </w:tcBorders>
            <w:noWrap/>
            <w:vAlign w:val="center"/>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-1,3%</w:t>
            </w:r>
          </w:p>
        </w:tc>
        <w:tc>
          <w:tcPr>
            <w:tcW w:w="277" w:type="pct"/>
            <w:tcBorders>
              <w:top w:val="single" w:sz="4" w:space="0" w:color="auto"/>
              <w:left w:val="single" w:sz="4" w:space="0" w:color="auto"/>
              <w:bottom w:val="single" w:sz="4" w:space="0" w:color="auto"/>
              <w:right w:val="single" w:sz="4" w:space="0" w:color="auto"/>
            </w:tcBorders>
            <w:noWrap/>
            <w:vAlign w:val="center"/>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-50,0%</w:t>
            </w:r>
          </w:p>
        </w:tc>
        <w:tc>
          <w:tcPr>
            <w:tcW w:w="277" w:type="pct"/>
            <w:tcBorders>
              <w:top w:val="single" w:sz="4" w:space="0" w:color="auto"/>
              <w:left w:val="single" w:sz="4" w:space="0" w:color="auto"/>
              <w:bottom w:val="single" w:sz="4" w:space="0" w:color="auto"/>
              <w:right w:val="single" w:sz="4" w:space="0" w:color="auto"/>
            </w:tcBorders>
            <w:noWrap/>
            <w:vAlign w:val="center"/>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1,3%</w:t>
            </w:r>
          </w:p>
        </w:tc>
        <w:tc>
          <w:tcPr>
            <w:tcW w:w="214" w:type="pct"/>
            <w:tcBorders>
              <w:top w:val="single" w:sz="4" w:space="0" w:color="auto"/>
              <w:left w:val="single" w:sz="4" w:space="0" w:color="auto"/>
              <w:bottom w:val="single" w:sz="4" w:space="0" w:color="auto"/>
              <w:right w:val="single" w:sz="4" w:space="0" w:color="auto"/>
            </w:tcBorders>
            <w:noWrap/>
            <w:vAlign w:val="center"/>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-0,1%</w:t>
            </w:r>
          </w:p>
        </w:tc>
        <w:tc>
          <w:tcPr>
            <w:tcW w:w="355" w:type="pct"/>
            <w:tcBorders>
              <w:top w:val="single" w:sz="4" w:space="0" w:color="auto"/>
              <w:left w:val="single" w:sz="4" w:space="0" w:color="auto"/>
              <w:bottom w:val="single" w:sz="4" w:space="0" w:color="auto"/>
              <w:right w:val="single" w:sz="4" w:space="0" w:color="auto"/>
            </w:tcBorders>
            <w:noWrap/>
            <w:vAlign w:val="center"/>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0,0%</w:t>
            </w:r>
          </w:p>
        </w:tc>
        <w:tc>
          <w:tcPr>
            <w:tcW w:w="278" w:type="pct"/>
            <w:tcBorders>
              <w:top w:val="single" w:sz="4" w:space="0" w:color="auto"/>
              <w:left w:val="single" w:sz="4" w:space="0" w:color="auto"/>
              <w:bottom w:val="single" w:sz="4" w:space="0" w:color="auto"/>
              <w:right w:val="single" w:sz="4" w:space="0" w:color="auto"/>
            </w:tcBorders>
            <w:noWrap/>
            <w:vAlign w:val="center"/>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-4,1%</w:t>
            </w:r>
          </w:p>
        </w:tc>
        <w:tc>
          <w:tcPr>
            <w:tcW w:w="229" w:type="pct"/>
            <w:tcBorders>
              <w:top w:val="single" w:sz="4" w:space="0" w:color="auto"/>
              <w:left w:val="single" w:sz="4" w:space="0" w:color="auto"/>
              <w:bottom w:val="single" w:sz="4" w:space="0" w:color="auto"/>
              <w:right w:val="single" w:sz="4" w:space="0" w:color="auto"/>
            </w:tcBorders>
            <w:noWrap/>
            <w:vAlign w:val="center"/>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-1,6%</w:t>
            </w:r>
          </w:p>
        </w:tc>
        <w:tc>
          <w:tcPr>
            <w:tcW w:w="213" w:type="pct"/>
            <w:tcBorders>
              <w:top w:val="single" w:sz="4" w:space="0" w:color="auto"/>
              <w:left w:val="single" w:sz="4" w:space="0" w:color="auto"/>
              <w:bottom w:val="single" w:sz="4" w:space="0" w:color="auto"/>
              <w:right w:val="single" w:sz="4" w:space="0" w:color="auto"/>
            </w:tcBorders>
            <w:noWrap/>
            <w:vAlign w:val="center"/>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-3,3%</w:t>
            </w:r>
          </w:p>
        </w:tc>
        <w:tc>
          <w:tcPr>
            <w:tcW w:w="277" w:type="pct"/>
            <w:tcBorders>
              <w:top w:val="single" w:sz="4" w:space="0" w:color="auto"/>
              <w:left w:val="single" w:sz="4" w:space="0" w:color="auto"/>
              <w:bottom w:val="single" w:sz="4" w:space="0" w:color="auto"/>
              <w:right w:val="single" w:sz="4" w:space="0" w:color="auto"/>
            </w:tcBorders>
            <w:noWrap/>
            <w:vAlign w:val="center"/>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3,4%</w:t>
            </w:r>
          </w:p>
        </w:tc>
        <w:tc>
          <w:tcPr>
            <w:tcW w:w="277" w:type="pct"/>
            <w:tcBorders>
              <w:top w:val="single" w:sz="4" w:space="0" w:color="auto"/>
              <w:left w:val="single" w:sz="4" w:space="0" w:color="auto"/>
              <w:bottom w:val="single" w:sz="4" w:space="0" w:color="auto"/>
              <w:right w:val="single" w:sz="4" w:space="0" w:color="auto"/>
            </w:tcBorders>
            <w:noWrap/>
            <w:vAlign w:val="center"/>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6,1%</w:t>
            </w:r>
          </w:p>
        </w:tc>
        <w:tc>
          <w:tcPr>
            <w:tcW w:w="278" w:type="pct"/>
            <w:tcBorders>
              <w:top w:val="single" w:sz="4" w:space="0" w:color="auto"/>
              <w:left w:val="single" w:sz="4" w:space="0" w:color="auto"/>
              <w:bottom w:val="single" w:sz="4" w:space="0" w:color="auto"/>
              <w:right w:val="single" w:sz="4" w:space="0" w:color="auto"/>
            </w:tcBorders>
            <w:noWrap/>
            <w:vAlign w:val="center"/>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4,8%</w:t>
            </w:r>
          </w:p>
        </w:tc>
        <w:tc>
          <w:tcPr>
            <w:tcW w:w="277" w:type="pct"/>
            <w:tcBorders>
              <w:top w:val="single" w:sz="4" w:space="0" w:color="auto"/>
              <w:left w:val="single" w:sz="4" w:space="0" w:color="auto"/>
              <w:bottom w:val="single" w:sz="4" w:space="0" w:color="auto"/>
              <w:right w:val="single" w:sz="4" w:space="0" w:color="auto"/>
            </w:tcBorders>
            <w:noWrap/>
            <w:vAlign w:val="center"/>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1,1%</w:t>
            </w:r>
          </w:p>
        </w:tc>
        <w:tc>
          <w:tcPr>
            <w:tcW w:w="282" w:type="pct"/>
            <w:tcBorders>
              <w:top w:val="single" w:sz="4" w:space="0" w:color="auto"/>
              <w:left w:val="single" w:sz="4" w:space="0" w:color="auto"/>
              <w:bottom w:val="single" w:sz="4" w:space="0" w:color="auto"/>
              <w:right w:val="single" w:sz="4" w:space="0" w:color="auto"/>
            </w:tcBorders>
            <w:noWrap/>
            <w:vAlign w:val="center"/>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0,0%</w:t>
            </w:r>
          </w:p>
        </w:tc>
      </w:tr>
      <w:tr w:rsidR="00A64028" w:rsidRPr="00A96FB4" w:rsidTr="00A64028">
        <w:tc>
          <w:tcPr>
            <w:tcW w:w="277" w:type="pct"/>
            <w:tcBorders>
              <w:top w:val="single" w:sz="4" w:space="0" w:color="auto"/>
              <w:left w:val="single" w:sz="4" w:space="0" w:color="auto"/>
              <w:bottom w:val="single" w:sz="4" w:space="0" w:color="auto"/>
              <w:right w:val="single" w:sz="4" w:space="0" w:color="auto"/>
            </w:tcBorders>
            <w:vAlign w:val="center"/>
          </w:tcPr>
          <w:p w:rsidR="00A64028" w:rsidRPr="00A96FB4" w:rsidRDefault="00A64028" w:rsidP="00103148">
            <w:pPr>
              <w:spacing w:after="0"/>
              <w:jc w:val="center"/>
              <w:rPr>
                <w:rFonts w:ascii="Arial Narrow" w:hAnsi="Arial Narrow" w:cs="Arial"/>
                <w:b/>
                <w:sz w:val="20"/>
                <w:szCs w:val="20"/>
              </w:rPr>
            </w:pPr>
            <w:r w:rsidRPr="00A96FB4">
              <w:rPr>
                <w:rFonts w:ascii="Arial Narrow" w:hAnsi="Arial Narrow" w:cs="Arial"/>
                <w:b/>
                <w:sz w:val="20"/>
                <w:szCs w:val="20"/>
              </w:rPr>
              <w:t>1.1.5.2</w:t>
            </w:r>
          </w:p>
        </w:tc>
        <w:tc>
          <w:tcPr>
            <w:tcW w:w="4723" w:type="pct"/>
            <w:gridSpan w:val="15"/>
            <w:tcBorders>
              <w:top w:val="single" w:sz="4" w:space="0" w:color="auto"/>
              <w:left w:val="single" w:sz="4" w:space="0" w:color="auto"/>
              <w:bottom w:val="single" w:sz="4" w:space="0" w:color="auto"/>
              <w:right w:val="single" w:sz="4" w:space="0" w:color="auto"/>
            </w:tcBorders>
            <w:vAlign w:val="center"/>
          </w:tcPr>
          <w:p w:rsidR="00A64028" w:rsidRPr="00A96FB4" w:rsidRDefault="00A64028" w:rsidP="00A96FB4">
            <w:pPr>
              <w:spacing w:after="0"/>
              <w:ind w:left="145" w:right="39"/>
              <w:rPr>
                <w:rFonts w:ascii="Arial Narrow" w:hAnsi="Arial Narrow"/>
                <w:b/>
                <w:sz w:val="20"/>
                <w:szCs w:val="20"/>
              </w:rPr>
            </w:pPr>
            <w:r w:rsidRPr="00A96FB4">
              <w:rPr>
                <w:rFonts w:ascii="Arial Narrow" w:hAnsi="Arial Narrow"/>
                <w:b/>
                <w:sz w:val="20"/>
                <w:szCs w:val="20"/>
              </w:rPr>
              <w:t>Средний уровень рентабельности на рынке (среднее значение).</w:t>
            </w:r>
          </w:p>
        </w:tc>
      </w:tr>
      <w:tr w:rsidR="00A64028" w:rsidRPr="00A96FB4" w:rsidTr="00A64028">
        <w:tc>
          <w:tcPr>
            <w:tcW w:w="277" w:type="pct"/>
            <w:tcBorders>
              <w:top w:val="single" w:sz="4" w:space="0" w:color="auto"/>
              <w:left w:val="single" w:sz="4" w:space="0" w:color="auto"/>
              <w:bottom w:val="single" w:sz="4" w:space="0" w:color="auto"/>
              <w:right w:val="single" w:sz="4" w:space="0" w:color="auto"/>
            </w:tcBorders>
            <w:vAlign w:val="center"/>
          </w:tcPr>
          <w:p w:rsidR="00A64028" w:rsidRPr="00A96FB4" w:rsidRDefault="00A64028" w:rsidP="00103148">
            <w:pPr>
              <w:spacing w:after="0"/>
              <w:jc w:val="center"/>
              <w:rPr>
                <w:rFonts w:ascii="Arial Narrow" w:hAnsi="Arial Narrow" w:cs="Arial"/>
                <w:sz w:val="20"/>
                <w:szCs w:val="20"/>
              </w:rPr>
            </w:pPr>
          </w:p>
        </w:tc>
        <w:tc>
          <w:tcPr>
            <w:tcW w:w="925" w:type="pct"/>
            <w:tcBorders>
              <w:top w:val="single" w:sz="4" w:space="0" w:color="auto"/>
              <w:left w:val="single" w:sz="4" w:space="0" w:color="auto"/>
              <w:bottom w:val="single" w:sz="4" w:space="0" w:color="auto"/>
              <w:right w:val="single" w:sz="4" w:space="0" w:color="auto"/>
            </w:tcBorders>
            <w:vAlign w:val="center"/>
          </w:tcPr>
          <w:p w:rsidR="00A64028" w:rsidRPr="00A96FB4" w:rsidRDefault="00A64028" w:rsidP="00A96FB4">
            <w:pPr>
              <w:spacing w:after="0"/>
              <w:ind w:left="145" w:right="39"/>
              <w:jc w:val="both"/>
              <w:rPr>
                <w:rFonts w:ascii="Arial Narrow" w:hAnsi="Arial Narrow"/>
                <w:sz w:val="20"/>
                <w:szCs w:val="20"/>
              </w:rPr>
            </w:pPr>
            <w:r w:rsidRPr="00A96FB4">
              <w:rPr>
                <w:rFonts w:ascii="Arial Narrow" w:hAnsi="Arial Narrow"/>
                <w:sz w:val="20"/>
                <w:szCs w:val="20"/>
              </w:rPr>
              <w:t>2015 г., %</w:t>
            </w:r>
          </w:p>
        </w:tc>
        <w:tc>
          <w:tcPr>
            <w:tcW w:w="284" w:type="pct"/>
            <w:tcBorders>
              <w:top w:val="single" w:sz="4" w:space="0" w:color="auto"/>
              <w:left w:val="single" w:sz="4" w:space="0" w:color="auto"/>
              <w:bottom w:val="single" w:sz="4" w:space="0" w:color="auto"/>
              <w:right w:val="single" w:sz="4" w:space="0" w:color="auto"/>
            </w:tcBorders>
            <w:noWrap/>
            <w:vAlign w:val="center"/>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25,0%</w:t>
            </w:r>
          </w:p>
        </w:tc>
        <w:tc>
          <w:tcPr>
            <w:tcW w:w="276" w:type="pct"/>
            <w:tcBorders>
              <w:top w:val="single" w:sz="4" w:space="0" w:color="auto"/>
              <w:left w:val="single" w:sz="4" w:space="0" w:color="auto"/>
              <w:bottom w:val="single" w:sz="4" w:space="0" w:color="auto"/>
              <w:right w:val="single" w:sz="4" w:space="0" w:color="auto"/>
            </w:tcBorders>
            <w:noWrap/>
            <w:vAlign w:val="center"/>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37,6%</w:t>
            </w:r>
          </w:p>
        </w:tc>
        <w:tc>
          <w:tcPr>
            <w:tcW w:w="277" w:type="pct"/>
            <w:tcBorders>
              <w:top w:val="single" w:sz="4" w:space="0" w:color="auto"/>
              <w:left w:val="single" w:sz="4" w:space="0" w:color="auto"/>
              <w:bottom w:val="single" w:sz="4" w:space="0" w:color="auto"/>
              <w:right w:val="single" w:sz="4" w:space="0" w:color="auto"/>
            </w:tcBorders>
            <w:noWrap/>
            <w:vAlign w:val="center"/>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20,0%</w:t>
            </w:r>
          </w:p>
        </w:tc>
        <w:tc>
          <w:tcPr>
            <w:tcW w:w="277" w:type="pct"/>
            <w:tcBorders>
              <w:top w:val="single" w:sz="4" w:space="0" w:color="auto"/>
              <w:left w:val="single" w:sz="4" w:space="0" w:color="auto"/>
              <w:bottom w:val="single" w:sz="4" w:space="0" w:color="auto"/>
              <w:right w:val="single" w:sz="4" w:space="0" w:color="auto"/>
            </w:tcBorders>
            <w:noWrap/>
            <w:vAlign w:val="center"/>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31,8%</w:t>
            </w:r>
          </w:p>
        </w:tc>
        <w:tc>
          <w:tcPr>
            <w:tcW w:w="214" w:type="pct"/>
            <w:tcBorders>
              <w:top w:val="single" w:sz="4" w:space="0" w:color="auto"/>
              <w:left w:val="single" w:sz="4" w:space="0" w:color="auto"/>
              <w:bottom w:val="single" w:sz="4" w:space="0" w:color="auto"/>
              <w:right w:val="single" w:sz="4" w:space="0" w:color="auto"/>
            </w:tcBorders>
            <w:noWrap/>
            <w:vAlign w:val="center"/>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24,6%</w:t>
            </w:r>
          </w:p>
        </w:tc>
        <w:tc>
          <w:tcPr>
            <w:tcW w:w="355" w:type="pct"/>
            <w:tcBorders>
              <w:top w:val="single" w:sz="4" w:space="0" w:color="auto"/>
              <w:left w:val="single" w:sz="4" w:space="0" w:color="auto"/>
              <w:bottom w:val="single" w:sz="4" w:space="0" w:color="auto"/>
              <w:right w:val="single" w:sz="4" w:space="0" w:color="auto"/>
            </w:tcBorders>
            <w:noWrap/>
            <w:vAlign w:val="center"/>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32,0%</w:t>
            </w:r>
          </w:p>
        </w:tc>
        <w:tc>
          <w:tcPr>
            <w:tcW w:w="278" w:type="pct"/>
            <w:tcBorders>
              <w:top w:val="single" w:sz="4" w:space="0" w:color="auto"/>
              <w:left w:val="single" w:sz="4" w:space="0" w:color="auto"/>
              <w:bottom w:val="single" w:sz="4" w:space="0" w:color="auto"/>
              <w:right w:val="single" w:sz="4" w:space="0" w:color="auto"/>
            </w:tcBorders>
            <w:noWrap/>
            <w:vAlign w:val="center"/>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37,9%</w:t>
            </w:r>
          </w:p>
        </w:tc>
        <w:tc>
          <w:tcPr>
            <w:tcW w:w="229" w:type="pct"/>
            <w:tcBorders>
              <w:top w:val="single" w:sz="4" w:space="0" w:color="auto"/>
              <w:left w:val="single" w:sz="4" w:space="0" w:color="auto"/>
              <w:bottom w:val="single" w:sz="4" w:space="0" w:color="auto"/>
              <w:right w:val="single" w:sz="4" w:space="0" w:color="auto"/>
            </w:tcBorders>
            <w:noWrap/>
            <w:vAlign w:val="center"/>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26,0%</w:t>
            </w:r>
          </w:p>
        </w:tc>
        <w:tc>
          <w:tcPr>
            <w:tcW w:w="213" w:type="pct"/>
            <w:tcBorders>
              <w:top w:val="single" w:sz="4" w:space="0" w:color="auto"/>
              <w:left w:val="single" w:sz="4" w:space="0" w:color="auto"/>
              <w:bottom w:val="single" w:sz="4" w:space="0" w:color="auto"/>
              <w:right w:val="single" w:sz="4" w:space="0" w:color="auto"/>
            </w:tcBorders>
            <w:noWrap/>
            <w:vAlign w:val="center"/>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24,5%</w:t>
            </w:r>
          </w:p>
        </w:tc>
        <w:tc>
          <w:tcPr>
            <w:tcW w:w="277" w:type="pct"/>
            <w:tcBorders>
              <w:top w:val="single" w:sz="4" w:space="0" w:color="auto"/>
              <w:left w:val="single" w:sz="4" w:space="0" w:color="auto"/>
              <w:bottom w:val="single" w:sz="4" w:space="0" w:color="auto"/>
              <w:right w:val="single" w:sz="4" w:space="0" w:color="auto"/>
            </w:tcBorders>
            <w:noWrap/>
            <w:vAlign w:val="center"/>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21,8%</w:t>
            </w:r>
          </w:p>
        </w:tc>
        <w:tc>
          <w:tcPr>
            <w:tcW w:w="277" w:type="pct"/>
            <w:tcBorders>
              <w:top w:val="single" w:sz="4" w:space="0" w:color="auto"/>
              <w:left w:val="single" w:sz="4" w:space="0" w:color="auto"/>
              <w:bottom w:val="single" w:sz="4" w:space="0" w:color="auto"/>
              <w:right w:val="single" w:sz="4" w:space="0" w:color="auto"/>
            </w:tcBorders>
            <w:noWrap/>
            <w:vAlign w:val="center"/>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21,0%</w:t>
            </w:r>
          </w:p>
        </w:tc>
        <w:tc>
          <w:tcPr>
            <w:tcW w:w="278" w:type="pct"/>
            <w:tcBorders>
              <w:top w:val="single" w:sz="4" w:space="0" w:color="auto"/>
              <w:left w:val="single" w:sz="4" w:space="0" w:color="auto"/>
              <w:bottom w:val="single" w:sz="4" w:space="0" w:color="auto"/>
              <w:right w:val="single" w:sz="4" w:space="0" w:color="auto"/>
            </w:tcBorders>
            <w:noWrap/>
            <w:vAlign w:val="center"/>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30,3%</w:t>
            </w:r>
          </w:p>
        </w:tc>
        <w:tc>
          <w:tcPr>
            <w:tcW w:w="277" w:type="pct"/>
            <w:tcBorders>
              <w:top w:val="single" w:sz="4" w:space="0" w:color="auto"/>
              <w:left w:val="single" w:sz="4" w:space="0" w:color="auto"/>
              <w:bottom w:val="single" w:sz="4" w:space="0" w:color="auto"/>
              <w:right w:val="single" w:sz="4" w:space="0" w:color="auto"/>
            </w:tcBorders>
            <w:noWrap/>
            <w:vAlign w:val="center"/>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26,7%</w:t>
            </w:r>
          </w:p>
        </w:tc>
        <w:tc>
          <w:tcPr>
            <w:tcW w:w="282" w:type="pct"/>
            <w:tcBorders>
              <w:top w:val="single" w:sz="4" w:space="0" w:color="auto"/>
              <w:left w:val="single" w:sz="4" w:space="0" w:color="auto"/>
              <w:bottom w:val="single" w:sz="4" w:space="0" w:color="auto"/>
              <w:right w:val="single" w:sz="4" w:space="0" w:color="auto"/>
            </w:tcBorders>
            <w:noWrap/>
            <w:vAlign w:val="center"/>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35,0%</w:t>
            </w:r>
          </w:p>
        </w:tc>
      </w:tr>
      <w:tr w:rsidR="00A64028" w:rsidRPr="00A96FB4" w:rsidTr="00A64028">
        <w:tc>
          <w:tcPr>
            <w:tcW w:w="277" w:type="pct"/>
            <w:tcBorders>
              <w:top w:val="single" w:sz="4" w:space="0" w:color="auto"/>
              <w:left w:val="single" w:sz="4" w:space="0" w:color="auto"/>
              <w:bottom w:val="single" w:sz="4" w:space="0" w:color="auto"/>
              <w:right w:val="single" w:sz="4" w:space="0" w:color="auto"/>
            </w:tcBorders>
            <w:vAlign w:val="center"/>
          </w:tcPr>
          <w:p w:rsidR="00A64028" w:rsidRPr="00A96FB4" w:rsidRDefault="00A64028" w:rsidP="00103148">
            <w:pPr>
              <w:spacing w:after="0"/>
              <w:jc w:val="center"/>
              <w:rPr>
                <w:rFonts w:ascii="Arial Narrow" w:hAnsi="Arial Narrow" w:cs="Arial"/>
                <w:sz w:val="20"/>
                <w:szCs w:val="20"/>
              </w:rPr>
            </w:pPr>
          </w:p>
        </w:tc>
        <w:tc>
          <w:tcPr>
            <w:tcW w:w="925" w:type="pct"/>
            <w:tcBorders>
              <w:top w:val="single" w:sz="4" w:space="0" w:color="auto"/>
              <w:left w:val="single" w:sz="4" w:space="0" w:color="auto"/>
              <w:bottom w:val="single" w:sz="4" w:space="0" w:color="auto"/>
              <w:right w:val="single" w:sz="4" w:space="0" w:color="auto"/>
            </w:tcBorders>
            <w:vAlign w:val="center"/>
          </w:tcPr>
          <w:p w:rsidR="00A64028" w:rsidRPr="00A96FB4" w:rsidRDefault="00A64028" w:rsidP="00A96FB4">
            <w:pPr>
              <w:spacing w:after="0"/>
              <w:ind w:left="145" w:right="39"/>
              <w:jc w:val="both"/>
              <w:rPr>
                <w:rFonts w:ascii="Arial Narrow" w:hAnsi="Arial Narrow"/>
                <w:sz w:val="20"/>
                <w:szCs w:val="20"/>
              </w:rPr>
            </w:pPr>
            <w:r w:rsidRPr="00A96FB4">
              <w:rPr>
                <w:rFonts w:ascii="Arial Narrow" w:hAnsi="Arial Narrow"/>
                <w:sz w:val="20"/>
                <w:szCs w:val="20"/>
              </w:rPr>
              <w:t>2016 г., %</w:t>
            </w:r>
          </w:p>
        </w:tc>
        <w:tc>
          <w:tcPr>
            <w:tcW w:w="284" w:type="pct"/>
            <w:tcBorders>
              <w:top w:val="single" w:sz="4" w:space="0" w:color="auto"/>
              <w:left w:val="single" w:sz="4" w:space="0" w:color="auto"/>
              <w:bottom w:val="single" w:sz="4" w:space="0" w:color="auto"/>
              <w:right w:val="single" w:sz="4" w:space="0" w:color="auto"/>
            </w:tcBorders>
            <w:noWrap/>
            <w:vAlign w:val="center"/>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25,0%</w:t>
            </w:r>
          </w:p>
        </w:tc>
        <w:tc>
          <w:tcPr>
            <w:tcW w:w="276" w:type="pct"/>
            <w:tcBorders>
              <w:top w:val="single" w:sz="4" w:space="0" w:color="auto"/>
              <w:left w:val="single" w:sz="4" w:space="0" w:color="auto"/>
              <w:bottom w:val="single" w:sz="4" w:space="0" w:color="auto"/>
              <w:right w:val="single" w:sz="4" w:space="0" w:color="auto"/>
            </w:tcBorders>
            <w:noWrap/>
            <w:vAlign w:val="center"/>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36,9%</w:t>
            </w:r>
          </w:p>
        </w:tc>
        <w:tc>
          <w:tcPr>
            <w:tcW w:w="277" w:type="pct"/>
            <w:tcBorders>
              <w:top w:val="single" w:sz="4" w:space="0" w:color="auto"/>
              <w:left w:val="single" w:sz="4" w:space="0" w:color="auto"/>
              <w:bottom w:val="single" w:sz="4" w:space="0" w:color="auto"/>
              <w:right w:val="single" w:sz="4" w:space="0" w:color="auto"/>
            </w:tcBorders>
            <w:noWrap/>
            <w:vAlign w:val="center"/>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20,0%</w:t>
            </w:r>
          </w:p>
        </w:tc>
        <w:tc>
          <w:tcPr>
            <w:tcW w:w="277" w:type="pct"/>
            <w:tcBorders>
              <w:top w:val="single" w:sz="4" w:space="0" w:color="auto"/>
              <w:left w:val="single" w:sz="4" w:space="0" w:color="auto"/>
              <w:bottom w:val="single" w:sz="4" w:space="0" w:color="auto"/>
              <w:right w:val="single" w:sz="4" w:space="0" w:color="auto"/>
            </w:tcBorders>
            <w:noWrap/>
            <w:vAlign w:val="center"/>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32,6%</w:t>
            </w:r>
          </w:p>
        </w:tc>
        <w:tc>
          <w:tcPr>
            <w:tcW w:w="214" w:type="pct"/>
            <w:tcBorders>
              <w:top w:val="single" w:sz="4" w:space="0" w:color="auto"/>
              <w:left w:val="single" w:sz="4" w:space="0" w:color="auto"/>
              <w:bottom w:val="single" w:sz="4" w:space="0" w:color="auto"/>
              <w:right w:val="single" w:sz="4" w:space="0" w:color="auto"/>
            </w:tcBorders>
            <w:noWrap/>
            <w:vAlign w:val="center"/>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25,4%</w:t>
            </w:r>
          </w:p>
        </w:tc>
        <w:tc>
          <w:tcPr>
            <w:tcW w:w="355" w:type="pct"/>
            <w:tcBorders>
              <w:top w:val="single" w:sz="4" w:space="0" w:color="auto"/>
              <w:left w:val="single" w:sz="4" w:space="0" w:color="auto"/>
              <w:bottom w:val="single" w:sz="4" w:space="0" w:color="auto"/>
              <w:right w:val="single" w:sz="4" w:space="0" w:color="auto"/>
            </w:tcBorders>
            <w:noWrap/>
            <w:vAlign w:val="center"/>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32,0%</w:t>
            </w:r>
          </w:p>
        </w:tc>
        <w:tc>
          <w:tcPr>
            <w:tcW w:w="278" w:type="pct"/>
            <w:tcBorders>
              <w:top w:val="single" w:sz="4" w:space="0" w:color="auto"/>
              <w:left w:val="single" w:sz="4" w:space="0" w:color="auto"/>
              <w:bottom w:val="single" w:sz="4" w:space="0" w:color="auto"/>
              <w:right w:val="single" w:sz="4" w:space="0" w:color="auto"/>
            </w:tcBorders>
            <w:noWrap/>
            <w:vAlign w:val="center"/>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40,6%</w:t>
            </w:r>
          </w:p>
        </w:tc>
        <w:tc>
          <w:tcPr>
            <w:tcW w:w="229" w:type="pct"/>
            <w:tcBorders>
              <w:top w:val="single" w:sz="4" w:space="0" w:color="auto"/>
              <w:left w:val="single" w:sz="4" w:space="0" w:color="auto"/>
              <w:bottom w:val="single" w:sz="4" w:space="0" w:color="auto"/>
              <w:right w:val="single" w:sz="4" w:space="0" w:color="auto"/>
            </w:tcBorders>
            <w:noWrap/>
            <w:vAlign w:val="center"/>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24,0%</w:t>
            </w:r>
          </w:p>
        </w:tc>
        <w:tc>
          <w:tcPr>
            <w:tcW w:w="213" w:type="pct"/>
            <w:tcBorders>
              <w:top w:val="single" w:sz="4" w:space="0" w:color="auto"/>
              <w:left w:val="single" w:sz="4" w:space="0" w:color="auto"/>
              <w:bottom w:val="single" w:sz="4" w:space="0" w:color="auto"/>
              <w:right w:val="single" w:sz="4" w:space="0" w:color="auto"/>
            </w:tcBorders>
            <w:noWrap/>
            <w:vAlign w:val="center"/>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23,7%</w:t>
            </w:r>
          </w:p>
        </w:tc>
        <w:tc>
          <w:tcPr>
            <w:tcW w:w="277" w:type="pct"/>
            <w:tcBorders>
              <w:top w:val="single" w:sz="4" w:space="0" w:color="auto"/>
              <w:left w:val="single" w:sz="4" w:space="0" w:color="auto"/>
              <w:bottom w:val="single" w:sz="4" w:space="0" w:color="auto"/>
              <w:right w:val="single" w:sz="4" w:space="0" w:color="auto"/>
            </w:tcBorders>
            <w:noWrap/>
            <w:vAlign w:val="center"/>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22,4%</w:t>
            </w:r>
          </w:p>
        </w:tc>
        <w:tc>
          <w:tcPr>
            <w:tcW w:w="277" w:type="pct"/>
            <w:tcBorders>
              <w:top w:val="single" w:sz="4" w:space="0" w:color="auto"/>
              <w:left w:val="single" w:sz="4" w:space="0" w:color="auto"/>
              <w:bottom w:val="single" w:sz="4" w:space="0" w:color="auto"/>
              <w:right w:val="single" w:sz="4" w:space="0" w:color="auto"/>
            </w:tcBorders>
            <w:noWrap/>
            <w:vAlign w:val="center"/>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23,4%</w:t>
            </w:r>
          </w:p>
        </w:tc>
        <w:tc>
          <w:tcPr>
            <w:tcW w:w="278" w:type="pct"/>
            <w:tcBorders>
              <w:top w:val="single" w:sz="4" w:space="0" w:color="auto"/>
              <w:left w:val="single" w:sz="4" w:space="0" w:color="auto"/>
              <w:bottom w:val="single" w:sz="4" w:space="0" w:color="auto"/>
              <w:right w:val="single" w:sz="4" w:space="0" w:color="auto"/>
            </w:tcBorders>
            <w:noWrap/>
            <w:vAlign w:val="center"/>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28,3%</w:t>
            </w:r>
          </w:p>
        </w:tc>
        <w:tc>
          <w:tcPr>
            <w:tcW w:w="277" w:type="pct"/>
            <w:tcBorders>
              <w:top w:val="single" w:sz="4" w:space="0" w:color="auto"/>
              <w:left w:val="single" w:sz="4" w:space="0" w:color="auto"/>
              <w:bottom w:val="single" w:sz="4" w:space="0" w:color="auto"/>
              <w:right w:val="single" w:sz="4" w:space="0" w:color="auto"/>
            </w:tcBorders>
            <w:noWrap/>
            <w:vAlign w:val="center"/>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27,8%</w:t>
            </w:r>
          </w:p>
        </w:tc>
        <w:tc>
          <w:tcPr>
            <w:tcW w:w="282" w:type="pct"/>
            <w:tcBorders>
              <w:top w:val="single" w:sz="4" w:space="0" w:color="auto"/>
              <w:left w:val="single" w:sz="4" w:space="0" w:color="auto"/>
              <w:bottom w:val="single" w:sz="4" w:space="0" w:color="auto"/>
              <w:right w:val="single" w:sz="4" w:space="0" w:color="auto"/>
            </w:tcBorders>
            <w:noWrap/>
            <w:vAlign w:val="center"/>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35,0%</w:t>
            </w:r>
          </w:p>
        </w:tc>
      </w:tr>
      <w:tr w:rsidR="00A64028" w:rsidRPr="00A96FB4" w:rsidTr="00A64028">
        <w:tc>
          <w:tcPr>
            <w:tcW w:w="277" w:type="pct"/>
            <w:tcBorders>
              <w:top w:val="single" w:sz="4" w:space="0" w:color="auto"/>
              <w:left w:val="single" w:sz="4" w:space="0" w:color="auto"/>
              <w:bottom w:val="single" w:sz="4" w:space="0" w:color="auto"/>
              <w:right w:val="single" w:sz="4" w:space="0" w:color="auto"/>
            </w:tcBorders>
            <w:vAlign w:val="center"/>
          </w:tcPr>
          <w:p w:rsidR="00A64028" w:rsidRPr="00A96FB4" w:rsidRDefault="00A64028" w:rsidP="00103148">
            <w:pPr>
              <w:spacing w:after="0"/>
              <w:jc w:val="center"/>
              <w:rPr>
                <w:rFonts w:ascii="Arial Narrow" w:hAnsi="Arial Narrow" w:cs="Arial"/>
                <w:sz w:val="20"/>
                <w:szCs w:val="20"/>
              </w:rPr>
            </w:pPr>
            <w:r w:rsidRPr="00A96FB4">
              <w:rPr>
                <w:rFonts w:ascii="Arial Narrow" w:hAnsi="Arial Narrow" w:cs="Arial"/>
                <w:sz w:val="20"/>
                <w:szCs w:val="20"/>
              </w:rPr>
              <w:t>1.1.5.3</w:t>
            </w:r>
          </w:p>
        </w:tc>
        <w:tc>
          <w:tcPr>
            <w:tcW w:w="4723" w:type="pct"/>
            <w:gridSpan w:val="15"/>
            <w:tcBorders>
              <w:top w:val="single" w:sz="4" w:space="0" w:color="auto"/>
              <w:left w:val="single" w:sz="4" w:space="0" w:color="auto"/>
              <w:bottom w:val="single" w:sz="4" w:space="0" w:color="auto"/>
              <w:right w:val="single" w:sz="4" w:space="0" w:color="auto"/>
            </w:tcBorders>
            <w:vAlign w:val="center"/>
          </w:tcPr>
          <w:p w:rsidR="00A64028" w:rsidRPr="00A96FB4" w:rsidRDefault="00A64028" w:rsidP="00A96FB4">
            <w:pPr>
              <w:spacing w:after="0"/>
              <w:ind w:left="145" w:right="39"/>
              <w:jc w:val="both"/>
              <w:rPr>
                <w:rFonts w:ascii="Arial Narrow" w:hAnsi="Arial Narrow"/>
                <w:b/>
                <w:sz w:val="20"/>
                <w:szCs w:val="20"/>
              </w:rPr>
            </w:pPr>
            <w:r w:rsidRPr="00A96FB4">
              <w:rPr>
                <w:rFonts w:ascii="Arial Narrow" w:hAnsi="Arial Narrow"/>
                <w:b/>
                <w:sz w:val="20"/>
                <w:szCs w:val="20"/>
              </w:rPr>
              <w:t>Доля участников рынков, считающих свой бизнес успешным (% от числа опрошенных)</w:t>
            </w:r>
          </w:p>
        </w:tc>
      </w:tr>
      <w:tr w:rsidR="00A64028" w:rsidRPr="00A96FB4" w:rsidTr="00A64028">
        <w:tc>
          <w:tcPr>
            <w:tcW w:w="277" w:type="pct"/>
            <w:tcBorders>
              <w:top w:val="single" w:sz="4" w:space="0" w:color="auto"/>
              <w:left w:val="single" w:sz="4" w:space="0" w:color="auto"/>
              <w:bottom w:val="single" w:sz="4" w:space="0" w:color="auto"/>
              <w:right w:val="single" w:sz="4" w:space="0" w:color="auto"/>
            </w:tcBorders>
            <w:vAlign w:val="center"/>
          </w:tcPr>
          <w:p w:rsidR="00A64028" w:rsidRPr="00A96FB4" w:rsidRDefault="00A64028" w:rsidP="00103148">
            <w:pPr>
              <w:spacing w:after="0"/>
              <w:jc w:val="center"/>
              <w:rPr>
                <w:rFonts w:ascii="Arial Narrow" w:hAnsi="Arial Narrow" w:cs="Arial"/>
                <w:sz w:val="20"/>
                <w:szCs w:val="20"/>
              </w:rPr>
            </w:pPr>
          </w:p>
        </w:tc>
        <w:tc>
          <w:tcPr>
            <w:tcW w:w="925" w:type="pct"/>
            <w:tcBorders>
              <w:top w:val="single" w:sz="4" w:space="0" w:color="auto"/>
              <w:left w:val="single" w:sz="4" w:space="0" w:color="auto"/>
              <w:bottom w:val="single" w:sz="4" w:space="0" w:color="auto"/>
              <w:right w:val="single" w:sz="4" w:space="0" w:color="auto"/>
            </w:tcBorders>
            <w:vAlign w:val="center"/>
          </w:tcPr>
          <w:p w:rsidR="00A64028" w:rsidRPr="00A96FB4" w:rsidRDefault="00A64028" w:rsidP="00A96FB4">
            <w:pPr>
              <w:spacing w:after="0"/>
              <w:ind w:left="145" w:right="39"/>
              <w:jc w:val="both"/>
              <w:rPr>
                <w:rFonts w:ascii="Arial Narrow" w:hAnsi="Arial Narrow"/>
                <w:sz w:val="20"/>
                <w:szCs w:val="20"/>
              </w:rPr>
            </w:pPr>
            <w:r w:rsidRPr="00A96FB4">
              <w:rPr>
                <w:rFonts w:ascii="Arial Narrow" w:hAnsi="Arial Narrow"/>
                <w:sz w:val="20"/>
                <w:szCs w:val="20"/>
              </w:rPr>
              <w:t>Бизнес развивается успешно /скорее успешно, %</w:t>
            </w:r>
          </w:p>
        </w:tc>
        <w:tc>
          <w:tcPr>
            <w:tcW w:w="284" w:type="pct"/>
            <w:tcBorders>
              <w:top w:val="single" w:sz="4" w:space="0" w:color="auto"/>
              <w:left w:val="single" w:sz="4" w:space="0" w:color="auto"/>
              <w:bottom w:val="single" w:sz="4" w:space="0" w:color="auto"/>
              <w:right w:val="single" w:sz="4" w:space="0" w:color="auto"/>
            </w:tcBorders>
            <w:noWrap/>
            <w:vAlign w:val="center"/>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22,7%</w:t>
            </w:r>
          </w:p>
        </w:tc>
        <w:tc>
          <w:tcPr>
            <w:tcW w:w="276" w:type="pct"/>
            <w:tcBorders>
              <w:top w:val="single" w:sz="4" w:space="0" w:color="auto"/>
              <w:left w:val="single" w:sz="4" w:space="0" w:color="auto"/>
              <w:bottom w:val="single" w:sz="4" w:space="0" w:color="auto"/>
              <w:right w:val="single" w:sz="4" w:space="0" w:color="auto"/>
            </w:tcBorders>
            <w:noWrap/>
            <w:vAlign w:val="center"/>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30,0%</w:t>
            </w:r>
          </w:p>
        </w:tc>
        <w:tc>
          <w:tcPr>
            <w:tcW w:w="277" w:type="pct"/>
            <w:tcBorders>
              <w:top w:val="single" w:sz="4" w:space="0" w:color="auto"/>
              <w:left w:val="single" w:sz="4" w:space="0" w:color="auto"/>
              <w:bottom w:val="single" w:sz="4" w:space="0" w:color="auto"/>
              <w:right w:val="single" w:sz="4" w:space="0" w:color="auto"/>
            </w:tcBorders>
            <w:noWrap/>
            <w:vAlign w:val="center"/>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40,0%</w:t>
            </w:r>
          </w:p>
        </w:tc>
        <w:tc>
          <w:tcPr>
            <w:tcW w:w="277" w:type="pct"/>
            <w:tcBorders>
              <w:top w:val="single" w:sz="4" w:space="0" w:color="auto"/>
              <w:left w:val="single" w:sz="4" w:space="0" w:color="auto"/>
              <w:bottom w:val="single" w:sz="4" w:space="0" w:color="auto"/>
              <w:right w:val="single" w:sz="4" w:space="0" w:color="auto"/>
            </w:tcBorders>
            <w:noWrap/>
            <w:vAlign w:val="center"/>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20,0%</w:t>
            </w:r>
          </w:p>
        </w:tc>
        <w:tc>
          <w:tcPr>
            <w:tcW w:w="214" w:type="pct"/>
            <w:tcBorders>
              <w:top w:val="single" w:sz="4" w:space="0" w:color="auto"/>
              <w:left w:val="single" w:sz="4" w:space="0" w:color="auto"/>
              <w:bottom w:val="single" w:sz="4" w:space="0" w:color="auto"/>
              <w:right w:val="single" w:sz="4" w:space="0" w:color="auto"/>
            </w:tcBorders>
            <w:noWrap/>
            <w:vAlign w:val="center"/>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35,7%</w:t>
            </w:r>
          </w:p>
        </w:tc>
        <w:tc>
          <w:tcPr>
            <w:tcW w:w="355" w:type="pct"/>
            <w:tcBorders>
              <w:top w:val="single" w:sz="4" w:space="0" w:color="auto"/>
              <w:left w:val="single" w:sz="4" w:space="0" w:color="auto"/>
              <w:bottom w:val="single" w:sz="4" w:space="0" w:color="auto"/>
              <w:right w:val="single" w:sz="4" w:space="0" w:color="auto"/>
            </w:tcBorders>
            <w:noWrap/>
            <w:vAlign w:val="center"/>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56,0%</w:t>
            </w:r>
          </w:p>
        </w:tc>
        <w:tc>
          <w:tcPr>
            <w:tcW w:w="278" w:type="pct"/>
            <w:tcBorders>
              <w:top w:val="single" w:sz="4" w:space="0" w:color="auto"/>
              <w:left w:val="single" w:sz="4" w:space="0" w:color="auto"/>
              <w:bottom w:val="single" w:sz="4" w:space="0" w:color="auto"/>
              <w:right w:val="single" w:sz="4" w:space="0" w:color="auto"/>
            </w:tcBorders>
            <w:noWrap/>
            <w:vAlign w:val="center"/>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24,0%</w:t>
            </w:r>
          </w:p>
        </w:tc>
        <w:tc>
          <w:tcPr>
            <w:tcW w:w="229" w:type="pct"/>
            <w:tcBorders>
              <w:top w:val="single" w:sz="4" w:space="0" w:color="auto"/>
              <w:left w:val="single" w:sz="4" w:space="0" w:color="auto"/>
              <w:bottom w:val="single" w:sz="4" w:space="0" w:color="auto"/>
              <w:right w:val="single" w:sz="4" w:space="0" w:color="auto"/>
            </w:tcBorders>
            <w:noWrap/>
            <w:vAlign w:val="center"/>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21,4%</w:t>
            </w:r>
          </w:p>
        </w:tc>
        <w:tc>
          <w:tcPr>
            <w:tcW w:w="213" w:type="pct"/>
            <w:tcBorders>
              <w:top w:val="single" w:sz="4" w:space="0" w:color="auto"/>
              <w:left w:val="single" w:sz="4" w:space="0" w:color="auto"/>
              <w:bottom w:val="single" w:sz="4" w:space="0" w:color="auto"/>
              <w:right w:val="single" w:sz="4" w:space="0" w:color="auto"/>
            </w:tcBorders>
            <w:noWrap/>
            <w:vAlign w:val="center"/>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13,9%</w:t>
            </w:r>
          </w:p>
        </w:tc>
        <w:tc>
          <w:tcPr>
            <w:tcW w:w="277" w:type="pct"/>
            <w:tcBorders>
              <w:top w:val="single" w:sz="4" w:space="0" w:color="auto"/>
              <w:left w:val="single" w:sz="4" w:space="0" w:color="auto"/>
              <w:bottom w:val="single" w:sz="4" w:space="0" w:color="auto"/>
              <w:right w:val="single" w:sz="4" w:space="0" w:color="auto"/>
            </w:tcBorders>
            <w:noWrap/>
            <w:vAlign w:val="center"/>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13,3%</w:t>
            </w:r>
          </w:p>
        </w:tc>
        <w:tc>
          <w:tcPr>
            <w:tcW w:w="277" w:type="pct"/>
            <w:tcBorders>
              <w:top w:val="single" w:sz="4" w:space="0" w:color="auto"/>
              <w:left w:val="single" w:sz="4" w:space="0" w:color="auto"/>
              <w:bottom w:val="single" w:sz="4" w:space="0" w:color="auto"/>
              <w:right w:val="single" w:sz="4" w:space="0" w:color="auto"/>
            </w:tcBorders>
            <w:noWrap/>
            <w:vAlign w:val="center"/>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24,0%</w:t>
            </w:r>
          </w:p>
        </w:tc>
        <w:tc>
          <w:tcPr>
            <w:tcW w:w="278" w:type="pct"/>
            <w:tcBorders>
              <w:top w:val="single" w:sz="4" w:space="0" w:color="auto"/>
              <w:left w:val="single" w:sz="4" w:space="0" w:color="auto"/>
              <w:bottom w:val="single" w:sz="4" w:space="0" w:color="auto"/>
              <w:right w:val="single" w:sz="4" w:space="0" w:color="auto"/>
            </w:tcBorders>
            <w:noWrap/>
            <w:vAlign w:val="center"/>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36,0%</w:t>
            </w:r>
          </w:p>
        </w:tc>
        <w:tc>
          <w:tcPr>
            <w:tcW w:w="277" w:type="pct"/>
            <w:tcBorders>
              <w:top w:val="single" w:sz="4" w:space="0" w:color="auto"/>
              <w:left w:val="single" w:sz="4" w:space="0" w:color="auto"/>
              <w:bottom w:val="single" w:sz="4" w:space="0" w:color="auto"/>
              <w:right w:val="single" w:sz="4" w:space="0" w:color="auto"/>
            </w:tcBorders>
            <w:noWrap/>
            <w:vAlign w:val="center"/>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26,0%</w:t>
            </w:r>
          </w:p>
        </w:tc>
        <w:tc>
          <w:tcPr>
            <w:tcW w:w="282" w:type="pct"/>
            <w:tcBorders>
              <w:top w:val="single" w:sz="4" w:space="0" w:color="auto"/>
              <w:left w:val="single" w:sz="4" w:space="0" w:color="auto"/>
              <w:bottom w:val="single" w:sz="4" w:space="0" w:color="auto"/>
              <w:right w:val="single" w:sz="4" w:space="0" w:color="auto"/>
            </w:tcBorders>
            <w:noWrap/>
            <w:vAlign w:val="center"/>
          </w:tcPr>
          <w:p w:rsidR="00A64028" w:rsidRPr="00A96FB4" w:rsidRDefault="00A64028" w:rsidP="00103148">
            <w:pPr>
              <w:spacing w:after="0"/>
              <w:jc w:val="center"/>
              <w:rPr>
                <w:rFonts w:ascii="Arial Narrow" w:hAnsi="Arial Narrow"/>
                <w:sz w:val="20"/>
                <w:szCs w:val="20"/>
              </w:rPr>
            </w:pPr>
            <w:r w:rsidRPr="00A96FB4">
              <w:rPr>
                <w:rFonts w:ascii="Arial Narrow" w:hAnsi="Arial Narrow"/>
                <w:sz w:val="20"/>
                <w:szCs w:val="20"/>
              </w:rPr>
              <w:t>30,0%</w:t>
            </w:r>
          </w:p>
        </w:tc>
      </w:tr>
    </w:tbl>
    <w:p w:rsidR="00A64028" w:rsidRDefault="00A64028" w:rsidP="00103148">
      <w:pPr>
        <w:spacing w:after="0" w:line="360" w:lineRule="auto"/>
        <w:ind w:firstLine="284"/>
        <w:jc w:val="both"/>
        <w:rPr>
          <w:rFonts w:ascii="Arial Narrow" w:hAnsi="Arial Narrow"/>
          <w:b/>
          <w:sz w:val="24"/>
        </w:rPr>
      </w:pPr>
    </w:p>
    <w:p w:rsidR="00A64028" w:rsidRPr="00D50BF0" w:rsidRDefault="00A64028" w:rsidP="00A96FB4">
      <w:pPr>
        <w:spacing w:after="0" w:line="360" w:lineRule="auto"/>
        <w:ind w:firstLine="284"/>
        <w:jc w:val="both"/>
        <w:rPr>
          <w:rFonts w:ascii="Arial Narrow" w:hAnsi="Arial Narrow"/>
          <w:b/>
          <w:sz w:val="24"/>
        </w:rPr>
      </w:pPr>
      <w:r w:rsidRPr="00D50BF0">
        <w:rPr>
          <w:rFonts w:ascii="Arial Narrow" w:hAnsi="Arial Narrow"/>
          <w:b/>
          <w:sz w:val="24"/>
        </w:rPr>
        <w:t>Значение показателя 1.1.6.</w:t>
      </w:r>
      <w:r>
        <w:rPr>
          <w:rFonts w:ascii="Arial Narrow" w:hAnsi="Arial Narrow"/>
          <w:b/>
          <w:sz w:val="24"/>
        </w:rPr>
        <w:t xml:space="preserve"> </w:t>
      </w:r>
      <w:r w:rsidRPr="00D50BF0">
        <w:rPr>
          <w:rFonts w:ascii="Arial Narrow" w:hAnsi="Arial Narrow"/>
          <w:b/>
          <w:sz w:val="24"/>
        </w:rPr>
        <w:t>Доля участников рынков, считающих, что в Новосибирской области благоприятные условия ведения предпринимательской деятельности (% от числа опрошенных).</w:t>
      </w:r>
    </w:p>
    <w:p w:rsidR="00A45259" w:rsidRDefault="00A64028" w:rsidP="00A96FB4">
      <w:pPr>
        <w:spacing w:after="0" w:line="360" w:lineRule="auto"/>
        <w:ind w:firstLine="284"/>
        <w:jc w:val="both"/>
        <w:rPr>
          <w:rFonts w:ascii="Arial Narrow" w:eastAsia="Calibri" w:hAnsi="Arial Narrow"/>
          <w:bCs/>
          <w:sz w:val="24"/>
        </w:rPr>
      </w:pPr>
      <w:r>
        <w:rPr>
          <w:rFonts w:ascii="Arial Narrow" w:eastAsia="Calibri" w:hAnsi="Arial Narrow"/>
          <w:bCs/>
          <w:sz w:val="24"/>
        </w:rPr>
        <w:t xml:space="preserve">Благоприятными </w:t>
      </w:r>
      <w:r w:rsidRPr="003D5D61">
        <w:rPr>
          <w:rFonts w:ascii="Arial Narrow" w:eastAsia="Calibri" w:hAnsi="Arial Narrow"/>
          <w:bCs/>
          <w:sz w:val="24"/>
        </w:rPr>
        <w:t>условия ведения предпринимательской деятельности в Новосибирской области</w:t>
      </w:r>
      <w:r>
        <w:rPr>
          <w:rFonts w:ascii="Arial Narrow" w:eastAsia="Calibri" w:hAnsi="Arial Narrow"/>
          <w:bCs/>
          <w:sz w:val="24"/>
        </w:rPr>
        <w:t xml:space="preserve"> считают 12,9 % опрошенных. Наибольшая доля положительных оценок условий ведения предпринимательской деятельности наблюдается у представителей бизнеса, работающих в сфере услуг по сбору, сортировке и переработке твердых коммунальных (бытовых) отходов (50 %). Среди участников рынка </w:t>
      </w:r>
      <w:r w:rsidRPr="00AF761A">
        <w:rPr>
          <w:rFonts w:ascii="Arial Narrow" w:eastAsia="Calibri" w:hAnsi="Arial Narrow"/>
          <w:bCs/>
          <w:sz w:val="24"/>
        </w:rPr>
        <w:t>услуг перевозок пассажиров наземным транспортом (автобусные перевозки и такси)</w:t>
      </w:r>
      <w:r>
        <w:rPr>
          <w:rFonts w:ascii="Arial Narrow" w:eastAsia="Calibri" w:hAnsi="Arial Narrow"/>
          <w:bCs/>
          <w:sz w:val="24"/>
        </w:rPr>
        <w:t xml:space="preserve"> ни один не оценил условия ведения бизнеса в регионе как хорошие. На остальных рынках значение показателя варьируется от 8 % до 20 %.</w:t>
      </w:r>
    </w:p>
    <w:p w:rsidR="00A45259" w:rsidRDefault="00A45259">
      <w:pPr>
        <w:rPr>
          <w:rFonts w:ascii="Arial Narrow" w:eastAsia="Calibri" w:hAnsi="Arial Narrow"/>
          <w:bCs/>
          <w:sz w:val="24"/>
        </w:rPr>
      </w:pPr>
      <w:r>
        <w:rPr>
          <w:rFonts w:ascii="Arial Narrow" w:eastAsia="Calibri" w:hAnsi="Arial Narrow"/>
          <w:bCs/>
          <w:sz w:val="24"/>
        </w:rPr>
        <w:br w:type="page"/>
      </w:r>
    </w:p>
    <w:p w:rsidR="00A64028" w:rsidRDefault="00A64028" w:rsidP="00262F71">
      <w:pPr>
        <w:spacing w:after="0"/>
        <w:rPr>
          <w:rFonts w:ascii="Arial Narrow" w:hAnsi="Arial Narrow"/>
          <w:b/>
          <w:sz w:val="24"/>
        </w:rPr>
      </w:pPr>
      <w:r>
        <w:rPr>
          <w:rFonts w:ascii="Arial Narrow" w:eastAsia="Calibri" w:hAnsi="Arial Narrow"/>
          <w:sz w:val="24"/>
          <w:szCs w:val="24"/>
        </w:rPr>
        <w:lastRenderedPageBreak/>
        <w:t xml:space="preserve">Таблица </w:t>
      </w:r>
      <w:r w:rsidR="00262F71">
        <w:rPr>
          <w:rFonts w:ascii="Arial Narrow" w:eastAsia="Calibri" w:hAnsi="Arial Narrow"/>
          <w:sz w:val="24"/>
          <w:szCs w:val="24"/>
        </w:rPr>
        <w:t>7.7.</w:t>
      </w:r>
      <w:r>
        <w:rPr>
          <w:rFonts w:ascii="Arial Narrow" w:eastAsia="Calibri" w:hAnsi="Arial Narrow"/>
          <w:sz w:val="24"/>
          <w:szCs w:val="24"/>
        </w:rPr>
        <w:t xml:space="preserve"> – </w:t>
      </w:r>
      <w:r>
        <w:rPr>
          <w:rFonts w:ascii="Arial Narrow" w:hAnsi="Arial Narrow"/>
          <w:b/>
          <w:sz w:val="24"/>
        </w:rPr>
        <w:t>Значение показателя 1.1.6. Доля участников рынков, считающих, что в Новосибирской области благоприятные условия ведения предпринимательской деятельности (% от числа опрошенных)</w:t>
      </w:r>
    </w:p>
    <w:tbl>
      <w:tblPr>
        <w:tblW w:w="5221"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370"/>
        <w:gridCol w:w="2809"/>
        <w:gridCol w:w="584"/>
        <w:gridCol w:w="411"/>
        <w:gridCol w:w="445"/>
        <w:gridCol w:w="445"/>
        <w:gridCol w:w="445"/>
        <w:gridCol w:w="691"/>
        <w:gridCol w:w="340"/>
        <w:gridCol w:w="445"/>
        <w:gridCol w:w="417"/>
        <w:gridCol w:w="725"/>
        <w:gridCol w:w="361"/>
        <w:gridCol w:w="445"/>
        <w:gridCol w:w="717"/>
        <w:gridCol w:w="423"/>
      </w:tblGrid>
      <w:tr w:rsidR="00A64028" w:rsidRPr="00D2207F" w:rsidTr="00EB3EA8">
        <w:trPr>
          <w:cantSplit/>
          <w:trHeight w:val="2638"/>
        </w:trPr>
        <w:tc>
          <w:tcPr>
            <w:tcW w:w="183" w:type="pct"/>
            <w:tcBorders>
              <w:top w:val="single" w:sz="4" w:space="0" w:color="auto"/>
              <w:left w:val="single" w:sz="4" w:space="0" w:color="auto"/>
              <w:bottom w:val="single" w:sz="4" w:space="0" w:color="auto"/>
              <w:right w:val="single" w:sz="4" w:space="0" w:color="auto"/>
            </w:tcBorders>
            <w:vAlign w:val="center"/>
            <w:hideMark/>
          </w:tcPr>
          <w:p w:rsidR="00A64028" w:rsidRPr="00D2207F" w:rsidRDefault="00A64028" w:rsidP="00103148">
            <w:pPr>
              <w:spacing w:after="0"/>
              <w:jc w:val="center"/>
              <w:rPr>
                <w:rFonts w:ascii="Arial Narrow" w:hAnsi="Arial Narrow" w:cs="Arial"/>
                <w:sz w:val="16"/>
                <w:szCs w:val="16"/>
              </w:rPr>
            </w:pPr>
            <w:r w:rsidRPr="00D2207F">
              <w:rPr>
                <w:rFonts w:ascii="Arial Narrow" w:hAnsi="Arial Narrow" w:cs="Arial"/>
                <w:sz w:val="16"/>
                <w:szCs w:val="16"/>
              </w:rPr>
              <w:t>№</w:t>
            </w:r>
          </w:p>
        </w:tc>
        <w:tc>
          <w:tcPr>
            <w:tcW w:w="1394" w:type="pct"/>
            <w:tcBorders>
              <w:top w:val="single" w:sz="4" w:space="0" w:color="auto"/>
              <w:left w:val="single" w:sz="4" w:space="0" w:color="auto"/>
              <w:bottom w:val="single" w:sz="4" w:space="0" w:color="auto"/>
              <w:right w:val="single" w:sz="4" w:space="0" w:color="auto"/>
            </w:tcBorders>
            <w:vAlign w:val="center"/>
            <w:hideMark/>
          </w:tcPr>
          <w:p w:rsidR="00A64028" w:rsidRPr="00EB3EA8" w:rsidRDefault="00A64028" w:rsidP="00103148">
            <w:pPr>
              <w:spacing w:after="0"/>
              <w:jc w:val="center"/>
              <w:rPr>
                <w:rFonts w:ascii="Arial Narrow" w:hAnsi="Arial Narrow" w:cs="Arial"/>
                <w:sz w:val="18"/>
                <w:szCs w:val="18"/>
              </w:rPr>
            </w:pPr>
            <w:r w:rsidRPr="00EB3EA8">
              <w:rPr>
                <w:rFonts w:ascii="Arial Narrow" w:hAnsi="Arial Narrow" w:cs="Arial"/>
                <w:sz w:val="18"/>
                <w:szCs w:val="18"/>
              </w:rPr>
              <w:t>Наименование показателя, единица измерения</w:t>
            </w:r>
          </w:p>
        </w:tc>
        <w:tc>
          <w:tcPr>
            <w:tcW w:w="290" w:type="pct"/>
            <w:tcBorders>
              <w:top w:val="single" w:sz="4" w:space="0" w:color="auto"/>
              <w:left w:val="single" w:sz="4" w:space="0" w:color="auto"/>
              <w:bottom w:val="single" w:sz="4" w:space="0" w:color="auto"/>
              <w:right w:val="single" w:sz="4" w:space="0" w:color="auto"/>
            </w:tcBorders>
            <w:textDirection w:val="btLr"/>
            <w:vAlign w:val="center"/>
            <w:hideMark/>
          </w:tcPr>
          <w:p w:rsidR="00A64028" w:rsidRPr="00EB3EA8" w:rsidRDefault="001820C5" w:rsidP="00EB3EA8">
            <w:pPr>
              <w:spacing w:after="0" w:line="240" w:lineRule="auto"/>
              <w:ind w:left="113" w:right="113"/>
              <w:jc w:val="center"/>
              <w:rPr>
                <w:rFonts w:ascii="Arial Narrow" w:hAnsi="Arial Narrow" w:cs="Arial"/>
                <w:sz w:val="18"/>
                <w:szCs w:val="18"/>
              </w:rPr>
            </w:pPr>
            <w:r w:rsidRPr="00EB3EA8">
              <w:rPr>
                <w:rFonts w:ascii="Arial Narrow" w:hAnsi="Arial Narrow" w:cs="Arial"/>
                <w:sz w:val="18"/>
                <w:szCs w:val="18"/>
              </w:rPr>
              <w:t>Общий по Новоси</w:t>
            </w:r>
            <w:r w:rsidR="00A64028" w:rsidRPr="00EB3EA8">
              <w:rPr>
                <w:rFonts w:ascii="Arial Narrow" w:hAnsi="Arial Narrow" w:cs="Arial"/>
                <w:sz w:val="18"/>
                <w:szCs w:val="18"/>
              </w:rPr>
              <w:t>бирской области</w:t>
            </w:r>
          </w:p>
        </w:tc>
        <w:tc>
          <w:tcPr>
            <w:tcW w:w="204" w:type="pct"/>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EB3EA8" w:rsidRDefault="00A64028" w:rsidP="00EB3EA8">
            <w:pPr>
              <w:spacing w:after="0" w:line="240" w:lineRule="auto"/>
              <w:jc w:val="center"/>
              <w:rPr>
                <w:rFonts w:ascii="Arial Narrow" w:hAnsi="Arial Narrow" w:cs="Arial"/>
                <w:sz w:val="18"/>
                <w:szCs w:val="18"/>
              </w:rPr>
            </w:pPr>
            <w:r w:rsidRPr="00EB3EA8">
              <w:rPr>
                <w:rFonts w:ascii="Arial Narrow" w:hAnsi="Arial Narrow" w:cs="Arial"/>
                <w:sz w:val="18"/>
                <w:szCs w:val="18"/>
              </w:rPr>
              <w:t xml:space="preserve">Рынок услуг дошкольного образования </w:t>
            </w:r>
          </w:p>
        </w:tc>
        <w:tc>
          <w:tcPr>
            <w:tcW w:w="221" w:type="pct"/>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EB3EA8" w:rsidRDefault="00A64028" w:rsidP="00EB3EA8">
            <w:pPr>
              <w:spacing w:after="0" w:line="240" w:lineRule="auto"/>
              <w:jc w:val="center"/>
              <w:rPr>
                <w:rFonts w:ascii="Arial Narrow" w:hAnsi="Arial Narrow" w:cs="Arial"/>
                <w:sz w:val="18"/>
                <w:szCs w:val="18"/>
              </w:rPr>
            </w:pPr>
            <w:r w:rsidRPr="00EB3EA8">
              <w:rPr>
                <w:rFonts w:ascii="Arial Narrow" w:hAnsi="Arial Narrow" w:cs="Arial"/>
                <w:sz w:val="18"/>
                <w:szCs w:val="18"/>
              </w:rPr>
              <w:t>Рынок услуг детского отдыха и оздоровления</w:t>
            </w:r>
          </w:p>
        </w:tc>
        <w:tc>
          <w:tcPr>
            <w:tcW w:w="221" w:type="pct"/>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EB3EA8" w:rsidRDefault="00A64028" w:rsidP="00EB3EA8">
            <w:pPr>
              <w:spacing w:after="0" w:line="240" w:lineRule="auto"/>
              <w:jc w:val="center"/>
              <w:rPr>
                <w:rFonts w:ascii="Arial Narrow" w:hAnsi="Arial Narrow" w:cs="Arial"/>
                <w:sz w:val="18"/>
                <w:szCs w:val="18"/>
              </w:rPr>
            </w:pPr>
            <w:r w:rsidRPr="00EB3EA8">
              <w:rPr>
                <w:rFonts w:ascii="Arial Narrow" w:hAnsi="Arial Narrow" w:cs="Arial"/>
                <w:sz w:val="18"/>
                <w:szCs w:val="18"/>
              </w:rPr>
              <w:t>Рынок дополнительного образования детей</w:t>
            </w:r>
          </w:p>
        </w:tc>
        <w:tc>
          <w:tcPr>
            <w:tcW w:w="221" w:type="pct"/>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EB3EA8" w:rsidRDefault="00A64028" w:rsidP="00EB3EA8">
            <w:pPr>
              <w:spacing w:after="0" w:line="240" w:lineRule="auto"/>
              <w:jc w:val="center"/>
              <w:rPr>
                <w:rFonts w:ascii="Arial Narrow" w:hAnsi="Arial Narrow" w:cs="Arial"/>
                <w:sz w:val="18"/>
                <w:szCs w:val="18"/>
              </w:rPr>
            </w:pPr>
            <w:r w:rsidRPr="00EB3EA8">
              <w:rPr>
                <w:rFonts w:ascii="Arial Narrow" w:hAnsi="Arial Narrow" w:cs="Arial"/>
                <w:sz w:val="18"/>
                <w:szCs w:val="18"/>
              </w:rPr>
              <w:t>Рынок медицинских услуг</w:t>
            </w:r>
          </w:p>
        </w:tc>
        <w:tc>
          <w:tcPr>
            <w:tcW w:w="343" w:type="pct"/>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EB3EA8" w:rsidRDefault="00A64028" w:rsidP="00EB3EA8">
            <w:pPr>
              <w:spacing w:after="0" w:line="240" w:lineRule="auto"/>
              <w:jc w:val="center"/>
              <w:rPr>
                <w:rFonts w:ascii="Arial Narrow" w:hAnsi="Arial Narrow" w:cs="Arial"/>
                <w:sz w:val="18"/>
                <w:szCs w:val="18"/>
              </w:rPr>
            </w:pPr>
            <w:r w:rsidRPr="00EB3EA8">
              <w:rPr>
                <w:rFonts w:ascii="Arial Narrow" w:hAnsi="Arial Narrow" w:cs="Arial"/>
                <w:sz w:val="18"/>
                <w:szCs w:val="18"/>
              </w:rPr>
              <w:t>Рынок услуг психолого-педагогического сопровождения детей с огр. возможностями</w:t>
            </w:r>
          </w:p>
        </w:tc>
        <w:tc>
          <w:tcPr>
            <w:tcW w:w="169" w:type="pct"/>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EB3EA8" w:rsidRDefault="00A64028" w:rsidP="00EB3EA8">
            <w:pPr>
              <w:spacing w:after="0" w:line="240" w:lineRule="auto"/>
              <w:jc w:val="center"/>
              <w:rPr>
                <w:rFonts w:ascii="Arial Narrow" w:hAnsi="Arial Narrow" w:cs="Arial"/>
                <w:sz w:val="18"/>
                <w:szCs w:val="18"/>
              </w:rPr>
            </w:pPr>
            <w:r w:rsidRPr="00EB3EA8">
              <w:rPr>
                <w:rFonts w:ascii="Arial Narrow" w:hAnsi="Arial Narrow" w:cs="Arial"/>
                <w:sz w:val="18"/>
                <w:szCs w:val="18"/>
              </w:rPr>
              <w:t>Рынок услуг в сфере культуры</w:t>
            </w:r>
          </w:p>
        </w:tc>
        <w:tc>
          <w:tcPr>
            <w:tcW w:w="221" w:type="pct"/>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EB3EA8" w:rsidRDefault="00A64028" w:rsidP="00EB3EA8">
            <w:pPr>
              <w:spacing w:after="0" w:line="240" w:lineRule="auto"/>
              <w:jc w:val="center"/>
              <w:rPr>
                <w:rFonts w:ascii="Arial Narrow" w:hAnsi="Arial Narrow" w:cs="Arial"/>
                <w:sz w:val="18"/>
                <w:szCs w:val="18"/>
              </w:rPr>
            </w:pPr>
            <w:r w:rsidRPr="00EB3EA8">
              <w:rPr>
                <w:rFonts w:ascii="Arial Narrow" w:hAnsi="Arial Narrow" w:cs="Arial"/>
                <w:sz w:val="18"/>
                <w:szCs w:val="18"/>
              </w:rPr>
              <w:t xml:space="preserve">Рынок услуг ЖКХ </w:t>
            </w:r>
          </w:p>
        </w:tc>
        <w:tc>
          <w:tcPr>
            <w:tcW w:w="207" w:type="pct"/>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EB3EA8" w:rsidRDefault="00A64028" w:rsidP="00EB3EA8">
            <w:pPr>
              <w:spacing w:after="0" w:line="240" w:lineRule="auto"/>
              <w:jc w:val="center"/>
              <w:rPr>
                <w:rFonts w:ascii="Arial Narrow" w:hAnsi="Arial Narrow" w:cs="Arial"/>
                <w:sz w:val="18"/>
                <w:szCs w:val="18"/>
              </w:rPr>
            </w:pPr>
            <w:r w:rsidRPr="00EB3EA8">
              <w:rPr>
                <w:rFonts w:ascii="Arial Narrow" w:hAnsi="Arial Narrow" w:cs="Arial"/>
                <w:sz w:val="18"/>
                <w:szCs w:val="18"/>
              </w:rPr>
              <w:t xml:space="preserve">Розничная торговля </w:t>
            </w:r>
          </w:p>
        </w:tc>
        <w:tc>
          <w:tcPr>
            <w:tcW w:w="360" w:type="pct"/>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EB3EA8" w:rsidRDefault="00A64028" w:rsidP="00EB3EA8">
            <w:pPr>
              <w:spacing w:after="0" w:line="240" w:lineRule="auto"/>
              <w:jc w:val="center"/>
              <w:rPr>
                <w:rFonts w:ascii="Arial Narrow" w:hAnsi="Arial Narrow" w:cs="Arial"/>
                <w:sz w:val="18"/>
                <w:szCs w:val="18"/>
              </w:rPr>
            </w:pPr>
            <w:r w:rsidRPr="00EB3EA8">
              <w:rPr>
                <w:rFonts w:ascii="Arial Narrow" w:hAnsi="Arial Narrow" w:cs="Arial"/>
                <w:sz w:val="18"/>
                <w:szCs w:val="18"/>
              </w:rPr>
              <w:t>Рынок услуг перевозок пассажиров наземным транспортом (автобусные перевозки и такси)</w:t>
            </w:r>
          </w:p>
        </w:tc>
        <w:tc>
          <w:tcPr>
            <w:tcW w:w="179" w:type="pct"/>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EB3EA8" w:rsidRDefault="00A64028" w:rsidP="00EB3EA8">
            <w:pPr>
              <w:spacing w:after="0" w:line="240" w:lineRule="auto"/>
              <w:jc w:val="center"/>
              <w:rPr>
                <w:rFonts w:ascii="Arial Narrow" w:hAnsi="Arial Narrow" w:cs="Arial"/>
                <w:sz w:val="18"/>
                <w:szCs w:val="18"/>
              </w:rPr>
            </w:pPr>
            <w:r w:rsidRPr="00EB3EA8">
              <w:rPr>
                <w:rFonts w:ascii="Arial Narrow" w:hAnsi="Arial Narrow" w:cs="Arial"/>
                <w:sz w:val="18"/>
                <w:szCs w:val="18"/>
              </w:rPr>
              <w:t>Рынок услуг связи</w:t>
            </w:r>
          </w:p>
        </w:tc>
        <w:tc>
          <w:tcPr>
            <w:tcW w:w="221" w:type="pct"/>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EB3EA8" w:rsidRDefault="00A64028" w:rsidP="00EB3EA8">
            <w:pPr>
              <w:spacing w:after="0" w:line="240" w:lineRule="auto"/>
              <w:jc w:val="center"/>
              <w:rPr>
                <w:rFonts w:ascii="Arial Narrow" w:hAnsi="Arial Narrow" w:cs="Arial"/>
                <w:sz w:val="18"/>
                <w:szCs w:val="18"/>
              </w:rPr>
            </w:pPr>
            <w:r w:rsidRPr="00EB3EA8">
              <w:rPr>
                <w:rFonts w:ascii="Arial Narrow" w:hAnsi="Arial Narrow" w:cs="Arial"/>
                <w:sz w:val="18"/>
                <w:szCs w:val="18"/>
              </w:rPr>
              <w:t>Рынок услуг социального обслуживания населения</w:t>
            </w:r>
          </w:p>
        </w:tc>
        <w:tc>
          <w:tcPr>
            <w:tcW w:w="356" w:type="pct"/>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EB3EA8" w:rsidRDefault="00A64028" w:rsidP="00EB3EA8">
            <w:pPr>
              <w:spacing w:after="0" w:line="240" w:lineRule="auto"/>
              <w:jc w:val="center"/>
              <w:rPr>
                <w:rFonts w:ascii="Arial Narrow" w:hAnsi="Arial Narrow" w:cs="Arial"/>
                <w:sz w:val="18"/>
                <w:szCs w:val="18"/>
              </w:rPr>
            </w:pPr>
            <w:r w:rsidRPr="00EB3EA8">
              <w:rPr>
                <w:rFonts w:ascii="Arial Narrow" w:hAnsi="Arial Narrow" w:cs="Arial"/>
                <w:sz w:val="18"/>
                <w:szCs w:val="18"/>
              </w:rPr>
              <w:t>Рынок развития, производства, переработки и хранения сельскохозяйственной продукции</w:t>
            </w:r>
          </w:p>
        </w:tc>
        <w:tc>
          <w:tcPr>
            <w:tcW w:w="211" w:type="pct"/>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EB3EA8" w:rsidRDefault="00A64028" w:rsidP="00EB3EA8">
            <w:pPr>
              <w:spacing w:after="0" w:line="240" w:lineRule="auto"/>
              <w:jc w:val="center"/>
              <w:rPr>
                <w:rFonts w:ascii="Arial Narrow" w:hAnsi="Arial Narrow" w:cs="Arial"/>
                <w:sz w:val="18"/>
                <w:szCs w:val="18"/>
              </w:rPr>
            </w:pPr>
            <w:r w:rsidRPr="00EB3EA8">
              <w:rPr>
                <w:rFonts w:ascii="Arial Narrow" w:hAnsi="Arial Narrow" w:cs="Arial"/>
                <w:sz w:val="18"/>
                <w:szCs w:val="18"/>
              </w:rPr>
              <w:t>Рынок услуг по сбору, сортировке и переработке ТБО</w:t>
            </w:r>
          </w:p>
        </w:tc>
      </w:tr>
      <w:tr w:rsidR="00A64028" w:rsidRPr="00D2207F" w:rsidTr="00A45259">
        <w:tc>
          <w:tcPr>
            <w:tcW w:w="183" w:type="pct"/>
            <w:tcBorders>
              <w:top w:val="single" w:sz="4" w:space="0" w:color="auto"/>
              <w:left w:val="single" w:sz="4" w:space="0" w:color="auto"/>
              <w:bottom w:val="single" w:sz="4" w:space="0" w:color="auto"/>
              <w:right w:val="single" w:sz="4" w:space="0" w:color="auto"/>
            </w:tcBorders>
            <w:vAlign w:val="center"/>
            <w:hideMark/>
          </w:tcPr>
          <w:p w:rsidR="00A64028" w:rsidRPr="00D2207F" w:rsidRDefault="00A64028" w:rsidP="00103148">
            <w:pPr>
              <w:spacing w:after="0" w:line="256" w:lineRule="auto"/>
              <w:rPr>
                <w:sz w:val="16"/>
                <w:szCs w:val="16"/>
              </w:rPr>
            </w:pPr>
            <w:r w:rsidRPr="00D2207F">
              <w:rPr>
                <w:rFonts w:ascii="Arial Narrow" w:hAnsi="Arial Narrow"/>
                <w:sz w:val="16"/>
                <w:szCs w:val="16"/>
              </w:rPr>
              <w:t>1.1.6.</w:t>
            </w:r>
          </w:p>
        </w:tc>
        <w:tc>
          <w:tcPr>
            <w:tcW w:w="1394" w:type="pct"/>
            <w:tcBorders>
              <w:top w:val="single" w:sz="4" w:space="0" w:color="auto"/>
              <w:left w:val="single" w:sz="4" w:space="0" w:color="auto"/>
              <w:bottom w:val="single" w:sz="4" w:space="0" w:color="auto"/>
              <w:right w:val="single" w:sz="4" w:space="0" w:color="auto"/>
            </w:tcBorders>
            <w:vAlign w:val="center"/>
            <w:hideMark/>
          </w:tcPr>
          <w:p w:rsidR="00A64028" w:rsidRPr="00A96FB4" w:rsidRDefault="00A64028" w:rsidP="00A96FB4">
            <w:pPr>
              <w:spacing w:after="0"/>
              <w:ind w:left="56"/>
              <w:rPr>
                <w:rFonts w:ascii="Arial Narrow" w:hAnsi="Arial Narrow"/>
                <w:sz w:val="18"/>
                <w:szCs w:val="18"/>
              </w:rPr>
            </w:pPr>
            <w:r w:rsidRPr="00A96FB4">
              <w:rPr>
                <w:rFonts w:ascii="Arial Narrow" w:hAnsi="Arial Narrow"/>
                <w:sz w:val="18"/>
                <w:szCs w:val="18"/>
              </w:rPr>
              <w:t>Доля участников рынков, считающих, что в Новосибирской области благоприятные условия ведения предпринимательской деятельности (% от числа опрошенных)</w:t>
            </w:r>
          </w:p>
        </w:tc>
        <w:tc>
          <w:tcPr>
            <w:tcW w:w="290" w:type="pct"/>
            <w:tcBorders>
              <w:top w:val="single" w:sz="4" w:space="0" w:color="auto"/>
              <w:left w:val="single" w:sz="4" w:space="0" w:color="auto"/>
              <w:bottom w:val="single" w:sz="4" w:space="0" w:color="auto"/>
              <w:right w:val="single" w:sz="4" w:space="0" w:color="auto"/>
            </w:tcBorders>
            <w:noWrap/>
            <w:vAlign w:val="center"/>
            <w:hideMark/>
          </w:tcPr>
          <w:p w:rsidR="00A64028" w:rsidRPr="00D2207F" w:rsidRDefault="00A64028" w:rsidP="00103148">
            <w:pPr>
              <w:spacing w:after="0"/>
              <w:jc w:val="center"/>
              <w:rPr>
                <w:rFonts w:ascii="Arial Narrow" w:hAnsi="Arial Narrow"/>
                <w:sz w:val="16"/>
                <w:szCs w:val="16"/>
              </w:rPr>
            </w:pPr>
            <w:r w:rsidRPr="00D2207F">
              <w:rPr>
                <w:rFonts w:ascii="Arial Narrow" w:hAnsi="Arial Narrow"/>
                <w:sz w:val="16"/>
                <w:szCs w:val="16"/>
              </w:rPr>
              <w:t>12,9%</w:t>
            </w:r>
          </w:p>
        </w:tc>
        <w:tc>
          <w:tcPr>
            <w:tcW w:w="204" w:type="pct"/>
            <w:tcBorders>
              <w:top w:val="single" w:sz="4" w:space="0" w:color="auto"/>
              <w:left w:val="single" w:sz="4" w:space="0" w:color="auto"/>
              <w:bottom w:val="single" w:sz="4" w:space="0" w:color="auto"/>
              <w:right w:val="single" w:sz="4" w:space="0" w:color="auto"/>
            </w:tcBorders>
            <w:noWrap/>
            <w:vAlign w:val="center"/>
            <w:hideMark/>
          </w:tcPr>
          <w:p w:rsidR="00A64028" w:rsidRPr="00D2207F" w:rsidRDefault="00A64028" w:rsidP="00103148">
            <w:pPr>
              <w:spacing w:after="0"/>
              <w:jc w:val="center"/>
              <w:rPr>
                <w:rFonts w:ascii="Arial Narrow" w:hAnsi="Arial Narrow"/>
                <w:sz w:val="16"/>
                <w:szCs w:val="16"/>
              </w:rPr>
            </w:pPr>
            <w:r w:rsidRPr="00D2207F">
              <w:rPr>
                <w:rFonts w:ascii="Arial Narrow" w:hAnsi="Arial Narrow"/>
                <w:sz w:val="16"/>
                <w:szCs w:val="16"/>
              </w:rPr>
              <w:t>20,0%</w:t>
            </w:r>
          </w:p>
        </w:tc>
        <w:tc>
          <w:tcPr>
            <w:tcW w:w="221" w:type="pct"/>
            <w:tcBorders>
              <w:top w:val="single" w:sz="4" w:space="0" w:color="auto"/>
              <w:left w:val="single" w:sz="4" w:space="0" w:color="auto"/>
              <w:bottom w:val="single" w:sz="4" w:space="0" w:color="auto"/>
              <w:right w:val="single" w:sz="4" w:space="0" w:color="auto"/>
            </w:tcBorders>
            <w:noWrap/>
            <w:vAlign w:val="center"/>
            <w:hideMark/>
          </w:tcPr>
          <w:p w:rsidR="00A64028" w:rsidRPr="00D2207F" w:rsidRDefault="00A64028" w:rsidP="00103148">
            <w:pPr>
              <w:spacing w:after="0"/>
              <w:jc w:val="center"/>
              <w:rPr>
                <w:rFonts w:ascii="Arial Narrow" w:hAnsi="Arial Narrow"/>
                <w:sz w:val="16"/>
                <w:szCs w:val="16"/>
              </w:rPr>
            </w:pPr>
            <w:r w:rsidRPr="00D2207F">
              <w:rPr>
                <w:rFonts w:ascii="Arial Narrow" w:hAnsi="Arial Narrow"/>
                <w:sz w:val="16"/>
                <w:szCs w:val="16"/>
              </w:rPr>
              <w:t>20,0%</w:t>
            </w:r>
          </w:p>
        </w:tc>
        <w:tc>
          <w:tcPr>
            <w:tcW w:w="221" w:type="pct"/>
            <w:tcBorders>
              <w:top w:val="single" w:sz="4" w:space="0" w:color="auto"/>
              <w:left w:val="single" w:sz="4" w:space="0" w:color="auto"/>
              <w:bottom w:val="single" w:sz="4" w:space="0" w:color="auto"/>
              <w:right w:val="single" w:sz="4" w:space="0" w:color="auto"/>
            </w:tcBorders>
            <w:noWrap/>
            <w:vAlign w:val="center"/>
            <w:hideMark/>
          </w:tcPr>
          <w:p w:rsidR="00A64028" w:rsidRPr="00D2207F" w:rsidRDefault="00A64028" w:rsidP="00103148">
            <w:pPr>
              <w:spacing w:after="0"/>
              <w:jc w:val="center"/>
              <w:rPr>
                <w:rFonts w:ascii="Arial Narrow" w:hAnsi="Arial Narrow"/>
                <w:sz w:val="16"/>
                <w:szCs w:val="16"/>
              </w:rPr>
            </w:pPr>
            <w:r w:rsidRPr="00D2207F">
              <w:rPr>
                <w:rFonts w:ascii="Arial Narrow" w:hAnsi="Arial Narrow"/>
                <w:sz w:val="16"/>
                <w:szCs w:val="16"/>
              </w:rPr>
              <w:t>20,0%</w:t>
            </w:r>
          </w:p>
        </w:tc>
        <w:tc>
          <w:tcPr>
            <w:tcW w:w="221" w:type="pct"/>
            <w:tcBorders>
              <w:top w:val="single" w:sz="4" w:space="0" w:color="auto"/>
              <w:left w:val="single" w:sz="4" w:space="0" w:color="auto"/>
              <w:bottom w:val="single" w:sz="4" w:space="0" w:color="auto"/>
              <w:right w:val="single" w:sz="4" w:space="0" w:color="auto"/>
            </w:tcBorders>
            <w:noWrap/>
            <w:vAlign w:val="center"/>
            <w:hideMark/>
          </w:tcPr>
          <w:p w:rsidR="00A64028" w:rsidRPr="00D2207F" w:rsidRDefault="00A64028" w:rsidP="00103148">
            <w:pPr>
              <w:spacing w:after="0"/>
              <w:jc w:val="center"/>
              <w:rPr>
                <w:rFonts w:ascii="Arial Narrow" w:hAnsi="Arial Narrow"/>
                <w:sz w:val="16"/>
                <w:szCs w:val="16"/>
              </w:rPr>
            </w:pPr>
            <w:r w:rsidRPr="00D2207F">
              <w:rPr>
                <w:rFonts w:ascii="Arial Narrow" w:hAnsi="Arial Narrow"/>
                <w:sz w:val="16"/>
                <w:szCs w:val="16"/>
              </w:rPr>
              <w:t>14,3%</w:t>
            </w:r>
          </w:p>
        </w:tc>
        <w:tc>
          <w:tcPr>
            <w:tcW w:w="343" w:type="pct"/>
            <w:tcBorders>
              <w:top w:val="single" w:sz="4" w:space="0" w:color="auto"/>
              <w:left w:val="single" w:sz="4" w:space="0" w:color="auto"/>
              <w:bottom w:val="single" w:sz="4" w:space="0" w:color="auto"/>
              <w:right w:val="single" w:sz="4" w:space="0" w:color="auto"/>
            </w:tcBorders>
            <w:noWrap/>
            <w:vAlign w:val="center"/>
            <w:hideMark/>
          </w:tcPr>
          <w:p w:rsidR="00A64028" w:rsidRPr="00D2207F" w:rsidRDefault="00A64028" w:rsidP="00103148">
            <w:pPr>
              <w:spacing w:after="0"/>
              <w:jc w:val="center"/>
              <w:rPr>
                <w:rFonts w:ascii="Arial Narrow" w:hAnsi="Arial Narrow"/>
                <w:sz w:val="16"/>
                <w:szCs w:val="16"/>
              </w:rPr>
            </w:pPr>
            <w:r w:rsidRPr="00D2207F">
              <w:rPr>
                <w:rFonts w:ascii="Arial Narrow" w:hAnsi="Arial Narrow"/>
                <w:sz w:val="16"/>
                <w:szCs w:val="16"/>
              </w:rPr>
              <w:t>16,0%</w:t>
            </w:r>
          </w:p>
        </w:tc>
        <w:tc>
          <w:tcPr>
            <w:tcW w:w="169" w:type="pct"/>
            <w:tcBorders>
              <w:top w:val="single" w:sz="4" w:space="0" w:color="auto"/>
              <w:left w:val="single" w:sz="4" w:space="0" w:color="auto"/>
              <w:bottom w:val="single" w:sz="4" w:space="0" w:color="auto"/>
              <w:right w:val="single" w:sz="4" w:space="0" w:color="auto"/>
            </w:tcBorders>
            <w:noWrap/>
            <w:vAlign w:val="center"/>
            <w:hideMark/>
          </w:tcPr>
          <w:p w:rsidR="00A64028" w:rsidRPr="00D2207F" w:rsidRDefault="00A64028" w:rsidP="00103148">
            <w:pPr>
              <w:spacing w:after="0"/>
              <w:jc w:val="center"/>
              <w:rPr>
                <w:rFonts w:ascii="Arial Narrow" w:hAnsi="Arial Narrow"/>
                <w:sz w:val="16"/>
                <w:szCs w:val="16"/>
              </w:rPr>
            </w:pPr>
            <w:r w:rsidRPr="00D2207F">
              <w:rPr>
                <w:rFonts w:ascii="Arial Narrow" w:hAnsi="Arial Narrow"/>
                <w:sz w:val="16"/>
                <w:szCs w:val="16"/>
              </w:rPr>
              <w:t>4,0%</w:t>
            </w:r>
          </w:p>
        </w:tc>
        <w:tc>
          <w:tcPr>
            <w:tcW w:w="221" w:type="pct"/>
            <w:tcBorders>
              <w:top w:val="single" w:sz="4" w:space="0" w:color="auto"/>
              <w:left w:val="single" w:sz="4" w:space="0" w:color="auto"/>
              <w:bottom w:val="single" w:sz="4" w:space="0" w:color="auto"/>
              <w:right w:val="single" w:sz="4" w:space="0" w:color="auto"/>
            </w:tcBorders>
            <w:noWrap/>
            <w:vAlign w:val="center"/>
            <w:hideMark/>
          </w:tcPr>
          <w:p w:rsidR="00A64028" w:rsidRPr="00D2207F" w:rsidRDefault="00A64028" w:rsidP="00103148">
            <w:pPr>
              <w:spacing w:after="0"/>
              <w:jc w:val="center"/>
              <w:rPr>
                <w:rFonts w:ascii="Arial Narrow" w:hAnsi="Arial Narrow"/>
                <w:sz w:val="16"/>
                <w:szCs w:val="16"/>
              </w:rPr>
            </w:pPr>
            <w:r w:rsidRPr="00D2207F">
              <w:rPr>
                <w:rFonts w:ascii="Arial Narrow" w:hAnsi="Arial Narrow"/>
                <w:sz w:val="16"/>
                <w:szCs w:val="16"/>
              </w:rPr>
              <w:t>10,0%</w:t>
            </w:r>
          </w:p>
        </w:tc>
        <w:tc>
          <w:tcPr>
            <w:tcW w:w="207" w:type="pct"/>
            <w:tcBorders>
              <w:top w:val="single" w:sz="4" w:space="0" w:color="auto"/>
              <w:left w:val="single" w:sz="4" w:space="0" w:color="auto"/>
              <w:bottom w:val="single" w:sz="4" w:space="0" w:color="auto"/>
              <w:right w:val="single" w:sz="4" w:space="0" w:color="auto"/>
            </w:tcBorders>
            <w:noWrap/>
            <w:vAlign w:val="center"/>
            <w:hideMark/>
          </w:tcPr>
          <w:p w:rsidR="00A64028" w:rsidRPr="00D2207F" w:rsidRDefault="00A64028" w:rsidP="00103148">
            <w:pPr>
              <w:spacing w:after="0"/>
              <w:jc w:val="center"/>
              <w:rPr>
                <w:rFonts w:ascii="Arial Narrow" w:hAnsi="Arial Narrow"/>
                <w:sz w:val="16"/>
                <w:szCs w:val="16"/>
              </w:rPr>
            </w:pPr>
            <w:r w:rsidRPr="00D2207F">
              <w:rPr>
                <w:rFonts w:ascii="Arial Narrow" w:hAnsi="Arial Narrow"/>
                <w:sz w:val="16"/>
                <w:szCs w:val="16"/>
              </w:rPr>
              <w:t>13,9%</w:t>
            </w:r>
          </w:p>
        </w:tc>
        <w:tc>
          <w:tcPr>
            <w:tcW w:w="360" w:type="pct"/>
            <w:tcBorders>
              <w:top w:val="single" w:sz="4" w:space="0" w:color="auto"/>
              <w:left w:val="single" w:sz="4" w:space="0" w:color="auto"/>
              <w:bottom w:val="single" w:sz="4" w:space="0" w:color="auto"/>
              <w:right w:val="single" w:sz="4" w:space="0" w:color="auto"/>
            </w:tcBorders>
            <w:noWrap/>
            <w:vAlign w:val="center"/>
            <w:hideMark/>
          </w:tcPr>
          <w:p w:rsidR="00A64028" w:rsidRPr="00D2207F" w:rsidRDefault="00A64028" w:rsidP="00103148">
            <w:pPr>
              <w:spacing w:after="0"/>
              <w:jc w:val="center"/>
              <w:rPr>
                <w:rFonts w:ascii="Arial Narrow" w:hAnsi="Arial Narrow"/>
                <w:sz w:val="16"/>
                <w:szCs w:val="16"/>
              </w:rPr>
            </w:pPr>
            <w:r w:rsidRPr="00D2207F">
              <w:rPr>
                <w:rFonts w:ascii="Arial Narrow" w:hAnsi="Arial Narrow"/>
                <w:sz w:val="16"/>
                <w:szCs w:val="16"/>
              </w:rPr>
              <w:t>0,0%</w:t>
            </w:r>
          </w:p>
        </w:tc>
        <w:tc>
          <w:tcPr>
            <w:tcW w:w="179" w:type="pct"/>
            <w:tcBorders>
              <w:top w:val="single" w:sz="4" w:space="0" w:color="auto"/>
              <w:left w:val="single" w:sz="4" w:space="0" w:color="auto"/>
              <w:bottom w:val="single" w:sz="4" w:space="0" w:color="auto"/>
              <w:right w:val="single" w:sz="4" w:space="0" w:color="auto"/>
            </w:tcBorders>
            <w:noWrap/>
            <w:vAlign w:val="center"/>
            <w:hideMark/>
          </w:tcPr>
          <w:p w:rsidR="00A64028" w:rsidRPr="00D2207F" w:rsidRDefault="00A64028" w:rsidP="00103148">
            <w:pPr>
              <w:spacing w:after="0"/>
              <w:jc w:val="center"/>
              <w:rPr>
                <w:rFonts w:ascii="Arial Narrow" w:hAnsi="Arial Narrow"/>
                <w:sz w:val="16"/>
                <w:szCs w:val="16"/>
              </w:rPr>
            </w:pPr>
            <w:r w:rsidRPr="00D2207F">
              <w:rPr>
                <w:rFonts w:ascii="Arial Narrow" w:hAnsi="Arial Narrow"/>
                <w:sz w:val="16"/>
                <w:szCs w:val="16"/>
              </w:rPr>
              <w:t>8,0%</w:t>
            </w:r>
          </w:p>
        </w:tc>
        <w:tc>
          <w:tcPr>
            <w:tcW w:w="221" w:type="pct"/>
            <w:tcBorders>
              <w:top w:val="single" w:sz="4" w:space="0" w:color="auto"/>
              <w:left w:val="single" w:sz="4" w:space="0" w:color="auto"/>
              <w:bottom w:val="single" w:sz="4" w:space="0" w:color="auto"/>
              <w:right w:val="single" w:sz="4" w:space="0" w:color="auto"/>
            </w:tcBorders>
            <w:noWrap/>
            <w:vAlign w:val="center"/>
            <w:hideMark/>
          </w:tcPr>
          <w:p w:rsidR="00A64028" w:rsidRPr="00D2207F" w:rsidRDefault="00A64028" w:rsidP="00103148">
            <w:pPr>
              <w:spacing w:after="0"/>
              <w:jc w:val="center"/>
              <w:rPr>
                <w:rFonts w:ascii="Arial Narrow" w:hAnsi="Arial Narrow"/>
                <w:sz w:val="16"/>
                <w:szCs w:val="16"/>
              </w:rPr>
            </w:pPr>
            <w:r w:rsidRPr="00D2207F">
              <w:rPr>
                <w:rFonts w:ascii="Arial Narrow" w:hAnsi="Arial Narrow"/>
                <w:sz w:val="16"/>
                <w:szCs w:val="16"/>
              </w:rPr>
              <w:t>16,0%</w:t>
            </w:r>
          </w:p>
        </w:tc>
        <w:tc>
          <w:tcPr>
            <w:tcW w:w="356" w:type="pct"/>
            <w:tcBorders>
              <w:top w:val="single" w:sz="4" w:space="0" w:color="auto"/>
              <w:left w:val="single" w:sz="4" w:space="0" w:color="auto"/>
              <w:bottom w:val="single" w:sz="4" w:space="0" w:color="auto"/>
              <w:right w:val="single" w:sz="4" w:space="0" w:color="auto"/>
            </w:tcBorders>
            <w:noWrap/>
            <w:vAlign w:val="center"/>
            <w:hideMark/>
          </w:tcPr>
          <w:p w:rsidR="00A64028" w:rsidRPr="00D2207F" w:rsidRDefault="00A64028" w:rsidP="00103148">
            <w:pPr>
              <w:spacing w:after="0"/>
              <w:jc w:val="center"/>
              <w:rPr>
                <w:rFonts w:ascii="Arial Narrow" w:hAnsi="Arial Narrow"/>
                <w:sz w:val="16"/>
                <w:szCs w:val="16"/>
              </w:rPr>
            </w:pPr>
            <w:r w:rsidRPr="00D2207F">
              <w:rPr>
                <w:rFonts w:ascii="Arial Narrow" w:hAnsi="Arial Narrow"/>
                <w:sz w:val="16"/>
                <w:szCs w:val="16"/>
              </w:rPr>
              <w:t>16,0%</w:t>
            </w:r>
          </w:p>
        </w:tc>
        <w:tc>
          <w:tcPr>
            <w:tcW w:w="211" w:type="pct"/>
            <w:tcBorders>
              <w:top w:val="single" w:sz="4" w:space="0" w:color="auto"/>
              <w:left w:val="single" w:sz="4" w:space="0" w:color="auto"/>
              <w:bottom w:val="single" w:sz="4" w:space="0" w:color="auto"/>
              <w:right w:val="single" w:sz="4" w:space="0" w:color="auto"/>
            </w:tcBorders>
            <w:noWrap/>
            <w:vAlign w:val="center"/>
            <w:hideMark/>
          </w:tcPr>
          <w:p w:rsidR="00A64028" w:rsidRPr="00D2207F" w:rsidRDefault="00A64028" w:rsidP="00103148">
            <w:pPr>
              <w:spacing w:after="0"/>
              <w:jc w:val="center"/>
              <w:rPr>
                <w:rFonts w:ascii="Arial Narrow" w:hAnsi="Arial Narrow"/>
                <w:sz w:val="16"/>
                <w:szCs w:val="16"/>
              </w:rPr>
            </w:pPr>
            <w:r w:rsidRPr="00D2207F">
              <w:rPr>
                <w:rFonts w:ascii="Arial Narrow" w:hAnsi="Arial Narrow"/>
                <w:sz w:val="16"/>
                <w:szCs w:val="16"/>
              </w:rPr>
              <w:t>50,0%</w:t>
            </w:r>
          </w:p>
        </w:tc>
      </w:tr>
    </w:tbl>
    <w:p w:rsidR="00BF6DC4" w:rsidRDefault="00BF6DC4" w:rsidP="00103148">
      <w:pPr>
        <w:spacing w:after="0" w:line="360" w:lineRule="auto"/>
        <w:ind w:firstLine="284"/>
        <w:rPr>
          <w:rFonts w:ascii="Arial Narrow" w:hAnsi="Arial Narrow"/>
          <w:b/>
          <w:sz w:val="24"/>
        </w:rPr>
      </w:pPr>
    </w:p>
    <w:p w:rsidR="00A64028" w:rsidRPr="00D50BF0" w:rsidRDefault="00A64028" w:rsidP="00BF6DC4">
      <w:pPr>
        <w:spacing w:after="0" w:line="360" w:lineRule="auto"/>
        <w:ind w:firstLine="284"/>
        <w:jc w:val="both"/>
        <w:rPr>
          <w:rFonts w:ascii="Arial Narrow" w:hAnsi="Arial Narrow"/>
          <w:b/>
          <w:sz w:val="24"/>
        </w:rPr>
      </w:pPr>
      <w:r w:rsidRPr="00D50BF0">
        <w:rPr>
          <w:rFonts w:ascii="Arial Narrow" w:hAnsi="Arial Narrow"/>
          <w:b/>
          <w:sz w:val="24"/>
        </w:rPr>
        <w:t>Значение показателя 1.1.7.</w:t>
      </w:r>
      <w:r>
        <w:rPr>
          <w:rFonts w:ascii="Arial Narrow" w:hAnsi="Arial Narrow"/>
          <w:b/>
          <w:sz w:val="24"/>
        </w:rPr>
        <w:t xml:space="preserve"> </w:t>
      </w:r>
      <w:r w:rsidRPr="00D50BF0">
        <w:rPr>
          <w:rFonts w:ascii="Arial Narrow" w:hAnsi="Arial Narrow"/>
          <w:b/>
          <w:sz w:val="24"/>
        </w:rPr>
        <w:t>Распространенность различных видов препятствий, с которыми сталкиваются предприятия в своей деятельности (% от числа опрошенных)</w:t>
      </w:r>
    </w:p>
    <w:p w:rsidR="00A64028" w:rsidRPr="005A1E98" w:rsidRDefault="00A64028" w:rsidP="00103148">
      <w:pPr>
        <w:spacing w:after="0" w:line="360" w:lineRule="auto"/>
        <w:ind w:firstLine="567"/>
        <w:jc w:val="both"/>
        <w:rPr>
          <w:rFonts w:ascii="Arial Narrow" w:hAnsi="Arial Narrow"/>
          <w:sz w:val="24"/>
          <w:szCs w:val="24"/>
        </w:rPr>
      </w:pPr>
      <w:r w:rsidRPr="005A1E98">
        <w:rPr>
          <w:rFonts w:ascii="Arial Narrow" w:hAnsi="Arial Narrow"/>
          <w:sz w:val="24"/>
          <w:szCs w:val="24"/>
        </w:rPr>
        <w:t>Пред</w:t>
      </w:r>
      <w:r>
        <w:rPr>
          <w:rFonts w:ascii="Arial Narrow" w:hAnsi="Arial Narrow"/>
          <w:sz w:val="24"/>
          <w:szCs w:val="24"/>
        </w:rPr>
        <w:t>стави</w:t>
      </w:r>
      <w:r w:rsidRPr="005A1E98">
        <w:rPr>
          <w:rFonts w:ascii="Arial Narrow" w:hAnsi="Arial Narrow"/>
          <w:sz w:val="24"/>
          <w:szCs w:val="24"/>
        </w:rPr>
        <w:t xml:space="preserve">тели </w:t>
      </w:r>
      <w:r>
        <w:rPr>
          <w:rFonts w:ascii="Arial Narrow" w:hAnsi="Arial Narrow"/>
          <w:sz w:val="24"/>
          <w:szCs w:val="24"/>
        </w:rPr>
        <w:t xml:space="preserve">субъектов предпринимательства </w:t>
      </w:r>
      <w:r w:rsidRPr="005A1E98">
        <w:rPr>
          <w:rFonts w:ascii="Arial Narrow" w:hAnsi="Arial Narrow"/>
          <w:sz w:val="24"/>
          <w:szCs w:val="24"/>
        </w:rPr>
        <w:t xml:space="preserve">Новосибирской области чаще всего сталкиваются </w:t>
      </w:r>
      <w:r>
        <w:rPr>
          <w:rFonts w:ascii="Arial Narrow" w:hAnsi="Arial Narrow"/>
          <w:sz w:val="24"/>
          <w:szCs w:val="24"/>
        </w:rPr>
        <w:t xml:space="preserve">в своей деятельности </w:t>
      </w:r>
      <w:r w:rsidRPr="005A1E98">
        <w:rPr>
          <w:rFonts w:ascii="Arial Narrow" w:hAnsi="Arial Narrow"/>
          <w:sz w:val="24"/>
          <w:szCs w:val="24"/>
        </w:rPr>
        <w:t xml:space="preserve">с </w:t>
      </w:r>
      <w:r w:rsidRPr="0000119D">
        <w:rPr>
          <w:rFonts w:ascii="Arial Narrow" w:hAnsi="Arial Narrow"/>
          <w:sz w:val="24"/>
          <w:szCs w:val="24"/>
        </w:rPr>
        <w:t>препятствиями,</w:t>
      </w:r>
      <w:r w:rsidRPr="005A1E98">
        <w:rPr>
          <w:rFonts w:ascii="Arial Narrow" w:hAnsi="Arial Narrow"/>
          <w:sz w:val="24"/>
          <w:szCs w:val="24"/>
        </w:rPr>
        <w:t xml:space="preserve"> связанными с конкуренцией и теневым сектором</w:t>
      </w:r>
      <w:r>
        <w:rPr>
          <w:rFonts w:ascii="Arial Narrow" w:hAnsi="Arial Narrow"/>
          <w:sz w:val="24"/>
          <w:szCs w:val="24"/>
        </w:rPr>
        <w:t xml:space="preserve"> (</w:t>
      </w:r>
      <w:r w:rsidRPr="00CA110B">
        <w:rPr>
          <w:rFonts w:ascii="Arial Narrow" w:hAnsi="Arial Narrow"/>
          <w:sz w:val="24"/>
          <w:szCs w:val="24"/>
        </w:rPr>
        <w:t>21,8 %)</w:t>
      </w:r>
      <w:r w:rsidRPr="005A1E98">
        <w:rPr>
          <w:rFonts w:ascii="Arial Narrow" w:hAnsi="Arial Narrow"/>
          <w:sz w:val="24"/>
          <w:szCs w:val="24"/>
        </w:rPr>
        <w:t>, доступом к финансированию</w:t>
      </w:r>
      <w:r>
        <w:rPr>
          <w:rFonts w:ascii="Arial Narrow" w:hAnsi="Arial Narrow"/>
          <w:sz w:val="24"/>
          <w:szCs w:val="24"/>
        </w:rPr>
        <w:t xml:space="preserve"> (</w:t>
      </w:r>
      <w:r w:rsidRPr="00CA110B">
        <w:rPr>
          <w:rFonts w:ascii="Arial Narrow" w:hAnsi="Arial Narrow"/>
          <w:sz w:val="24"/>
          <w:szCs w:val="24"/>
        </w:rPr>
        <w:t>14,6 %</w:t>
      </w:r>
      <w:r>
        <w:rPr>
          <w:rFonts w:ascii="Arial Narrow" w:hAnsi="Arial Narrow"/>
          <w:sz w:val="24"/>
          <w:szCs w:val="24"/>
        </w:rPr>
        <w:t>)</w:t>
      </w:r>
      <w:r w:rsidRPr="005A1E98">
        <w:rPr>
          <w:rFonts w:ascii="Arial Narrow" w:hAnsi="Arial Narrow"/>
          <w:sz w:val="24"/>
          <w:szCs w:val="24"/>
        </w:rPr>
        <w:t>, высокими налогами</w:t>
      </w:r>
      <w:r>
        <w:rPr>
          <w:rFonts w:ascii="Arial Narrow" w:hAnsi="Arial Narrow"/>
          <w:sz w:val="24"/>
          <w:szCs w:val="24"/>
        </w:rPr>
        <w:t xml:space="preserve"> (13,1 %)</w:t>
      </w:r>
      <w:r w:rsidRPr="005A1E98">
        <w:rPr>
          <w:rFonts w:ascii="Arial Narrow" w:hAnsi="Arial Narrow"/>
          <w:sz w:val="24"/>
          <w:szCs w:val="24"/>
        </w:rPr>
        <w:t xml:space="preserve"> и с нестабильностью российского законодательства, регулирующего предпринимательскую деятельность</w:t>
      </w:r>
      <w:r>
        <w:rPr>
          <w:rFonts w:ascii="Arial Narrow" w:hAnsi="Arial Narrow"/>
          <w:sz w:val="24"/>
          <w:szCs w:val="24"/>
        </w:rPr>
        <w:t xml:space="preserve"> (</w:t>
      </w:r>
      <w:r w:rsidRPr="00CA110B">
        <w:rPr>
          <w:rFonts w:ascii="Arial Narrow" w:hAnsi="Arial Narrow"/>
          <w:sz w:val="24"/>
          <w:szCs w:val="24"/>
        </w:rPr>
        <w:t>12,7 %)</w:t>
      </w:r>
      <w:r w:rsidRPr="005A1E98">
        <w:rPr>
          <w:rFonts w:ascii="Arial Narrow" w:hAnsi="Arial Narrow"/>
          <w:sz w:val="24"/>
          <w:szCs w:val="24"/>
        </w:rPr>
        <w:t>.</w:t>
      </w:r>
      <w:r>
        <w:rPr>
          <w:rFonts w:ascii="Arial Narrow" w:hAnsi="Arial Narrow"/>
          <w:sz w:val="24"/>
          <w:szCs w:val="24"/>
        </w:rPr>
        <w:t xml:space="preserve"> Остальные трудности отметили менее 10 % опрошенных.</w:t>
      </w:r>
      <w:r w:rsidRPr="005A1E98">
        <w:rPr>
          <w:rFonts w:ascii="Arial Narrow" w:hAnsi="Arial Narrow"/>
          <w:sz w:val="24"/>
          <w:szCs w:val="24"/>
        </w:rPr>
        <w:t xml:space="preserve"> К специфическим трудностям, характерным лишь для некоторых рынков, можно отнести коррупцию (актуальна для </w:t>
      </w:r>
      <w:r>
        <w:rPr>
          <w:rFonts w:ascii="Arial Narrow" w:hAnsi="Arial Narrow"/>
          <w:sz w:val="24"/>
          <w:szCs w:val="24"/>
        </w:rPr>
        <w:t xml:space="preserve">12 % участников </w:t>
      </w:r>
      <w:r w:rsidRPr="005A1E98">
        <w:rPr>
          <w:rFonts w:ascii="Arial Narrow" w:hAnsi="Arial Narrow"/>
          <w:sz w:val="24"/>
          <w:szCs w:val="24"/>
        </w:rPr>
        <w:t>рынка услуг в сфере культуры), нестабильность российского законодательства (актуальн</w:t>
      </w:r>
      <w:r>
        <w:rPr>
          <w:rFonts w:ascii="Arial Narrow" w:hAnsi="Arial Narrow"/>
          <w:sz w:val="24"/>
          <w:szCs w:val="24"/>
        </w:rPr>
        <w:t>а</w:t>
      </w:r>
      <w:r w:rsidRPr="005A1E98">
        <w:rPr>
          <w:rFonts w:ascii="Arial Narrow" w:hAnsi="Arial Narrow"/>
          <w:sz w:val="24"/>
          <w:szCs w:val="24"/>
        </w:rPr>
        <w:t xml:space="preserve"> </w:t>
      </w:r>
      <w:r>
        <w:rPr>
          <w:rFonts w:ascii="Arial Narrow" w:hAnsi="Arial Narrow"/>
          <w:sz w:val="24"/>
          <w:szCs w:val="24"/>
        </w:rPr>
        <w:t>для 21,8 % участников</w:t>
      </w:r>
      <w:r w:rsidRPr="005A1E98">
        <w:rPr>
          <w:rFonts w:ascii="Arial Narrow" w:hAnsi="Arial Narrow"/>
          <w:sz w:val="24"/>
          <w:szCs w:val="24"/>
        </w:rPr>
        <w:t xml:space="preserve"> рынка медицинских услуг,</w:t>
      </w:r>
      <w:r>
        <w:rPr>
          <w:rFonts w:ascii="Arial Narrow" w:hAnsi="Arial Narrow"/>
          <w:sz w:val="24"/>
          <w:szCs w:val="24"/>
        </w:rPr>
        <w:t xml:space="preserve"> 12,0 % участников рынка</w:t>
      </w:r>
      <w:r w:rsidRPr="005A1E98">
        <w:rPr>
          <w:rFonts w:ascii="Arial Narrow" w:hAnsi="Arial Narrow"/>
          <w:sz w:val="24"/>
          <w:szCs w:val="24"/>
        </w:rPr>
        <w:t xml:space="preserve"> услуг в сфере культуры и </w:t>
      </w:r>
      <w:r>
        <w:rPr>
          <w:rFonts w:ascii="Arial Narrow" w:hAnsi="Arial Narrow"/>
          <w:sz w:val="24"/>
          <w:szCs w:val="24"/>
        </w:rPr>
        <w:t xml:space="preserve">14,6 % участников рынка </w:t>
      </w:r>
      <w:r w:rsidRPr="005A1E98">
        <w:rPr>
          <w:rFonts w:ascii="Arial Narrow" w:hAnsi="Arial Narrow"/>
          <w:sz w:val="24"/>
          <w:szCs w:val="24"/>
        </w:rPr>
        <w:t>услуг ЖКХ), сложность процедуры получения лицензий (актуальна для</w:t>
      </w:r>
      <w:r>
        <w:rPr>
          <w:rFonts w:ascii="Arial Narrow" w:hAnsi="Arial Narrow"/>
          <w:sz w:val="24"/>
          <w:szCs w:val="24"/>
        </w:rPr>
        <w:t xml:space="preserve"> 20 % участников</w:t>
      </w:r>
      <w:r w:rsidRPr="005A1E98">
        <w:rPr>
          <w:rFonts w:ascii="Arial Narrow" w:hAnsi="Arial Narrow"/>
          <w:sz w:val="24"/>
          <w:szCs w:val="24"/>
        </w:rPr>
        <w:t xml:space="preserve"> рынка дошкольного образования), сложность получения доступа к земельным участкам </w:t>
      </w:r>
      <w:r>
        <w:rPr>
          <w:rFonts w:ascii="Arial Narrow" w:hAnsi="Arial Narrow"/>
          <w:sz w:val="24"/>
          <w:szCs w:val="24"/>
        </w:rPr>
        <w:t>(актуальна для 10 % участников рынков услуг дошкольного образования и услуг по сбору, сортировке и переработке ТБО)</w:t>
      </w:r>
      <w:r w:rsidRPr="005A1E98">
        <w:rPr>
          <w:rFonts w:ascii="Arial Narrow" w:hAnsi="Arial Narrow"/>
          <w:sz w:val="24"/>
          <w:szCs w:val="24"/>
        </w:rPr>
        <w:t>.</w:t>
      </w:r>
    </w:p>
    <w:p w:rsidR="00A45259" w:rsidRDefault="00A45259" w:rsidP="00103148">
      <w:pPr>
        <w:spacing w:after="0"/>
        <w:rPr>
          <w:rFonts w:ascii="Arial Narrow" w:eastAsia="Calibri" w:hAnsi="Arial Narrow"/>
          <w:sz w:val="24"/>
          <w:szCs w:val="24"/>
        </w:rPr>
      </w:pPr>
    </w:p>
    <w:p w:rsidR="00BF6DC4" w:rsidRDefault="00BF6DC4">
      <w:pPr>
        <w:rPr>
          <w:rFonts w:ascii="Arial Narrow" w:eastAsia="Calibri" w:hAnsi="Arial Narrow"/>
          <w:sz w:val="24"/>
          <w:szCs w:val="24"/>
        </w:rPr>
      </w:pPr>
      <w:r>
        <w:rPr>
          <w:rFonts w:ascii="Arial Narrow" w:eastAsia="Calibri" w:hAnsi="Arial Narrow"/>
          <w:sz w:val="24"/>
          <w:szCs w:val="24"/>
        </w:rPr>
        <w:br w:type="page"/>
      </w:r>
    </w:p>
    <w:p w:rsidR="00A64028" w:rsidRDefault="00A64028" w:rsidP="00103148">
      <w:pPr>
        <w:spacing w:after="0"/>
        <w:rPr>
          <w:rFonts w:ascii="Arial Narrow" w:hAnsi="Arial Narrow"/>
          <w:b/>
          <w:sz w:val="24"/>
        </w:rPr>
      </w:pPr>
      <w:r>
        <w:rPr>
          <w:rFonts w:ascii="Arial Narrow" w:eastAsia="Calibri" w:hAnsi="Arial Narrow"/>
          <w:sz w:val="24"/>
          <w:szCs w:val="24"/>
        </w:rPr>
        <w:lastRenderedPageBreak/>
        <w:t xml:space="preserve">Таблица </w:t>
      </w:r>
      <w:r w:rsidR="00262F71">
        <w:rPr>
          <w:rFonts w:ascii="Arial Narrow" w:eastAsia="Calibri" w:hAnsi="Arial Narrow"/>
          <w:sz w:val="24"/>
          <w:szCs w:val="24"/>
        </w:rPr>
        <w:t>7.8.</w:t>
      </w:r>
      <w:r>
        <w:rPr>
          <w:rFonts w:ascii="Arial Narrow" w:eastAsia="Calibri" w:hAnsi="Arial Narrow"/>
          <w:sz w:val="24"/>
          <w:szCs w:val="24"/>
        </w:rPr>
        <w:t xml:space="preserve"> – </w:t>
      </w:r>
      <w:r>
        <w:rPr>
          <w:rFonts w:ascii="Arial Narrow" w:hAnsi="Arial Narrow"/>
          <w:b/>
          <w:sz w:val="24"/>
        </w:rPr>
        <w:t>Значение показателя 1.1.7. Распространенность различных видов препятствий, с которыми сталкиваются предприятия в своей деятельности (% от числа опрошенных)</w:t>
      </w:r>
    </w:p>
    <w:tbl>
      <w:tblPr>
        <w:tblW w:w="5038"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09"/>
        <w:gridCol w:w="1832"/>
        <w:gridCol w:w="536"/>
        <w:gridCol w:w="562"/>
        <w:gridCol w:w="50"/>
        <w:gridCol w:w="514"/>
        <w:gridCol w:w="538"/>
        <w:gridCol w:w="12"/>
        <w:gridCol w:w="433"/>
        <w:gridCol w:w="6"/>
        <w:gridCol w:w="701"/>
        <w:gridCol w:w="566"/>
        <w:gridCol w:w="425"/>
        <w:gridCol w:w="427"/>
        <w:gridCol w:w="568"/>
        <w:gridCol w:w="564"/>
        <w:gridCol w:w="425"/>
        <w:gridCol w:w="425"/>
        <w:gridCol w:w="735"/>
      </w:tblGrid>
      <w:tr w:rsidR="00F74159" w:rsidTr="00130274">
        <w:trPr>
          <w:cantSplit/>
          <w:trHeight w:val="3088"/>
          <w:tblHeader/>
        </w:trPr>
        <w:tc>
          <w:tcPr>
            <w:tcW w:w="307" w:type="pct"/>
            <w:tcBorders>
              <w:top w:val="single" w:sz="4" w:space="0" w:color="auto"/>
              <w:left w:val="single" w:sz="4" w:space="0" w:color="auto"/>
              <w:bottom w:val="single" w:sz="4" w:space="0" w:color="auto"/>
              <w:right w:val="single" w:sz="4" w:space="0" w:color="auto"/>
            </w:tcBorders>
            <w:noWrap/>
            <w:vAlign w:val="center"/>
            <w:hideMark/>
          </w:tcPr>
          <w:p w:rsidR="00A64028" w:rsidRDefault="00A64028" w:rsidP="00103148">
            <w:pPr>
              <w:spacing w:after="0" w:line="252" w:lineRule="auto"/>
              <w:jc w:val="center"/>
              <w:rPr>
                <w:rFonts w:ascii="Arial Narrow" w:hAnsi="Arial Narrow" w:cs="Arial"/>
              </w:rPr>
            </w:pPr>
            <w:r>
              <w:rPr>
                <w:rFonts w:ascii="Arial Narrow" w:hAnsi="Arial Narrow" w:cs="Arial"/>
              </w:rPr>
              <w:t>№</w:t>
            </w:r>
          </w:p>
        </w:tc>
        <w:tc>
          <w:tcPr>
            <w:tcW w:w="92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B3EA8" w:rsidRDefault="00A64028" w:rsidP="00A96FB4">
            <w:pPr>
              <w:spacing w:after="0" w:line="240" w:lineRule="auto"/>
              <w:ind w:left="148" w:right="141"/>
              <w:jc w:val="center"/>
              <w:rPr>
                <w:rFonts w:ascii="Arial Narrow" w:hAnsi="Arial Narrow" w:cs="Arial"/>
                <w:sz w:val="18"/>
                <w:szCs w:val="18"/>
              </w:rPr>
            </w:pPr>
            <w:r w:rsidRPr="00EB3EA8">
              <w:rPr>
                <w:rFonts w:ascii="Arial Narrow" w:hAnsi="Arial Narrow" w:cs="Arial"/>
                <w:sz w:val="18"/>
                <w:szCs w:val="18"/>
              </w:rPr>
              <w:t>Наименование показателя, единица измерения</w:t>
            </w:r>
          </w:p>
        </w:tc>
        <w:tc>
          <w:tcPr>
            <w:tcW w:w="270"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EB3EA8" w:rsidRDefault="00A64028" w:rsidP="001820C5">
            <w:pPr>
              <w:spacing w:after="0" w:line="240" w:lineRule="auto"/>
              <w:ind w:left="113" w:right="113"/>
              <w:jc w:val="center"/>
              <w:rPr>
                <w:rFonts w:ascii="Arial Narrow" w:hAnsi="Arial Narrow"/>
                <w:sz w:val="18"/>
                <w:szCs w:val="18"/>
              </w:rPr>
            </w:pPr>
            <w:r w:rsidRPr="00EB3EA8">
              <w:rPr>
                <w:rFonts w:ascii="Arial Narrow" w:hAnsi="Arial Narrow" w:cs="Arial"/>
                <w:sz w:val="18"/>
                <w:szCs w:val="18"/>
              </w:rPr>
              <w:t>Общий по Новосибирской области</w:t>
            </w:r>
          </w:p>
        </w:tc>
        <w:tc>
          <w:tcPr>
            <w:tcW w:w="308" w:type="pct"/>
            <w:gridSpan w:val="2"/>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EB3EA8" w:rsidRDefault="00A64028" w:rsidP="00A96FB4">
            <w:pPr>
              <w:spacing w:after="0" w:line="240" w:lineRule="auto"/>
              <w:ind w:left="113" w:right="113"/>
              <w:jc w:val="center"/>
              <w:rPr>
                <w:rFonts w:ascii="Arial Narrow" w:hAnsi="Arial Narrow"/>
                <w:sz w:val="18"/>
                <w:szCs w:val="18"/>
              </w:rPr>
            </w:pPr>
            <w:r w:rsidRPr="00EB3EA8">
              <w:rPr>
                <w:rFonts w:ascii="Arial Narrow" w:hAnsi="Arial Narrow"/>
                <w:sz w:val="18"/>
                <w:szCs w:val="18"/>
              </w:rPr>
              <w:t>Рынок услуг дошкольного образования</w:t>
            </w:r>
          </w:p>
        </w:tc>
        <w:tc>
          <w:tcPr>
            <w:tcW w:w="258"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EB3EA8" w:rsidRDefault="00A64028" w:rsidP="00A96FB4">
            <w:pPr>
              <w:spacing w:after="0" w:line="240" w:lineRule="auto"/>
              <w:ind w:left="113" w:right="113"/>
              <w:jc w:val="center"/>
              <w:rPr>
                <w:rFonts w:ascii="Arial Narrow" w:hAnsi="Arial Narrow"/>
                <w:sz w:val="18"/>
                <w:szCs w:val="18"/>
              </w:rPr>
            </w:pPr>
            <w:r w:rsidRPr="00EB3EA8">
              <w:rPr>
                <w:rFonts w:ascii="Arial Narrow" w:hAnsi="Arial Narrow"/>
                <w:sz w:val="18"/>
                <w:szCs w:val="18"/>
              </w:rPr>
              <w:t>Рынок услуг детского отдыха и оздоровления</w:t>
            </w:r>
          </w:p>
        </w:tc>
        <w:tc>
          <w:tcPr>
            <w:tcW w:w="271"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EB3EA8" w:rsidRDefault="00A64028" w:rsidP="00A96FB4">
            <w:pPr>
              <w:spacing w:after="0" w:line="240" w:lineRule="auto"/>
              <w:ind w:left="113" w:right="113"/>
              <w:jc w:val="center"/>
              <w:rPr>
                <w:rFonts w:ascii="Arial Narrow" w:hAnsi="Arial Narrow"/>
                <w:sz w:val="18"/>
                <w:szCs w:val="18"/>
              </w:rPr>
            </w:pPr>
            <w:r w:rsidRPr="00EB3EA8">
              <w:rPr>
                <w:rFonts w:ascii="Arial Narrow" w:hAnsi="Arial Narrow"/>
                <w:sz w:val="18"/>
                <w:szCs w:val="18"/>
              </w:rPr>
              <w:t>Рынок дополнительного образования детей</w:t>
            </w:r>
          </w:p>
        </w:tc>
        <w:tc>
          <w:tcPr>
            <w:tcW w:w="224" w:type="pct"/>
            <w:gridSpan w:val="2"/>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EB3EA8" w:rsidRDefault="00A64028" w:rsidP="00A96FB4">
            <w:pPr>
              <w:spacing w:after="0" w:line="240" w:lineRule="auto"/>
              <w:ind w:left="113" w:right="113"/>
              <w:jc w:val="center"/>
              <w:rPr>
                <w:rFonts w:ascii="Arial Narrow" w:hAnsi="Arial Narrow"/>
                <w:sz w:val="18"/>
                <w:szCs w:val="18"/>
              </w:rPr>
            </w:pPr>
            <w:r w:rsidRPr="00EB3EA8">
              <w:rPr>
                <w:rFonts w:ascii="Arial Narrow" w:hAnsi="Arial Narrow"/>
                <w:sz w:val="18"/>
                <w:szCs w:val="18"/>
              </w:rPr>
              <w:t>Рынок медицинских услуг</w:t>
            </w:r>
          </w:p>
        </w:tc>
        <w:tc>
          <w:tcPr>
            <w:tcW w:w="356" w:type="pct"/>
            <w:gridSpan w:val="2"/>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EB3EA8" w:rsidRDefault="00A64028" w:rsidP="00A96FB4">
            <w:pPr>
              <w:spacing w:after="0" w:line="240" w:lineRule="auto"/>
              <w:ind w:left="113" w:right="113"/>
              <w:jc w:val="center"/>
              <w:rPr>
                <w:rFonts w:ascii="Arial Narrow" w:hAnsi="Arial Narrow"/>
                <w:sz w:val="18"/>
                <w:szCs w:val="18"/>
              </w:rPr>
            </w:pPr>
            <w:r w:rsidRPr="00EB3EA8">
              <w:rPr>
                <w:rFonts w:ascii="Arial Narrow" w:hAnsi="Arial Narrow"/>
                <w:sz w:val="18"/>
                <w:szCs w:val="18"/>
              </w:rPr>
              <w:t>Рынок услуг психолого-педагогического сопровождения детей с ограниченными возможностями здоровья</w:t>
            </w:r>
          </w:p>
        </w:tc>
        <w:tc>
          <w:tcPr>
            <w:tcW w:w="285"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EB3EA8" w:rsidRDefault="00A64028" w:rsidP="00A96FB4">
            <w:pPr>
              <w:spacing w:after="0" w:line="240" w:lineRule="auto"/>
              <w:ind w:left="113" w:right="113"/>
              <w:jc w:val="center"/>
              <w:rPr>
                <w:rFonts w:ascii="Arial Narrow" w:hAnsi="Arial Narrow"/>
                <w:sz w:val="18"/>
                <w:szCs w:val="18"/>
              </w:rPr>
            </w:pPr>
            <w:r w:rsidRPr="00EB3EA8">
              <w:rPr>
                <w:rFonts w:ascii="Arial Narrow" w:hAnsi="Arial Narrow"/>
                <w:sz w:val="18"/>
                <w:szCs w:val="18"/>
              </w:rPr>
              <w:t>Рынок услуг в сфере культуры</w:t>
            </w:r>
          </w:p>
        </w:tc>
        <w:tc>
          <w:tcPr>
            <w:tcW w:w="214"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EB3EA8" w:rsidRDefault="00A64028" w:rsidP="00A96FB4">
            <w:pPr>
              <w:spacing w:after="0" w:line="240" w:lineRule="auto"/>
              <w:ind w:left="113" w:right="113"/>
              <w:jc w:val="center"/>
              <w:rPr>
                <w:rFonts w:ascii="Arial Narrow" w:hAnsi="Arial Narrow"/>
                <w:sz w:val="18"/>
                <w:szCs w:val="18"/>
              </w:rPr>
            </w:pPr>
            <w:r w:rsidRPr="00EB3EA8">
              <w:rPr>
                <w:rFonts w:ascii="Arial Narrow" w:hAnsi="Arial Narrow"/>
                <w:sz w:val="18"/>
                <w:szCs w:val="18"/>
              </w:rPr>
              <w:t>Рынок услуг ЖКХ</w:t>
            </w:r>
          </w:p>
        </w:tc>
        <w:tc>
          <w:tcPr>
            <w:tcW w:w="215"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EB3EA8" w:rsidRDefault="00A64028" w:rsidP="00A96FB4">
            <w:pPr>
              <w:spacing w:after="0" w:line="240" w:lineRule="auto"/>
              <w:ind w:left="113" w:right="113"/>
              <w:jc w:val="center"/>
              <w:rPr>
                <w:rFonts w:ascii="Arial Narrow" w:hAnsi="Arial Narrow"/>
                <w:sz w:val="18"/>
                <w:szCs w:val="18"/>
              </w:rPr>
            </w:pPr>
            <w:r w:rsidRPr="00EB3EA8">
              <w:rPr>
                <w:rFonts w:ascii="Arial Narrow" w:hAnsi="Arial Narrow"/>
                <w:sz w:val="18"/>
                <w:szCs w:val="18"/>
              </w:rPr>
              <w:t>Розничная торговля</w:t>
            </w:r>
          </w:p>
        </w:tc>
        <w:tc>
          <w:tcPr>
            <w:tcW w:w="286"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EB3EA8" w:rsidRDefault="00A64028" w:rsidP="00A96FB4">
            <w:pPr>
              <w:spacing w:after="0" w:line="240" w:lineRule="auto"/>
              <w:ind w:left="113" w:right="113"/>
              <w:jc w:val="center"/>
              <w:rPr>
                <w:rFonts w:ascii="Arial Narrow" w:hAnsi="Arial Narrow"/>
                <w:sz w:val="18"/>
                <w:szCs w:val="18"/>
              </w:rPr>
            </w:pPr>
            <w:r w:rsidRPr="00EB3EA8">
              <w:rPr>
                <w:rFonts w:ascii="Arial Narrow" w:hAnsi="Arial Narrow"/>
                <w:sz w:val="18"/>
                <w:szCs w:val="18"/>
              </w:rPr>
              <w:t>Рынок услуг перевозок пассажиров наземным транспортом</w:t>
            </w:r>
          </w:p>
        </w:tc>
        <w:tc>
          <w:tcPr>
            <w:tcW w:w="284"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EB3EA8" w:rsidRDefault="00A64028" w:rsidP="00A96FB4">
            <w:pPr>
              <w:spacing w:after="0" w:line="240" w:lineRule="auto"/>
              <w:ind w:left="113" w:right="113"/>
              <w:jc w:val="center"/>
              <w:rPr>
                <w:rFonts w:ascii="Arial Narrow" w:hAnsi="Arial Narrow"/>
                <w:sz w:val="18"/>
                <w:szCs w:val="18"/>
              </w:rPr>
            </w:pPr>
            <w:r w:rsidRPr="00EB3EA8">
              <w:rPr>
                <w:rFonts w:ascii="Arial Narrow" w:hAnsi="Arial Narrow"/>
                <w:sz w:val="18"/>
                <w:szCs w:val="18"/>
              </w:rPr>
              <w:t>Рынок услуг связи</w:t>
            </w:r>
          </w:p>
        </w:tc>
        <w:tc>
          <w:tcPr>
            <w:tcW w:w="214"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EB3EA8" w:rsidRDefault="00A64028" w:rsidP="00A96FB4">
            <w:pPr>
              <w:spacing w:after="0" w:line="240" w:lineRule="auto"/>
              <w:ind w:left="113" w:right="113"/>
              <w:jc w:val="center"/>
              <w:rPr>
                <w:rFonts w:ascii="Arial Narrow" w:hAnsi="Arial Narrow"/>
                <w:sz w:val="18"/>
                <w:szCs w:val="18"/>
              </w:rPr>
            </w:pPr>
            <w:r w:rsidRPr="00EB3EA8">
              <w:rPr>
                <w:rFonts w:ascii="Arial Narrow" w:hAnsi="Arial Narrow"/>
                <w:sz w:val="18"/>
                <w:szCs w:val="18"/>
              </w:rPr>
              <w:t>Рынок услуг социального обслуживания населения</w:t>
            </w:r>
          </w:p>
        </w:tc>
        <w:tc>
          <w:tcPr>
            <w:tcW w:w="214"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EB3EA8" w:rsidRDefault="00A64028" w:rsidP="00A96FB4">
            <w:pPr>
              <w:spacing w:after="0" w:line="240" w:lineRule="auto"/>
              <w:ind w:left="113" w:right="113"/>
              <w:jc w:val="center"/>
              <w:rPr>
                <w:rFonts w:ascii="Arial Narrow" w:hAnsi="Arial Narrow"/>
                <w:sz w:val="18"/>
                <w:szCs w:val="18"/>
              </w:rPr>
            </w:pPr>
            <w:r w:rsidRPr="00EB3EA8">
              <w:rPr>
                <w:rFonts w:ascii="Arial Narrow" w:hAnsi="Arial Narrow"/>
                <w:sz w:val="18"/>
                <w:szCs w:val="18"/>
              </w:rPr>
              <w:t>Рынок развития, производства, переработки и хранения с/х продукции</w:t>
            </w:r>
          </w:p>
        </w:tc>
        <w:tc>
          <w:tcPr>
            <w:tcW w:w="370"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EB3EA8" w:rsidRDefault="00A64028" w:rsidP="00A96FB4">
            <w:pPr>
              <w:spacing w:after="0" w:line="240" w:lineRule="auto"/>
              <w:ind w:left="113" w:right="113"/>
              <w:jc w:val="center"/>
              <w:rPr>
                <w:rFonts w:ascii="Arial Narrow" w:hAnsi="Arial Narrow"/>
                <w:sz w:val="18"/>
                <w:szCs w:val="18"/>
              </w:rPr>
            </w:pPr>
            <w:r w:rsidRPr="00EB3EA8">
              <w:rPr>
                <w:rFonts w:ascii="Arial Narrow" w:hAnsi="Arial Narrow"/>
                <w:sz w:val="18"/>
                <w:szCs w:val="18"/>
              </w:rPr>
              <w:t>Рынок услуг по сбору, сортировке и переработке твердых коммунальных (бытовых) отходов</w:t>
            </w:r>
          </w:p>
        </w:tc>
      </w:tr>
      <w:tr w:rsidR="00737E0A" w:rsidRPr="00737E0A" w:rsidTr="00130274">
        <w:trPr>
          <w:cantSplit/>
          <w:trHeight w:val="20"/>
        </w:trPr>
        <w:tc>
          <w:tcPr>
            <w:tcW w:w="307" w:type="pct"/>
            <w:tcBorders>
              <w:top w:val="single" w:sz="4" w:space="0" w:color="auto"/>
              <w:left w:val="single" w:sz="4" w:space="0" w:color="auto"/>
              <w:bottom w:val="single" w:sz="4" w:space="0" w:color="auto"/>
              <w:right w:val="single" w:sz="4" w:space="0" w:color="auto"/>
            </w:tcBorders>
            <w:noWrap/>
            <w:vAlign w:val="center"/>
            <w:hideMark/>
          </w:tcPr>
          <w:p w:rsidR="00A64028" w:rsidRPr="00737E0A" w:rsidRDefault="00A64028" w:rsidP="00103148">
            <w:pPr>
              <w:spacing w:after="0"/>
              <w:ind w:left="-57" w:right="-57"/>
              <w:jc w:val="both"/>
              <w:rPr>
                <w:rFonts w:ascii="Arial Narrow" w:hAnsi="Arial Narrow"/>
                <w:b/>
                <w:sz w:val="20"/>
                <w:szCs w:val="20"/>
              </w:rPr>
            </w:pPr>
            <w:r w:rsidRPr="00737E0A">
              <w:rPr>
                <w:rFonts w:ascii="Arial Narrow" w:hAnsi="Arial Narrow"/>
                <w:b/>
                <w:sz w:val="20"/>
                <w:szCs w:val="20"/>
              </w:rPr>
              <w:t>1.1.7.</w:t>
            </w:r>
          </w:p>
        </w:tc>
        <w:tc>
          <w:tcPr>
            <w:tcW w:w="4693" w:type="pct"/>
            <w:gridSpan w:val="18"/>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57" w:right="-57"/>
              <w:jc w:val="both"/>
              <w:rPr>
                <w:rFonts w:ascii="Arial Narrow" w:hAnsi="Arial Narrow"/>
                <w:b/>
                <w:sz w:val="20"/>
                <w:szCs w:val="20"/>
              </w:rPr>
            </w:pPr>
            <w:r w:rsidRPr="00737E0A">
              <w:rPr>
                <w:rFonts w:ascii="Arial Narrow" w:hAnsi="Arial Narrow"/>
                <w:b/>
                <w:sz w:val="20"/>
                <w:szCs w:val="20"/>
              </w:rPr>
              <w:t>Распространенность различных видов препятствий, с которыми сталкиваются предприятия в своей деятельности (% от числа опрошенных)</w:t>
            </w:r>
          </w:p>
        </w:tc>
      </w:tr>
      <w:tr w:rsidR="00F74159" w:rsidRPr="00737E0A" w:rsidTr="00130274">
        <w:trPr>
          <w:cantSplit/>
          <w:trHeight w:val="20"/>
        </w:trPr>
        <w:tc>
          <w:tcPr>
            <w:tcW w:w="307" w:type="pct"/>
            <w:tcBorders>
              <w:top w:val="single" w:sz="4" w:space="0" w:color="auto"/>
              <w:left w:val="single" w:sz="4" w:space="0" w:color="auto"/>
              <w:bottom w:val="single" w:sz="4" w:space="0" w:color="auto"/>
              <w:right w:val="single" w:sz="4" w:space="0" w:color="auto"/>
            </w:tcBorders>
            <w:noWrap/>
            <w:vAlign w:val="bottom"/>
            <w:hideMark/>
          </w:tcPr>
          <w:p w:rsidR="00A64028" w:rsidRPr="00737E0A" w:rsidRDefault="00A64028" w:rsidP="00103148">
            <w:pPr>
              <w:spacing w:after="0"/>
              <w:ind w:left="-57" w:right="-57"/>
              <w:rPr>
                <w:rFonts w:ascii="Calibri" w:hAnsi="Calibri"/>
                <w:sz w:val="20"/>
                <w:szCs w:val="20"/>
              </w:rPr>
            </w:pPr>
            <w:r w:rsidRPr="00737E0A">
              <w:rPr>
                <w:rFonts w:ascii="Calibri" w:hAnsi="Calibri"/>
                <w:sz w:val="20"/>
                <w:szCs w:val="20"/>
              </w:rPr>
              <w:t> </w:t>
            </w:r>
          </w:p>
        </w:tc>
        <w:tc>
          <w:tcPr>
            <w:tcW w:w="92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rPr>
                <w:rFonts w:ascii="Arial Narrow" w:hAnsi="Arial Narrow"/>
                <w:sz w:val="20"/>
                <w:szCs w:val="20"/>
              </w:rPr>
            </w:pPr>
            <w:r w:rsidRPr="00ED3C71">
              <w:rPr>
                <w:rFonts w:ascii="Arial Narrow" w:hAnsi="Arial Narrow"/>
                <w:sz w:val="20"/>
                <w:szCs w:val="20"/>
              </w:rPr>
              <w:t>Сложность получения доступа к земельным участкам, %</w:t>
            </w:r>
          </w:p>
        </w:tc>
        <w:tc>
          <w:tcPr>
            <w:tcW w:w="2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4,0%</w:t>
            </w:r>
          </w:p>
        </w:tc>
        <w:tc>
          <w:tcPr>
            <w:tcW w:w="28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10,0%</w:t>
            </w:r>
          </w:p>
        </w:tc>
        <w:tc>
          <w:tcPr>
            <w:tcW w:w="284"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7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8,0%</w:t>
            </w:r>
          </w:p>
        </w:tc>
        <w:tc>
          <w:tcPr>
            <w:tcW w:w="227" w:type="pct"/>
            <w:gridSpan w:val="3"/>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35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8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4,0%</w:t>
            </w:r>
          </w:p>
        </w:tc>
        <w:tc>
          <w:tcPr>
            <w:tcW w:w="21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1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6,1%</w:t>
            </w:r>
          </w:p>
        </w:tc>
        <w:tc>
          <w:tcPr>
            <w:tcW w:w="28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8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8,0%</w:t>
            </w:r>
          </w:p>
        </w:tc>
        <w:tc>
          <w:tcPr>
            <w:tcW w:w="21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1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5,0%</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10,0%</w:t>
            </w:r>
          </w:p>
        </w:tc>
      </w:tr>
      <w:tr w:rsidR="00F74159" w:rsidRPr="00737E0A" w:rsidTr="00130274">
        <w:trPr>
          <w:cantSplit/>
          <w:trHeight w:val="20"/>
        </w:trPr>
        <w:tc>
          <w:tcPr>
            <w:tcW w:w="307" w:type="pct"/>
            <w:tcBorders>
              <w:top w:val="single" w:sz="4" w:space="0" w:color="auto"/>
              <w:left w:val="single" w:sz="4" w:space="0" w:color="auto"/>
              <w:bottom w:val="single" w:sz="4" w:space="0" w:color="auto"/>
              <w:right w:val="single" w:sz="4" w:space="0" w:color="auto"/>
            </w:tcBorders>
            <w:noWrap/>
            <w:vAlign w:val="bottom"/>
            <w:hideMark/>
          </w:tcPr>
          <w:p w:rsidR="00A64028" w:rsidRPr="00737E0A" w:rsidRDefault="00A64028" w:rsidP="00103148">
            <w:pPr>
              <w:spacing w:after="0"/>
              <w:ind w:left="-57" w:right="-57"/>
              <w:rPr>
                <w:rFonts w:ascii="Calibri" w:hAnsi="Calibri"/>
                <w:sz w:val="20"/>
                <w:szCs w:val="20"/>
              </w:rPr>
            </w:pPr>
            <w:r w:rsidRPr="00737E0A">
              <w:rPr>
                <w:rFonts w:ascii="Calibri" w:hAnsi="Calibri"/>
                <w:sz w:val="20"/>
                <w:szCs w:val="20"/>
              </w:rPr>
              <w:t> </w:t>
            </w:r>
          </w:p>
        </w:tc>
        <w:tc>
          <w:tcPr>
            <w:tcW w:w="92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rPr>
                <w:rFonts w:ascii="Arial Narrow" w:hAnsi="Arial Narrow"/>
                <w:sz w:val="20"/>
                <w:szCs w:val="20"/>
              </w:rPr>
            </w:pPr>
            <w:r w:rsidRPr="00ED3C71">
              <w:rPr>
                <w:rFonts w:ascii="Arial Narrow" w:hAnsi="Arial Narrow"/>
                <w:sz w:val="20"/>
                <w:szCs w:val="20"/>
              </w:rPr>
              <w:t>Доступ к финансированию, %</w:t>
            </w:r>
          </w:p>
        </w:tc>
        <w:tc>
          <w:tcPr>
            <w:tcW w:w="2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14,6%</w:t>
            </w:r>
          </w:p>
        </w:tc>
        <w:tc>
          <w:tcPr>
            <w:tcW w:w="28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10,0%</w:t>
            </w:r>
          </w:p>
        </w:tc>
        <w:tc>
          <w:tcPr>
            <w:tcW w:w="284"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20,0%</w:t>
            </w:r>
          </w:p>
        </w:tc>
        <w:tc>
          <w:tcPr>
            <w:tcW w:w="27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20,0%</w:t>
            </w:r>
          </w:p>
        </w:tc>
        <w:tc>
          <w:tcPr>
            <w:tcW w:w="227" w:type="pct"/>
            <w:gridSpan w:val="3"/>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8,6%</w:t>
            </w:r>
          </w:p>
        </w:tc>
        <w:tc>
          <w:tcPr>
            <w:tcW w:w="35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32,0%</w:t>
            </w:r>
          </w:p>
        </w:tc>
        <w:tc>
          <w:tcPr>
            <w:tcW w:w="28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16,0%</w:t>
            </w:r>
          </w:p>
        </w:tc>
        <w:tc>
          <w:tcPr>
            <w:tcW w:w="21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7,1%</w:t>
            </w:r>
          </w:p>
        </w:tc>
        <w:tc>
          <w:tcPr>
            <w:tcW w:w="21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13,3%</w:t>
            </w:r>
          </w:p>
        </w:tc>
        <w:tc>
          <w:tcPr>
            <w:tcW w:w="28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16,7%</w:t>
            </w:r>
          </w:p>
        </w:tc>
        <w:tc>
          <w:tcPr>
            <w:tcW w:w="28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8,0%</w:t>
            </w:r>
          </w:p>
        </w:tc>
        <w:tc>
          <w:tcPr>
            <w:tcW w:w="21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36,0%</w:t>
            </w:r>
          </w:p>
        </w:tc>
        <w:tc>
          <w:tcPr>
            <w:tcW w:w="21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20,0%</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30,0%</w:t>
            </w:r>
          </w:p>
        </w:tc>
      </w:tr>
      <w:tr w:rsidR="00F74159" w:rsidRPr="00737E0A" w:rsidTr="00130274">
        <w:trPr>
          <w:cantSplit/>
          <w:trHeight w:val="20"/>
        </w:trPr>
        <w:tc>
          <w:tcPr>
            <w:tcW w:w="307" w:type="pct"/>
            <w:tcBorders>
              <w:top w:val="single" w:sz="4" w:space="0" w:color="auto"/>
              <w:left w:val="single" w:sz="4" w:space="0" w:color="auto"/>
              <w:bottom w:val="single" w:sz="4" w:space="0" w:color="auto"/>
              <w:right w:val="single" w:sz="4" w:space="0" w:color="auto"/>
            </w:tcBorders>
            <w:noWrap/>
            <w:vAlign w:val="bottom"/>
            <w:hideMark/>
          </w:tcPr>
          <w:p w:rsidR="00A64028" w:rsidRPr="00737E0A" w:rsidRDefault="00A64028" w:rsidP="00103148">
            <w:pPr>
              <w:spacing w:after="0"/>
              <w:ind w:left="-57" w:right="-57"/>
              <w:rPr>
                <w:rFonts w:ascii="Calibri" w:hAnsi="Calibri"/>
                <w:sz w:val="20"/>
                <w:szCs w:val="20"/>
              </w:rPr>
            </w:pPr>
            <w:r w:rsidRPr="00737E0A">
              <w:rPr>
                <w:rFonts w:ascii="Calibri" w:hAnsi="Calibri"/>
                <w:sz w:val="20"/>
                <w:szCs w:val="20"/>
              </w:rPr>
              <w:t> </w:t>
            </w:r>
          </w:p>
        </w:tc>
        <w:tc>
          <w:tcPr>
            <w:tcW w:w="92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rPr>
                <w:rFonts w:ascii="Arial Narrow" w:hAnsi="Arial Narrow"/>
                <w:sz w:val="20"/>
                <w:szCs w:val="20"/>
              </w:rPr>
            </w:pPr>
            <w:r w:rsidRPr="00ED3C71">
              <w:rPr>
                <w:rFonts w:ascii="Arial Narrow" w:hAnsi="Arial Narrow"/>
                <w:sz w:val="20"/>
                <w:szCs w:val="20"/>
              </w:rPr>
              <w:t>Конкуренция, теневой сектор, %</w:t>
            </w:r>
          </w:p>
        </w:tc>
        <w:tc>
          <w:tcPr>
            <w:tcW w:w="2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21,8%</w:t>
            </w:r>
          </w:p>
        </w:tc>
        <w:tc>
          <w:tcPr>
            <w:tcW w:w="28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84"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20,0%</w:t>
            </w:r>
          </w:p>
        </w:tc>
        <w:tc>
          <w:tcPr>
            <w:tcW w:w="27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20,0%</w:t>
            </w:r>
          </w:p>
        </w:tc>
        <w:tc>
          <w:tcPr>
            <w:tcW w:w="227" w:type="pct"/>
            <w:gridSpan w:val="3"/>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7,1%</w:t>
            </w:r>
          </w:p>
        </w:tc>
        <w:tc>
          <w:tcPr>
            <w:tcW w:w="35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8,0%</w:t>
            </w:r>
          </w:p>
        </w:tc>
        <w:tc>
          <w:tcPr>
            <w:tcW w:w="28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4,0%</w:t>
            </w:r>
          </w:p>
        </w:tc>
        <w:tc>
          <w:tcPr>
            <w:tcW w:w="21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21,4%</w:t>
            </w:r>
          </w:p>
        </w:tc>
        <w:tc>
          <w:tcPr>
            <w:tcW w:w="21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26,7%</w:t>
            </w:r>
          </w:p>
        </w:tc>
        <w:tc>
          <w:tcPr>
            <w:tcW w:w="28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43,3%</w:t>
            </w:r>
          </w:p>
        </w:tc>
        <w:tc>
          <w:tcPr>
            <w:tcW w:w="28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24,0%</w:t>
            </w:r>
          </w:p>
        </w:tc>
        <w:tc>
          <w:tcPr>
            <w:tcW w:w="21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12,0%</w:t>
            </w:r>
          </w:p>
        </w:tc>
        <w:tc>
          <w:tcPr>
            <w:tcW w:w="21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10,0%</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10,0%</w:t>
            </w:r>
          </w:p>
        </w:tc>
      </w:tr>
      <w:tr w:rsidR="00F74159" w:rsidRPr="00737E0A" w:rsidTr="00130274">
        <w:trPr>
          <w:cantSplit/>
          <w:trHeight w:val="20"/>
        </w:trPr>
        <w:tc>
          <w:tcPr>
            <w:tcW w:w="307" w:type="pct"/>
            <w:tcBorders>
              <w:top w:val="single" w:sz="4" w:space="0" w:color="auto"/>
              <w:left w:val="single" w:sz="4" w:space="0" w:color="auto"/>
              <w:bottom w:val="single" w:sz="4" w:space="0" w:color="auto"/>
              <w:right w:val="single" w:sz="4" w:space="0" w:color="auto"/>
            </w:tcBorders>
            <w:noWrap/>
            <w:vAlign w:val="bottom"/>
            <w:hideMark/>
          </w:tcPr>
          <w:p w:rsidR="00A64028" w:rsidRPr="00737E0A" w:rsidRDefault="00A64028" w:rsidP="00103148">
            <w:pPr>
              <w:spacing w:after="0"/>
              <w:ind w:left="-57" w:right="-57"/>
              <w:rPr>
                <w:rFonts w:ascii="Calibri" w:hAnsi="Calibri"/>
                <w:sz w:val="20"/>
                <w:szCs w:val="20"/>
              </w:rPr>
            </w:pPr>
            <w:r w:rsidRPr="00737E0A">
              <w:rPr>
                <w:rFonts w:ascii="Calibri" w:hAnsi="Calibri"/>
                <w:sz w:val="20"/>
                <w:szCs w:val="20"/>
              </w:rPr>
              <w:t> </w:t>
            </w:r>
          </w:p>
        </w:tc>
        <w:tc>
          <w:tcPr>
            <w:tcW w:w="92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rPr>
                <w:rFonts w:ascii="Arial Narrow" w:hAnsi="Arial Narrow"/>
                <w:sz w:val="20"/>
                <w:szCs w:val="20"/>
              </w:rPr>
            </w:pPr>
            <w:r w:rsidRPr="00ED3C71">
              <w:rPr>
                <w:rFonts w:ascii="Arial Narrow" w:hAnsi="Arial Narrow"/>
                <w:sz w:val="20"/>
                <w:szCs w:val="20"/>
              </w:rPr>
              <w:t>Коррупция (включая взятки, дискриминацию и предоставление преференций отдельным участникам на заведомо неравных условиях), %</w:t>
            </w:r>
          </w:p>
        </w:tc>
        <w:tc>
          <w:tcPr>
            <w:tcW w:w="2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5,1%</w:t>
            </w:r>
          </w:p>
        </w:tc>
        <w:tc>
          <w:tcPr>
            <w:tcW w:w="28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84"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7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27" w:type="pct"/>
            <w:gridSpan w:val="3"/>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5,7%</w:t>
            </w:r>
          </w:p>
        </w:tc>
        <w:tc>
          <w:tcPr>
            <w:tcW w:w="35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4,0%</w:t>
            </w:r>
          </w:p>
        </w:tc>
        <w:tc>
          <w:tcPr>
            <w:tcW w:w="28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12,0%</w:t>
            </w:r>
          </w:p>
        </w:tc>
        <w:tc>
          <w:tcPr>
            <w:tcW w:w="21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5,7%</w:t>
            </w:r>
          </w:p>
        </w:tc>
        <w:tc>
          <w:tcPr>
            <w:tcW w:w="21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1,7%</w:t>
            </w:r>
          </w:p>
        </w:tc>
        <w:tc>
          <w:tcPr>
            <w:tcW w:w="28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8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1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1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4,0%</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r>
      <w:tr w:rsidR="00F74159" w:rsidRPr="00737E0A" w:rsidTr="00130274">
        <w:trPr>
          <w:cantSplit/>
          <w:trHeight w:val="20"/>
        </w:trPr>
        <w:tc>
          <w:tcPr>
            <w:tcW w:w="307" w:type="pct"/>
            <w:tcBorders>
              <w:top w:val="single" w:sz="4" w:space="0" w:color="auto"/>
              <w:left w:val="single" w:sz="4" w:space="0" w:color="auto"/>
              <w:bottom w:val="single" w:sz="4" w:space="0" w:color="auto"/>
              <w:right w:val="single" w:sz="4" w:space="0" w:color="auto"/>
            </w:tcBorders>
            <w:noWrap/>
            <w:vAlign w:val="bottom"/>
            <w:hideMark/>
          </w:tcPr>
          <w:p w:rsidR="00A64028" w:rsidRPr="00737E0A" w:rsidRDefault="00A64028" w:rsidP="00103148">
            <w:pPr>
              <w:spacing w:after="0"/>
              <w:ind w:left="-57" w:right="-57"/>
              <w:rPr>
                <w:rFonts w:ascii="Calibri" w:hAnsi="Calibri"/>
                <w:sz w:val="20"/>
                <w:szCs w:val="20"/>
              </w:rPr>
            </w:pPr>
            <w:r w:rsidRPr="00737E0A">
              <w:rPr>
                <w:rFonts w:ascii="Calibri" w:hAnsi="Calibri"/>
                <w:sz w:val="20"/>
                <w:szCs w:val="20"/>
              </w:rPr>
              <w:t> </w:t>
            </w:r>
          </w:p>
        </w:tc>
        <w:tc>
          <w:tcPr>
            <w:tcW w:w="92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rPr>
                <w:rFonts w:ascii="Arial Narrow" w:hAnsi="Arial Narrow"/>
                <w:sz w:val="20"/>
                <w:szCs w:val="20"/>
              </w:rPr>
            </w:pPr>
            <w:r w:rsidRPr="00ED3C71">
              <w:rPr>
                <w:rFonts w:ascii="Arial Narrow" w:hAnsi="Arial Narrow"/>
                <w:sz w:val="20"/>
                <w:szCs w:val="20"/>
              </w:rPr>
              <w:t>Нестабильность российского законодательства, регулирующего предпринимательскую деятельность, %</w:t>
            </w:r>
          </w:p>
        </w:tc>
        <w:tc>
          <w:tcPr>
            <w:tcW w:w="2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12,7%</w:t>
            </w:r>
          </w:p>
        </w:tc>
        <w:tc>
          <w:tcPr>
            <w:tcW w:w="28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84"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7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8,0%</w:t>
            </w:r>
          </w:p>
        </w:tc>
        <w:tc>
          <w:tcPr>
            <w:tcW w:w="227" w:type="pct"/>
            <w:gridSpan w:val="3"/>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20,0%</w:t>
            </w:r>
          </w:p>
        </w:tc>
        <w:tc>
          <w:tcPr>
            <w:tcW w:w="35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8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12,0%</w:t>
            </w:r>
          </w:p>
        </w:tc>
        <w:tc>
          <w:tcPr>
            <w:tcW w:w="21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18,6%</w:t>
            </w:r>
          </w:p>
        </w:tc>
        <w:tc>
          <w:tcPr>
            <w:tcW w:w="21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9,4%</w:t>
            </w:r>
          </w:p>
        </w:tc>
        <w:tc>
          <w:tcPr>
            <w:tcW w:w="28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10,0%</w:t>
            </w:r>
          </w:p>
        </w:tc>
        <w:tc>
          <w:tcPr>
            <w:tcW w:w="28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8,0%</w:t>
            </w:r>
          </w:p>
        </w:tc>
        <w:tc>
          <w:tcPr>
            <w:tcW w:w="21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4,0%</w:t>
            </w:r>
          </w:p>
        </w:tc>
        <w:tc>
          <w:tcPr>
            <w:tcW w:w="21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9,0%</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10,0%</w:t>
            </w:r>
          </w:p>
        </w:tc>
      </w:tr>
      <w:tr w:rsidR="00F74159" w:rsidRPr="00737E0A" w:rsidTr="00130274">
        <w:trPr>
          <w:cantSplit/>
          <w:trHeight w:val="20"/>
        </w:trPr>
        <w:tc>
          <w:tcPr>
            <w:tcW w:w="307" w:type="pct"/>
            <w:tcBorders>
              <w:top w:val="single" w:sz="4" w:space="0" w:color="auto"/>
              <w:left w:val="single" w:sz="4" w:space="0" w:color="auto"/>
              <w:bottom w:val="single" w:sz="4" w:space="0" w:color="auto"/>
              <w:right w:val="single" w:sz="4" w:space="0" w:color="auto"/>
            </w:tcBorders>
            <w:noWrap/>
            <w:vAlign w:val="bottom"/>
            <w:hideMark/>
          </w:tcPr>
          <w:p w:rsidR="00A64028" w:rsidRPr="00737E0A" w:rsidRDefault="00A64028" w:rsidP="00103148">
            <w:pPr>
              <w:spacing w:after="0"/>
              <w:ind w:left="-57" w:right="-57"/>
              <w:rPr>
                <w:rFonts w:ascii="Calibri" w:hAnsi="Calibri"/>
                <w:sz w:val="20"/>
                <w:szCs w:val="20"/>
              </w:rPr>
            </w:pPr>
            <w:r w:rsidRPr="00737E0A">
              <w:rPr>
                <w:rFonts w:ascii="Calibri" w:hAnsi="Calibri"/>
                <w:sz w:val="20"/>
                <w:szCs w:val="20"/>
              </w:rPr>
              <w:t> </w:t>
            </w:r>
          </w:p>
        </w:tc>
        <w:tc>
          <w:tcPr>
            <w:tcW w:w="92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rPr>
                <w:rFonts w:ascii="Arial Narrow" w:hAnsi="Arial Narrow"/>
                <w:sz w:val="20"/>
                <w:szCs w:val="20"/>
              </w:rPr>
            </w:pPr>
            <w:r w:rsidRPr="00ED3C71">
              <w:rPr>
                <w:rFonts w:ascii="Arial Narrow" w:hAnsi="Arial Narrow"/>
                <w:sz w:val="20"/>
                <w:szCs w:val="20"/>
              </w:rPr>
              <w:t>Недостаточная подготовка сотрудников, %</w:t>
            </w:r>
          </w:p>
        </w:tc>
        <w:tc>
          <w:tcPr>
            <w:tcW w:w="2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3,5%</w:t>
            </w:r>
          </w:p>
        </w:tc>
        <w:tc>
          <w:tcPr>
            <w:tcW w:w="28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84"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7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4,0%</w:t>
            </w:r>
          </w:p>
        </w:tc>
        <w:tc>
          <w:tcPr>
            <w:tcW w:w="227" w:type="pct"/>
            <w:gridSpan w:val="3"/>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1,4%</w:t>
            </w:r>
          </w:p>
        </w:tc>
        <w:tc>
          <w:tcPr>
            <w:tcW w:w="35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4,0%</w:t>
            </w:r>
          </w:p>
        </w:tc>
        <w:tc>
          <w:tcPr>
            <w:tcW w:w="28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4,0%</w:t>
            </w:r>
          </w:p>
        </w:tc>
        <w:tc>
          <w:tcPr>
            <w:tcW w:w="21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2,9%</w:t>
            </w:r>
          </w:p>
        </w:tc>
        <w:tc>
          <w:tcPr>
            <w:tcW w:w="21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0,6%</w:t>
            </w:r>
          </w:p>
        </w:tc>
        <w:tc>
          <w:tcPr>
            <w:tcW w:w="28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8,3%</w:t>
            </w:r>
          </w:p>
        </w:tc>
        <w:tc>
          <w:tcPr>
            <w:tcW w:w="28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1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4,0%</w:t>
            </w:r>
          </w:p>
        </w:tc>
        <w:tc>
          <w:tcPr>
            <w:tcW w:w="21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5,0%</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r>
      <w:tr w:rsidR="00F74159" w:rsidRPr="00737E0A" w:rsidTr="00130274">
        <w:trPr>
          <w:cantSplit/>
          <w:trHeight w:val="20"/>
        </w:trPr>
        <w:tc>
          <w:tcPr>
            <w:tcW w:w="307" w:type="pct"/>
            <w:tcBorders>
              <w:top w:val="single" w:sz="4" w:space="0" w:color="auto"/>
              <w:left w:val="single" w:sz="4" w:space="0" w:color="auto"/>
              <w:bottom w:val="single" w:sz="4" w:space="0" w:color="auto"/>
              <w:right w:val="single" w:sz="4" w:space="0" w:color="auto"/>
            </w:tcBorders>
            <w:noWrap/>
            <w:vAlign w:val="bottom"/>
            <w:hideMark/>
          </w:tcPr>
          <w:p w:rsidR="00A64028" w:rsidRPr="00737E0A" w:rsidRDefault="00A64028" w:rsidP="00103148">
            <w:pPr>
              <w:spacing w:after="0"/>
              <w:ind w:left="-57" w:right="-57"/>
              <w:rPr>
                <w:rFonts w:ascii="Calibri" w:hAnsi="Calibri"/>
                <w:sz w:val="20"/>
                <w:szCs w:val="20"/>
              </w:rPr>
            </w:pPr>
            <w:r w:rsidRPr="00737E0A">
              <w:rPr>
                <w:rFonts w:ascii="Calibri" w:hAnsi="Calibri"/>
                <w:sz w:val="20"/>
                <w:szCs w:val="20"/>
              </w:rPr>
              <w:t> </w:t>
            </w:r>
          </w:p>
        </w:tc>
        <w:tc>
          <w:tcPr>
            <w:tcW w:w="92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rPr>
                <w:rFonts w:ascii="Arial Narrow" w:hAnsi="Arial Narrow"/>
                <w:sz w:val="20"/>
                <w:szCs w:val="20"/>
              </w:rPr>
            </w:pPr>
            <w:r w:rsidRPr="00ED3C71">
              <w:rPr>
                <w:rFonts w:ascii="Arial Narrow" w:hAnsi="Arial Narrow"/>
                <w:sz w:val="20"/>
                <w:szCs w:val="20"/>
              </w:rPr>
              <w:t>Политическая нестабильность, %</w:t>
            </w:r>
          </w:p>
        </w:tc>
        <w:tc>
          <w:tcPr>
            <w:tcW w:w="2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2,6%</w:t>
            </w:r>
          </w:p>
        </w:tc>
        <w:tc>
          <w:tcPr>
            <w:tcW w:w="28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84"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7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4,0%</w:t>
            </w:r>
          </w:p>
        </w:tc>
        <w:tc>
          <w:tcPr>
            <w:tcW w:w="227" w:type="pct"/>
            <w:gridSpan w:val="3"/>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1,4%</w:t>
            </w:r>
          </w:p>
        </w:tc>
        <w:tc>
          <w:tcPr>
            <w:tcW w:w="35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8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1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1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3,3%</w:t>
            </w:r>
          </w:p>
        </w:tc>
        <w:tc>
          <w:tcPr>
            <w:tcW w:w="28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8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1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1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10,0%</w:t>
            </w:r>
          </w:p>
        </w:tc>
      </w:tr>
      <w:tr w:rsidR="00F74159" w:rsidRPr="00737E0A" w:rsidTr="00130274">
        <w:trPr>
          <w:cantSplit/>
          <w:trHeight w:val="20"/>
        </w:trPr>
        <w:tc>
          <w:tcPr>
            <w:tcW w:w="307" w:type="pct"/>
            <w:tcBorders>
              <w:top w:val="single" w:sz="4" w:space="0" w:color="auto"/>
              <w:left w:val="single" w:sz="4" w:space="0" w:color="auto"/>
              <w:bottom w:val="single" w:sz="4" w:space="0" w:color="auto"/>
              <w:right w:val="single" w:sz="4" w:space="0" w:color="auto"/>
            </w:tcBorders>
            <w:noWrap/>
            <w:vAlign w:val="bottom"/>
          </w:tcPr>
          <w:p w:rsidR="00A64028" w:rsidRPr="00737E0A" w:rsidRDefault="00A64028" w:rsidP="00103148">
            <w:pPr>
              <w:spacing w:after="0"/>
              <w:ind w:left="-57" w:right="-57"/>
              <w:rPr>
                <w:rFonts w:ascii="Calibri" w:hAnsi="Calibri"/>
                <w:sz w:val="20"/>
                <w:szCs w:val="20"/>
              </w:rPr>
            </w:pPr>
          </w:p>
        </w:tc>
        <w:tc>
          <w:tcPr>
            <w:tcW w:w="923"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rPr>
                <w:rFonts w:ascii="Arial Narrow" w:hAnsi="Arial Narrow"/>
                <w:sz w:val="20"/>
                <w:szCs w:val="20"/>
              </w:rPr>
            </w:pPr>
            <w:r w:rsidRPr="00ED3C71">
              <w:rPr>
                <w:rFonts w:ascii="Arial Narrow" w:hAnsi="Arial Narrow"/>
                <w:sz w:val="20"/>
                <w:szCs w:val="20"/>
              </w:rPr>
              <w:t>Сложность/затянутость процедуры получения лицензий, %</w:t>
            </w:r>
          </w:p>
        </w:tc>
        <w:tc>
          <w:tcPr>
            <w:tcW w:w="270"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2,3%</w:t>
            </w:r>
          </w:p>
        </w:tc>
        <w:tc>
          <w:tcPr>
            <w:tcW w:w="283"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20,0%</w:t>
            </w:r>
          </w:p>
        </w:tc>
        <w:tc>
          <w:tcPr>
            <w:tcW w:w="284"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71"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4,0%</w:t>
            </w:r>
          </w:p>
        </w:tc>
        <w:tc>
          <w:tcPr>
            <w:tcW w:w="227"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7,1%</w:t>
            </w:r>
          </w:p>
        </w:tc>
        <w:tc>
          <w:tcPr>
            <w:tcW w:w="353"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8,0%</w:t>
            </w:r>
          </w:p>
        </w:tc>
        <w:tc>
          <w:tcPr>
            <w:tcW w:w="285"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4,0%</w:t>
            </w:r>
          </w:p>
        </w:tc>
        <w:tc>
          <w:tcPr>
            <w:tcW w:w="214"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15"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86"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84"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8,0%</w:t>
            </w:r>
          </w:p>
        </w:tc>
        <w:tc>
          <w:tcPr>
            <w:tcW w:w="214"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4,0%</w:t>
            </w:r>
          </w:p>
        </w:tc>
        <w:tc>
          <w:tcPr>
            <w:tcW w:w="214"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3,0%</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r>
      <w:tr w:rsidR="00F74159" w:rsidRPr="00737E0A" w:rsidTr="00130274">
        <w:trPr>
          <w:cantSplit/>
          <w:trHeight w:val="20"/>
        </w:trPr>
        <w:tc>
          <w:tcPr>
            <w:tcW w:w="307" w:type="pct"/>
            <w:tcBorders>
              <w:top w:val="single" w:sz="4" w:space="0" w:color="auto"/>
              <w:left w:val="single" w:sz="4" w:space="0" w:color="auto"/>
              <w:bottom w:val="single" w:sz="4" w:space="0" w:color="auto"/>
              <w:right w:val="single" w:sz="4" w:space="0" w:color="auto"/>
            </w:tcBorders>
            <w:noWrap/>
            <w:vAlign w:val="bottom"/>
          </w:tcPr>
          <w:p w:rsidR="00A64028" w:rsidRPr="00737E0A" w:rsidRDefault="00A64028" w:rsidP="00103148">
            <w:pPr>
              <w:spacing w:after="0"/>
              <w:ind w:left="-57" w:right="-57"/>
              <w:rPr>
                <w:rFonts w:ascii="Calibri" w:hAnsi="Calibri"/>
                <w:sz w:val="20"/>
                <w:szCs w:val="20"/>
              </w:rPr>
            </w:pPr>
          </w:p>
        </w:tc>
        <w:tc>
          <w:tcPr>
            <w:tcW w:w="923"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rPr>
                <w:rFonts w:ascii="Arial Narrow" w:hAnsi="Arial Narrow"/>
                <w:sz w:val="20"/>
                <w:szCs w:val="20"/>
              </w:rPr>
            </w:pPr>
            <w:r w:rsidRPr="00ED3C71">
              <w:rPr>
                <w:rFonts w:ascii="Arial Narrow" w:hAnsi="Arial Narrow"/>
                <w:sz w:val="20"/>
                <w:szCs w:val="20"/>
              </w:rPr>
              <w:t>Преступность, %</w:t>
            </w:r>
          </w:p>
        </w:tc>
        <w:tc>
          <w:tcPr>
            <w:tcW w:w="270"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83"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84"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71"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27"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353"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85"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14"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15"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86"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84"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14"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14"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r>
      <w:tr w:rsidR="00F74159" w:rsidRPr="00737E0A" w:rsidTr="00130274">
        <w:trPr>
          <w:cantSplit/>
          <w:trHeight w:val="20"/>
        </w:trPr>
        <w:tc>
          <w:tcPr>
            <w:tcW w:w="307" w:type="pct"/>
            <w:tcBorders>
              <w:top w:val="single" w:sz="4" w:space="0" w:color="auto"/>
              <w:left w:val="single" w:sz="4" w:space="0" w:color="auto"/>
              <w:bottom w:val="single" w:sz="4" w:space="0" w:color="auto"/>
              <w:right w:val="single" w:sz="4" w:space="0" w:color="auto"/>
            </w:tcBorders>
            <w:noWrap/>
            <w:vAlign w:val="bottom"/>
          </w:tcPr>
          <w:p w:rsidR="00A64028" w:rsidRPr="00737E0A" w:rsidRDefault="00A64028" w:rsidP="00103148">
            <w:pPr>
              <w:spacing w:after="0"/>
              <w:ind w:left="-57" w:right="-57"/>
              <w:rPr>
                <w:rFonts w:ascii="Calibri" w:hAnsi="Calibri"/>
                <w:sz w:val="20"/>
                <w:szCs w:val="20"/>
              </w:rPr>
            </w:pPr>
          </w:p>
        </w:tc>
        <w:tc>
          <w:tcPr>
            <w:tcW w:w="923"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rPr>
                <w:rFonts w:ascii="Arial Narrow" w:hAnsi="Arial Narrow"/>
                <w:sz w:val="20"/>
                <w:szCs w:val="20"/>
              </w:rPr>
            </w:pPr>
            <w:r w:rsidRPr="00ED3C71">
              <w:rPr>
                <w:rFonts w:ascii="Arial Narrow" w:hAnsi="Arial Narrow"/>
                <w:sz w:val="20"/>
                <w:szCs w:val="20"/>
              </w:rPr>
              <w:t>Высокие налоги, %</w:t>
            </w:r>
          </w:p>
        </w:tc>
        <w:tc>
          <w:tcPr>
            <w:tcW w:w="270"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13,1%</w:t>
            </w:r>
          </w:p>
        </w:tc>
        <w:tc>
          <w:tcPr>
            <w:tcW w:w="283"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10,0%</w:t>
            </w:r>
          </w:p>
        </w:tc>
        <w:tc>
          <w:tcPr>
            <w:tcW w:w="284"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20,0%</w:t>
            </w:r>
          </w:p>
        </w:tc>
        <w:tc>
          <w:tcPr>
            <w:tcW w:w="271"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27"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10,0%</w:t>
            </w:r>
          </w:p>
        </w:tc>
        <w:tc>
          <w:tcPr>
            <w:tcW w:w="353"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8,0%</w:t>
            </w:r>
          </w:p>
        </w:tc>
        <w:tc>
          <w:tcPr>
            <w:tcW w:w="285"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20,0%</w:t>
            </w:r>
          </w:p>
        </w:tc>
        <w:tc>
          <w:tcPr>
            <w:tcW w:w="214"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7,1%</w:t>
            </w:r>
          </w:p>
        </w:tc>
        <w:tc>
          <w:tcPr>
            <w:tcW w:w="215"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12,8%</w:t>
            </w:r>
          </w:p>
        </w:tc>
        <w:tc>
          <w:tcPr>
            <w:tcW w:w="286"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15,0%</w:t>
            </w:r>
          </w:p>
        </w:tc>
        <w:tc>
          <w:tcPr>
            <w:tcW w:w="284"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40,0%</w:t>
            </w:r>
          </w:p>
        </w:tc>
        <w:tc>
          <w:tcPr>
            <w:tcW w:w="214"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12,0%</w:t>
            </w:r>
          </w:p>
        </w:tc>
        <w:tc>
          <w:tcPr>
            <w:tcW w:w="214"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17,0%</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10,0%</w:t>
            </w:r>
          </w:p>
        </w:tc>
      </w:tr>
      <w:tr w:rsidR="00F74159" w:rsidRPr="00737E0A" w:rsidTr="00130274">
        <w:trPr>
          <w:cantSplit/>
          <w:trHeight w:val="20"/>
        </w:trPr>
        <w:tc>
          <w:tcPr>
            <w:tcW w:w="307" w:type="pct"/>
            <w:tcBorders>
              <w:top w:val="single" w:sz="4" w:space="0" w:color="auto"/>
              <w:left w:val="single" w:sz="4" w:space="0" w:color="auto"/>
              <w:bottom w:val="single" w:sz="4" w:space="0" w:color="auto"/>
              <w:right w:val="single" w:sz="4" w:space="0" w:color="auto"/>
            </w:tcBorders>
            <w:noWrap/>
            <w:vAlign w:val="bottom"/>
          </w:tcPr>
          <w:p w:rsidR="00A64028" w:rsidRPr="00737E0A" w:rsidRDefault="00A64028" w:rsidP="00103148">
            <w:pPr>
              <w:spacing w:after="0"/>
              <w:ind w:left="-57" w:right="-57"/>
              <w:rPr>
                <w:rFonts w:ascii="Calibri" w:hAnsi="Calibri"/>
                <w:sz w:val="20"/>
                <w:szCs w:val="20"/>
              </w:rPr>
            </w:pPr>
          </w:p>
        </w:tc>
        <w:tc>
          <w:tcPr>
            <w:tcW w:w="923"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rPr>
                <w:rFonts w:ascii="Arial Narrow" w:hAnsi="Arial Narrow"/>
                <w:sz w:val="20"/>
                <w:szCs w:val="20"/>
              </w:rPr>
            </w:pPr>
            <w:r w:rsidRPr="00ED3C71">
              <w:rPr>
                <w:rFonts w:ascii="Arial Narrow" w:hAnsi="Arial Narrow"/>
                <w:sz w:val="20"/>
                <w:szCs w:val="20"/>
              </w:rPr>
              <w:t>Судебная система, %</w:t>
            </w:r>
          </w:p>
        </w:tc>
        <w:tc>
          <w:tcPr>
            <w:tcW w:w="270"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0,5%</w:t>
            </w:r>
          </w:p>
        </w:tc>
        <w:tc>
          <w:tcPr>
            <w:tcW w:w="283"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84"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71"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27"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2,9%</w:t>
            </w:r>
          </w:p>
        </w:tc>
        <w:tc>
          <w:tcPr>
            <w:tcW w:w="353"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85"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14"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15"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1,7%</w:t>
            </w:r>
          </w:p>
        </w:tc>
        <w:tc>
          <w:tcPr>
            <w:tcW w:w="286"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84"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14"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14"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1,0%</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r>
      <w:tr w:rsidR="00F74159" w:rsidRPr="00737E0A" w:rsidTr="00130274">
        <w:trPr>
          <w:cantSplit/>
          <w:trHeight w:val="20"/>
        </w:trPr>
        <w:tc>
          <w:tcPr>
            <w:tcW w:w="307" w:type="pct"/>
            <w:tcBorders>
              <w:top w:val="single" w:sz="4" w:space="0" w:color="auto"/>
              <w:left w:val="single" w:sz="4" w:space="0" w:color="auto"/>
              <w:bottom w:val="single" w:sz="4" w:space="0" w:color="auto"/>
              <w:right w:val="single" w:sz="4" w:space="0" w:color="auto"/>
            </w:tcBorders>
            <w:noWrap/>
            <w:vAlign w:val="bottom"/>
          </w:tcPr>
          <w:p w:rsidR="00A64028" w:rsidRPr="00737E0A" w:rsidRDefault="00A64028" w:rsidP="00103148">
            <w:pPr>
              <w:spacing w:after="0"/>
              <w:ind w:left="-57" w:right="-57"/>
              <w:rPr>
                <w:rFonts w:ascii="Calibri" w:hAnsi="Calibri"/>
                <w:sz w:val="20"/>
                <w:szCs w:val="20"/>
              </w:rPr>
            </w:pPr>
          </w:p>
        </w:tc>
        <w:tc>
          <w:tcPr>
            <w:tcW w:w="923"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rPr>
                <w:rFonts w:ascii="Arial Narrow" w:hAnsi="Arial Narrow"/>
                <w:sz w:val="20"/>
                <w:szCs w:val="20"/>
              </w:rPr>
            </w:pPr>
            <w:r w:rsidRPr="00ED3C71">
              <w:rPr>
                <w:rFonts w:ascii="Arial Narrow" w:hAnsi="Arial Narrow"/>
                <w:sz w:val="20"/>
                <w:szCs w:val="20"/>
              </w:rPr>
              <w:t>Таможенные правила, %</w:t>
            </w:r>
          </w:p>
        </w:tc>
        <w:tc>
          <w:tcPr>
            <w:tcW w:w="270"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0,3%</w:t>
            </w:r>
          </w:p>
        </w:tc>
        <w:tc>
          <w:tcPr>
            <w:tcW w:w="283"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84"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77"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21"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353"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85"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4,0%</w:t>
            </w:r>
          </w:p>
        </w:tc>
        <w:tc>
          <w:tcPr>
            <w:tcW w:w="214"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15"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0,6%</w:t>
            </w:r>
          </w:p>
        </w:tc>
        <w:tc>
          <w:tcPr>
            <w:tcW w:w="286"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84"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14"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14"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2,0%</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r>
      <w:tr w:rsidR="00F74159" w:rsidRPr="00737E0A" w:rsidTr="00130274">
        <w:trPr>
          <w:cantSplit/>
          <w:trHeight w:val="20"/>
        </w:trPr>
        <w:tc>
          <w:tcPr>
            <w:tcW w:w="307" w:type="pct"/>
            <w:tcBorders>
              <w:top w:val="single" w:sz="4" w:space="0" w:color="auto"/>
              <w:left w:val="single" w:sz="4" w:space="0" w:color="auto"/>
              <w:bottom w:val="single" w:sz="4" w:space="0" w:color="auto"/>
              <w:right w:val="single" w:sz="4" w:space="0" w:color="auto"/>
            </w:tcBorders>
            <w:noWrap/>
            <w:vAlign w:val="bottom"/>
          </w:tcPr>
          <w:p w:rsidR="00A64028" w:rsidRPr="00737E0A" w:rsidRDefault="00A64028" w:rsidP="00103148">
            <w:pPr>
              <w:spacing w:after="0"/>
              <w:ind w:left="-57" w:right="-57"/>
              <w:rPr>
                <w:rFonts w:ascii="Calibri" w:hAnsi="Calibri"/>
                <w:sz w:val="20"/>
                <w:szCs w:val="20"/>
              </w:rPr>
            </w:pPr>
          </w:p>
        </w:tc>
        <w:tc>
          <w:tcPr>
            <w:tcW w:w="923"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rPr>
                <w:rFonts w:ascii="Arial Narrow" w:hAnsi="Arial Narrow"/>
                <w:sz w:val="20"/>
                <w:szCs w:val="20"/>
              </w:rPr>
            </w:pPr>
            <w:r w:rsidRPr="00ED3C71">
              <w:rPr>
                <w:rFonts w:ascii="Arial Narrow" w:hAnsi="Arial Narrow"/>
                <w:sz w:val="20"/>
                <w:szCs w:val="20"/>
              </w:rPr>
              <w:t>Транспорт, %</w:t>
            </w:r>
          </w:p>
        </w:tc>
        <w:tc>
          <w:tcPr>
            <w:tcW w:w="270"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0,6%</w:t>
            </w:r>
          </w:p>
        </w:tc>
        <w:tc>
          <w:tcPr>
            <w:tcW w:w="283"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84"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77"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21"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1,4%</w:t>
            </w:r>
          </w:p>
        </w:tc>
        <w:tc>
          <w:tcPr>
            <w:tcW w:w="353"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85"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4,0%</w:t>
            </w:r>
          </w:p>
        </w:tc>
        <w:tc>
          <w:tcPr>
            <w:tcW w:w="214"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15"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86"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3,3%</w:t>
            </w:r>
          </w:p>
        </w:tc>
        <w:tc>
          <w:tcPr>
            <w:tcW w:w="284"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14"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14"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1,0%</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r>
      <w:tr w:rsidR="00F74159" w:rsidRPr="00737E0A" w:rsidTr="00130274">
        <w:trPr>
          <w:cantSplit/>
          <w:trHeight w:val="20"/>
        </w:trPr>
        <w:tc>
          <w:tcPr>
            <w:tcW w:w="307" w:type="pct"/>
            <w:tcBorders>
              <w:top w:val="single" w:sz="4" w:space="0" w:color="auto"/>
              <w:left w:val="single" w:sz="4" w:space="0" w:color="auto"/>
              <w:bottom w:val="single" w:sz="4" w:space="0" w:color="auto"/>
              <w:right w:val="single" w:sz="4" w:space="0" w:color="auto"/>
            </w:tcBorders>
            <w:noWrap/>
            <w:vAlign w:val="bottom"/>
          </w:tcPr>
          <w:p w:rsidR="00A64028" w:rsidRPr="00737E0A" w:rsidRDefault="00A64028" w:rsidP="00103148">
            <w:pPr>
              <w:spacing w:after="0"/>
              <w:ind w:left="-57" w:right="-57"/>
              <w:rPr>
                <w:rFonts w:ascii="Calibri" w:hAnsi="Calibri"/>
                <w:sz w:val="20"/>
                <w:szCs w:val="20"/>
              </w:rPr>
            </w:pPr>
          </w:p>
        </w:tc>
        <w:tc>
          <w:tcPr>
            <w:tcW w:w="923"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rPr>
                <w:rFonts w:ascii="Arial Narrow" w:hAnsi="Arial Narrow"/>
                <w:sz w:val="20"/>
                <w:szCs w:val="20"/>
              </w:rPr>
            </w:pPr>
            <w:r w:rsidRPr="00ED3C71">
              <w:rPr>
                <w:rFonts w:ascii="Arial Narrow" w:hAnsi="Arial Narrow"/>
                <w:sz w:val="20"/>
                <w:szCs w:val="20"/>
              </w:rPr>
              <w:t>Не сталкивается с препятствиями, %</w:t>
            </w:r>
          </w:p>
        </w:tc>
        <w:tc>
          <w:tcPr>
            <w:tcW w:w="270"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8,0%</w:t>
            </w:r>
          </w:p>
        </w:tc>
        <w:tc>
          <w:tcPr>
            <w:tcW w:w="283"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20,0%</w:t>
            </w:r>
          </w:p>
        </w:tc>
        <w:tc>
          <w:tcPr>
            <w:tcW w:w="284"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77"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12,0%</w:t>
            </w:r>
          </w:p>
        </w:tc>
        <w:tc>
          <w:tcPr>
            <w:tcW w:w="221"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10,0%</w:t>
            </w:r>
          </w:p>
        </w:tc>
        <w:tc>
          <w:tcPr>
            <w:tcW w:w="353"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20,0%</w:t>
            </w:r>
          </w:p>
        </w:tc>
        <w:tc>
          <w:tcPr>
            <w:tcW w:w="285"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4,0%</w:t>
            </w:r>
          </w:p>
        </w:tc>
        <w:tc>
          <w:tcPr>
            <w:tcW w:w="214"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17,1%</w:t>
            </w:r>
          </w:p>
        </w:tc>
        <w:tc>
          <w:tcPr>
            <w:tcW w:w="215"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9,4%</w:t>
            </w:r>
          </w:p>
        </w:tc>
        <w:tc>
          <w:tcPr>
            <w:tcW w:w="286"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1,7%</w:t>
            </w:r>
          </w:p>
        </w:tc>
        <w:tc>
          <w:tcPr>
            <w:tcW w:w="284"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4,0%</w:t>
            </w:r>
          </w:p>
        </w:tc>
        <w:tc>
          <w:tcPr>
            <w:tcW w:w="214"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16,0%</w:t>
            </w:r>
          </w:p>
        </w:tc>
        <w:tc>
          <w:tcPr>
            <w:tcW w:w="214"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7,0%</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20,0%</w:t>
            </w:r>
          </w:p>
        </w:tc>
      </w:tr>
      <w:tr w:rsidR="00F74159" w:rsidRPr="00737E0A" w:rsidTr="00130274">
        <w:trPr>
          <w:cantSplit/>
          <w:trHeight w:val="20"/>
        </w:trPr>
        <w:tc>
          <w:tcPr>
            <w:tcW w:w="307" w:type="pct"/>
            <w:tcBorders>
              <w:top w:val="single" w:sz="4" w:space="0" w:color="auto"/>
              <w:left w:val="single" w:sz="4" w:space="0" w:color="auto"/>
              <w:bottom w:val="single" w:sz="4" w:space="0" w:color="auto"/>
              <w:right w:val="single" w:sz="4" w:space="0" w:color="auto"/>
            </w:tcBorders>
            <w:noWrap/>
            <w:vAlign w:val="bottom"/>
          </w:tcPr>
          <w:p w:rsidR="00A64028" w:rsidRPr="00737E0A" w:rsidRDefault="00A64028" w:rsidP="00103148">
            <w:pPr>
              <w:spacing w:after="0"/>
              <w:ind w:left="-57" w:right="-57"/>
              <w:rPr>
                <w:rFonts w:ascii="Calibri" w:hAnsi="Calibri"/>
                <w:sz w:val="20"/>
                <w:szCs w:val="20"/>
              </w:rPr>
            </w:pPr>
          </w:p>
        </w:tc>
        <w:tc>
          <w:tcPr>
            <w:tcW w:w="923"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rPr>
                <w:rFonts w:ascii="Arial Narrow" w:hAnsi="Arial Narrow"/>
                <w:sz w:val="20"/>
                <w:szCs w:val="20"/>
              </w:rPr>
            </w:pPr>
            <w:r w:rsidRPr="00ED3C71">
              <w:rPr>
                <w:rFonts w:ascii="Arial Narrow" w:hAnsi="Arial Narrow"/>
                <w:sz w:val="20"/>
                <w:szCs w:val="20"/>
              </w:rPr>
              <w:t>Другое, %</w:t>
            </w:r>
          </w:p>
        </w:tc>
        <w:tc>
          <w:tcPr>
            <w:tcW w:w="270"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1,6%</w:t>
            </w:r>
          </w:p>
        </w:tc>
        <w:tc>
          <w:tcPr>
            <w:tcW w:w="283"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84"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77"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4,0%</w:t>
            </w:r>
          </w:p>
        </w:tc>
        <w:tc>
          <w:tcPr>
            <w:tcW w:w="221"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2,9%</w:t>
            </w:r>
          </w:p>
        </w:tc>
        <w:tc>
          <w:tcPr>
            <w:tcW w:w="353"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12,0%</w:t>
            </w:r>
          </w:p>
        </w:tc>
        <w:tc>
          <w:tcPr>
            <w:tcW w:w="285"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14"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2,9%</w:t>
            </w:r>
          </w:p>
        </w:tc>
        <w:tc>
          <w:tcPr>
            <w:tcW w:w="215"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1,1%</w:t>
            </w:r>
          </w:p>
        </w:tc>
        <w:tc>
          <w:tcPr>
            <w:tcW w:w="286"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1,7%</w:t>
            </w:r>
          </w:p>
        </w:tc>
        <w:tc>
          <w:tcPr>
            <w:tcW w:w="284"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c>
          <w:tcPr>
            <w:tcW w:w="214"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8,0%</w:t>
            </w:r>
          </w:p>
        </w:tc>
        <w:tc>
          <w:tcPr>
            <w:tcW w:w="214"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5,0%</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tcPr>
          <w:p w:rsidR="00A64028" w:rsidRPr="00ED3C71" w:rsidRDefault="00A64028" w:rsidP="00103148">
            <w:pPr>
              <w:spacing w:after="0"/>
              <w:ind w:left="-78" w:right="-134"/>
              <w:jc w:val="center"/>
              <w:rPr>
                <w:rFonts w:ascii="Arial Narrow" w:hAnsi="Arial Narrow"/>
                <w:sz w:val="18"/>
                <w:szCs w:val="18"/>
              </w:rPr>
            </w:pPr>
            <w:r w:rsidRPr="00ED3C71">
              <w:rPr>
                <w:rFonts w:ascii="Arial Narrow" w:hAnsi="Arial Narrow"/>
                <w:sz w:val="18"/>
                <w:szCs w:val="18"/>
              </w:rPr>
              <w:t>0,0%</w:t>
            </w:r>
          </w:p>
        </w:tc>
      </w:tr>
    </w:tbl>
    <w:p w:rsidR="00737E0A" w:rsidRDefault="00737E0A" w:rsidP="00BF6DC4">
      <w:pPr>
        <w:spacing w:after="0" w:line="360" w:lineRule="auto"/>
        <w:ind w:firstLine="284"/>
        <w:jc w:val="both"/>
        <w:rPr>
          <w:rFonts w:ascii="Arial Narrow" w:hAnsi="Arial Narrow"/>
          <w:b/>
          <w:sz w:val="24"/>
        </w:rPr>
      </w:pPr>
    </w:p>
    <w:p w:rsidR="00ED3C71" w:rsidRDefault="00ED3C71" w:rsidP="00BF6DC4">
      <w:pPr>
        <w:spacing w:after="0" w:line="360" w:lineRule="auto"/>
        <w:ind w:firstLine="284"/>
        <w:jc w:val="both"/>
        <w:rPr>
          <w:rFonts w:ascii="Arial Narrow" w:hAnsi="Arial Narrow"/>
          <w:b/>
          <w:sz w:val="24"/>
        </w:rPr>
      </w:pPr>
    </w:p>
    <w:p w:rsidR="00A64028" w:rsidRPr="00D50BF0" w:rsidRDefault="00A64028" w:rsidP="00BF6DC4">
      <w:pPr>
        <w:spacing w:after="0" w:line="360" w:lineRule="auto"/>
        <w:ind w:firstLine="284"/>
        <w:jc w:val="both"/>
        <w:rPr>
          <w:rFonts w:ascii="Arial Narrow" w:hAnsi="Arial Narrow"/>
          <w:b/>
          <w:sz w:val="24"/>
        </w:rPr>
      </w:pPr>
      <w:r w:rsidRPr="00D50BF0">
        <w:rPr>
          <w:rFonts w:ascii="Arial Narrow" w:hAnsi="Arial Narrow"/>
          <w:b/>
          <w:sz w:val="24"/>
        </w:rPr>
        <w:lastRenderedPageBreak/>
        <w:t>Значение показателя 1.1.8.</w:t>
      </w:r>
      <w:r>
        <w:rPr>
          <w:rFonts w:ascii="Arial Narrow" w:hAnsi="Arial Narrow"/>
          <w:b/>
          <w:sz w:val="24"/>
        </w:rPr>
        <w:t xml:space="preserve"> </w:t>
      </w:r>
      <w:r w:rsidRPr="00D50BF0">
        <w:rPr>
          <w:rFonts w:ascii="Arial Narrow" w:hAnsi="Arial Narrow"/>
          <w:b/>
          <w:sz w:val="24"/>
        </w:rPr>
        <w:t>Доля респондентов, считающих, что уровень безопасности ведения бизнеса на их рынке повысился (% от числа опрошенных).</w:t>
      </w:r>
    </w:p>
    <w:p w:rsidR="00A64028" w:rsidRDefault="00A64028" w:rsidP="00BF6DC4">
      <w:pPr>
        <w:spacing w:after="0" w:line="360" w:lineRule="auto"/>
        <w:ind w:firstLine="284"/>
        <w:jc w:val="both"/>
        <w:rPr>
          <w:rFonts w:ascii="Arial Narrow" w:eastAsia="Calibri" w:hAnsi="Arial Narrow"/>
          <w:sz w:val="24"/>
          <w:szCs w:val="24"/>
        </w:rPr>
      </w:pPr>
      <w:r>
        <w:rPr>
          <w:rFonts w:ascii="Arial Narrow" w:hAnsi="Arial Narrow"/>
          <w:sz w:val="24"/>
          <w:szCs w:val="24"/>
        </w:rPr>
        <w:t xml:space="preserve">Повышение уровня безопасности ведения бизнеса за 2016 г. по сравнению с 2015 г. отметили 29,7 % </w:t>
      </w:r>
      <w:r w:rsidRPr="005A1E98">
        <w:rPr>
          <w:rFonts w:ascii="Arial Narrow" w:hAnsi="Arial Narrow"/>
          <w:sz w:val="24"/>
          <w:szCs w:val="24"/>
        </w:rPr>
        <w:t>пре</w:t>
      </w:r>
      <w:r>
        <w:rPr>
          <w:rFonts w:ascii="Arial Narrow" w:hAnsi="Arial Narrow"/>
          <w:sz w:val="24"/>
          <w:szCs w:val="24"/>
        </w:rPr>
        <w:t xml:space="preserve">дставителей субъектов предпринимательства. Наибольшая доля отметивших повышение безопасности </w:t>
      </w:r>
      <w:r w:rsidRPr="0087514A">
        <w:rPr>
          <w:rFonts w:ascii="Arial Narrow" w:hAnsi="Arial Narrow"/>
          <w:sz w:val="24"/>
          <w:szCs w:val="24"/>
        </w:rPr>
        <w:t>зафиксирована на рынк</w:t>
      </w:r>
      <w:r>
        <w:rPr>
          <w:rFonts w:ascii="Arial Narrow" w:hAnsi="Arial Narrow"/>
          <w:sz w:val="24"/>
          <w:szCs w:val="24"/>
        </w:rPr>
        <w:t xml:space="preserve">е </w:t>
      </w:r>
      <w:r w:rsidRPr="0087514A">
        <w:rPr>
          <w:rFonts w:ascii="Arial Narrow" w:hAnsi="Arial Narrow"/>
          <w:sz w:val="24"/>
          <w:szCs w:val="24"/>
        </w:rPr>
        <w:t xml:space="preserve">услуг по сбору, сортировке и переработке твердых коммунальных (бытовых) отходов </w:t>
      </w:r>
      <w:r>
        <w:rPr>
          <w:rFonts w:ascii="Arial Narrow" w:hAnsi="Arial Narrow"/>
          <w:sz w:val="24"/>
          <w:szCs w:val="24"/>
        </w:rPr>
        <w:t>(40 %), наименьшая – на рынке услуг связи (16 %). На остальных рынках доля отметивших повышение уровня безопасности варьируется от 20 % до 35 %.</w:t>
      </w:r>
    </w:p>
    <w:p w:rsidR="00BF6DC4" w:rsidRDefault="00BF6DC4" w:rsidP="00262F71">
      <w:pPr>
        <w:spacing w:after="0"/>
        <w:jc w:val="both"/>
        <w:rPr>
          <w:rFonts w:ascii="Arial Narrow" w:eastAsia="Calibri" w:hAnsi="Arial Narrow"/>
          <w:sz w:val="24"/>
          <w:szCs w:val="24"/>
        </w:rPr>
      </w:pPr>
    </w:p>
    <w:p w:rsidR="00A64028" w:rsidRDefault="00A64028" w:rsidP="00BF6DC4">
      <w:pPr>
        <w:spacing w:after="0"/>
        <w:rPr>
          <w:rFonts w:ascii="Arial Narrow" w:hAnsi="Arial Narrow"/>
          <w:b/>
          <w:sz w:val="24"/>
        </w:rPr>
      </w:pPr>
      <w:r>
        <w:rPr>
          <w:rFonts w:ascii="Arial Narrow" w:eastAsia="Calibri" w:hAnsi="Arial Narrow"/>
          <w:sz w:val="24"/>
          <w:szCs w:val="24"/>
        </w:rPr>
        <w:t xml:space="preserve">Таблица </w:t>
      </w:r>
      <w:r w:rsidR="00262F71">
        <w:rPr>
          <w:rFonts w:ascii="Arial Narrow" w:eastAsia="Calibri" w:hAnsi="Arial Narrow"/>
          <w:sz w:val="24"/>
          <w:szCs w:val="24"/>
        </w:rPr>
        <w:t>7.9.</w:t>
      </w:r>
      <w:r>
        <w:rPr>
          <w:rFonts w:ascii="Arial Narrow" w:eastAsia="Calibri" w:hAnsi="Arial Narrow"/>
          <w:sz w:val="24"/>
          <w:szCs w:val="24"/>
        </w:rPr>
        <w:t xml:space="preserve"> – </w:t>
      </w:r>
      <w:r w:rsidRPr="00D50BF0">
        <w:rPr>
          <w:rFonts w:ascii="Arial Narrow" w:hAnsi="Arial Narrow"/>
          <w:b/>
          <w:sz w:val="24"/>
        </w:rPr>
        <w:t>Значение показателя 1.1.8.</w:t>
      </w:r>
      <w:r>
        <w:rPr>
          <w:rFonts w:ascii="Arial Narrow" w:hAnsi="Arial Narrow"/>
          <w:b/>
          <w:sz w:val="24"/>
        </w:rPr>
        <w:t xml:space="preserve"> </w:t>
      </w:r>
      <w:r w:rsidRPr="00D50BF0">
        <w:rPr>
          <w:rFonts w:ascii="Arial Narrow" w:hAnsi="Arial Narrow"/>
          <w:b/>
          <w:sz w:val="24"/>
        </w:rPr>
        <w:t>Доля респондентов, считающих, что уровень безопасности ведения бизнеса на их рынке повысился (% от числа опрошенных)</w:t>
      </w:r>
    </w:p>
    <w:tbl>
      <w:tblPr>
        <w:tblW w:w="507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377"/>
        <w:gridCol w:w="2475"/>
        <w:gridCol w:w="586"/>
        <w:gridCol w:w="473"/>
        <w:gridCol w:w="441"/>
        <w:gridCol w:w="440"/>
        <w:gridCol w:w="440"/>
        <w:gridCol w:w="491"/>
        <w:gridCol w:w="440"/>
        <w:gridCol w:w="440"/>
        <w:gridCol w:w="491"/>
        <w:gridCol w:w="493"/>
        <w:gridCol w:w="442"/>
        <w:gridCol w:w="442"/>
        <w:gridCol w:w="624"/>
        <w:gridCol w:w="691"/>
      </w:tblGrid>
      <w:tr w:rsidR="00A64028" w:rsidTr="001820C5">
        <w:trPr>
          <w:cantSplit/>
          <w:trHeight w:val="4231"/>
        </w:trPr>
        <w:tc>
          <w:tcPr>
            <w:tcW w:w="192" w:type="pct"/>
            <w:tcBorders>
              <w:top w:val="single" w:sz="4" w:space="0" w:color="auto"/>
              <w:left w:val="single" w:sz="4" w:space="0" w:color="auto"/>
              <w:bottom w:val="single" w:sz="4" w:space="0" w:color="auto"/>
              <w:right w:val="single" w:sz="4" w:space="0" w:color="auto"/>
            </w:tcBorders>
            <w:vAlign w:val="center"/>
            <w:hideMark/>
          </w:tcPr>
          <w:p w:rsidR="00A64028" w:rsidRDefault="00A64028" w:rsidP="00103148">
            <w:pPr>
              <w:spacing w:after="0"/>
              <w:jc w:val="center"/>
              <w:rPr>
                <w:rFonts w:ascii="Arial Narrow" w:hAnsi="Arial Narrow" w:cs="Arial"/>
              </w:rPr>
            </w:pPr>
            <w:r>
              <w:rPr>
                <w:rFonts w:ascii="Arial Narrow" w:hAnsi="Arial Narrow" w:cs="Arial"/>
              </w:rPr>
              <w:t>№</w:t>
            </w:r>
          </w:p>
        </w:tc>
        <w:tc>
          <w:tcPr>
            <w:tcW w:w="1263" w:type="pct"/>
            <w:tcBorders>
              <w:top w:val="single" w:sz="4" w:space="0" w:color="auto"/>
              <w:left w:val="single" w:sz="4" w:space="0" w:color="auto"/>
              <w:bottom w:val="single" w:sz="4" w:space="0" w:color="auto"/>
              <w:right w:val="single" w:sz="4" w:space="0" w:color="auto"/>
            </w:tcBorders>
            <w:vAlign w:val="center"/>
            <w:hideMark/>
          </w:tcPr>
          <w:p w:rsidR="00A64028" w:rsidRPr="00737E0A" w:rsidRDefault="00A64028" w:rsidP="00103148">
            <w:pPr>
              <w:spacing w:after="0"/>
              <w:jc w:val="center"/>
              <w:rPr>
                <w:rFonts w:ascii="Arial Narrow" w:hAnsi="Arial Narrow" w:cs="Arial"/>
                <w:sz w:val="18"/>
                <w:szCs w:val="18"/>
              </w:rPr>
            </w:pPr>
            <w:r w:rsidRPr="00737E0A">
              <w:rPr>
                <w:rFonts w:ascii="Arial Narrow" w:hAnsi="Arial Narrow" w:cs="Arial"/>
                <w:sz w:val="18"/>
                <w:szCs w:val="18"/>
              </w:rPr>
              <w:t>Наименование показателя, единица измерения</w:t>
            </w:r>
          </w:p>
        </w:tc>
        <w:tc>
          <w:tcPr>
            <w:tcW w:w="299" w:type="pct"/>
            <w:tcBorders>
              <w:top w:val="single" w:sz="4" w:space="0" w:color="auto"/>
              <w:left w:val="single" w:sz="4" w:space="0" w:color="auto"/>
              <w:bottom w:val="single" w:sz="4" w:space="0" w:color="auto"/>
              <w:right w:val="single" w:sz="4" w:space="0" w:color="auto"/>
            </w:tcBorders>
            <w:textDirection w:val="btLr"/>
            <w:vAlign w:val="center"/>
            <w:hideMark/>
          </w:tcPr>
          <w:p w:rsidR="00A64028" w:rsidRPr="00737E0A" w:rsidRDefault="001820C5" w:rsidP="001820C5">
            <w:pPr>
              <w:spacing w:after="0"/>
              <w:ind w:left="113" w:right="113"/>
              <w:jc w:val="center"/>
              <w:rPr>
                <w:rFonts w:ascii="Arial Narrow" w:hAnsi="Arial Narrow" w:cs="Arial"/>
                <w:sz w:val="18"/>
                <w:szCs w:val="18"/>
              </w:rPr>
            </w:pPr>
            <w:r>
              <w:rPr>
                <w:rFonts w:ascii="Arial Narrow" w:hAnsi="Arial Narrow" w:cs="Arial"/>
                <w:sz w:val="18"/>
                <w:szCs w:val="18"/>
              </w:rPr>
              <w:t>Общий по Новоси</w:t>
            </w:r>
            <w:r w:rsidR="00A64028" w:rsidRPr="00737E0A">
              <w:rPr>
                <w:rFonts w:ascii="Arial Narrow" w:hAnsi="Arial Narrow" w:cs="Arial"/>
                <w:sz w:val="18"/>
                <w:szCs w:val="18"/>
              </w:rPr>
              <w:t>бирской области</w:t>
            </w:r>
          </w:p>
        </w:tc>
        <w:tc>
          <w:tcPr>
            <w:tcW w:w="241" w:type="pct"/>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737E0A" w:rsidRDefault="00A64028" w:rsidP="00737E0A">
            <w:pPr>
              <w:spacing w:after="0" w:line="240" w:lineRule="auto"/>
              <w:jc w:val="center"/>
              <w:rPr>
                <w:rFonts w:ascii="Arial Narrow" w:hAnsi="Arial Narrow" w:cs="Arial"/>
                <w:sz w:val="18"/>
                <w:szCs w:val="18"/>
              </w:rPr>
            </w:pPr>
            <w:r w:rsidRPr="00737E0A">
              <w:rPr>
                <w:rFonts w:ascii="Arial Narrow" w:hAnsi="Arial Narrow" w:cs="Arial"/>
                <w:sz w:val="18"/>
                <w:szCs w:val="18"/>
              </w:rPr>
              <w:t>Рынок услуг дошкольного образования (коммерческие детские сады и учреждения пребывания неполного дня)</w:t>
            </w:r>
          </w:p>
        </w:tc>
        <w:tc>
          <w:tcPr>
            <w:tcW w:w="225" w:type="pct"/>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737E0A" w:rsidRDefault="00A64028" w:rsidP="00737E0A">
            <w:pPr>
              <w:spacing w:after="0" w:line="240" w:lineRule="auto"/>
              <w:jc w:val="center"/>
              <w:rPr>
                <w:rFonts w:ascii="Arial Narrow" w:hAnsi="Arial Narrow" w:cs="Arial"/>
                <w:sz w:val="18"/>
                <w:szCs w:val="18"/>
              </w:rPr>
            </w:pPr>
            <w:r w:rsidRPr="00737E0A">
              <w:rPr>
                <w:rFonts w:ascii="Arial Narrow" w:hAnsi="Arial Narrow" w:cs="Arial"/>
                <w:sz w:val="18"/>
                <w:szCs w:val="18"/>
              </w:rPr>
              <w:t>Рынок услуг детского отдыха и оздоровления</w:t>
            </w:r>
          </w:p>
        </w:tc>
        <w:tc>
          <w:tcPr>
            <w:tcW w:w="225" w:type="pct"/>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737E0A" w:rsidRDefault="00A64028" w:rsidP="00737E0A">
            <w:pPr>
              <w:spacing w:after="0" w:line="240" w:lineRule="auto"/>
              <w:jc w:val="center"/>
              <w:rPr>
                <w:rFonts w:ascii="Arial Narrow" w:hAnsi="Arial Narrow" w:cs="Arial"/>
                <w:sz w:val="18"/>
                <w:szCs w:val="18"/>
              </w:rPr>
            </w:pPr>
            <w:r w:rsidRPr="00737E0A">
              <w:rPr>
                <w:rFonts w:ascii="Arial Narrow" w:hAnsi="Arial Narrow" w:cs="Arial"/>
                <w:sz w:val="18"/>
                <w:szCs w:val="18"/>
              </w:rPr>
              <w:t>Рынок дополнительного образования детей</w:t>
            </w:r>
          </w:p>
        </w:tc>
        <w:tc>
          <w:tcPr>
            <w:tcW w:w="225" w:type="pct"/>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737E0A" w:rsidRDefault="00A64028" w:rsidP="00737E0A">
            <w:pPr>
              <w:spacing w:after="0" w:line="240" w:lineRule="auto"/>
              <w:jc w:val="center"/>
              <w:rPr>
                <w:rFonts w:ascii="Arial Narrow" w:hAnsi="Arial Narrow" w:cs="Arial"/>
                <w:sz w:val="18"/>
                <w:szCs w:val="18"/>
              </w:rPr>
            </w:pPr>
            <w:r w:rsidRPr="00737E0A">
              <w:rPr>
                <w:rFonts w:ascii="Arial Narrow" w:hAnsi="Arial Narrow" w:cs="Arial"/>
                <w:sz w:val="18"/>
                <w:szCs w:val="18"/>
              </w:rPr>
              <w:t>Рынок медицинских услуг</w:t>
            </w:r>
          </w:p>
        </w:tc>
        <w:tc>
          <w:tcPr>
            <w:tcW w:w="251" w:type="pct"/>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737E0A" w:rsidRDefault="00A64028" w:rsidP="00737E0A">
            <w:pPr>
              <w:spacing w:after="0" w:line="240" w:lineRule="auto"/>
              <w:jc w:val="center"/>
              <w:rPr>
                <w:rFonts w:ascii="Arial Narrow" w:hAnsi="Arial Narrow" w:cs="Arial"/>
                <w:sz w:val="18"/>
                <w:szCs w:val="18"/>
              </w:rPr>
            </w:pPr>
            <w:r w:rsidRPr="00737E0A">
              <w:rPr>
                <w:rFonts w:ascii="Arial Narrow" w:hAnsi="Arial Narrow" w:cs="Arial"/>
                <w:sz w:val="18"/>
                <w:szCs w:val="18"/>
              </w:rPr>
              <w:t>Рынок услуг психолого-педагогического сопровождения детей с ограниченными возможностями здоровья</w:t>
            </w:r>
          </w:p>
        </w:tc>
        <w:tc>
          <w:tcPr>
            <w:tcW w:w="225" w:type="pct"/>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737E0A" w:rsidRDefault="00A64028" w:rsidP="00737E0A">
            <w:pPr>
              <w:spacing w:after="0" w:line="240" w:lineRule="auto"/>
              <w:jc w:val="center"/>
              <w:rPr>
                <w:rFonts w:ascii="Arial Narrow" w:hAnsi="Arial Narrow" w:cs="Arial"/>
                <w:sz w:val="18"/>
                <w:szCs w:val="18"/>
              </w:rPr>
            </w:pPr>
            <w:r w:rsidRPr="00737E0A">
              <w:rPr>
                <w:rFonts w:ascii="Arial Narrow" w:hAnsi="Arial Narrow" w:cs="Arial"/>
                <w:sz w:val="18"/>
                <w:szCs w:val="18"/>
              </w:rPr>
              <w:t>Рынок услуг в сфере культуры</w:t>
            </w:r>
          </w:p>
        </w:tc>
        <w:tc>
          <w:tcPr>
            <w:tcW w:w="225" w:type="pct"/>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737E0A" w:rsidRDefault="00A64028" w:rsidP="00737E0A">
            <w:pPr>
              <w:spacing w:after="0" w:line="240" w:lineRule="auto"/>
              <w:jc w:val="center"/>
              <w:rPr>
                <w:rFonts w:ascii="Arial Narrow" w:hAnsi="Arial Narrow" w:cs="Arial"/>
                <w:sz w:val="18"/>
                <w:szCs w:val="18"/>
              </w:rPr>
            </w:pPr>
            <w:r w:rsidRPr="00737E0A">
              <w:rPr>
                <w:rFonts w:ascii="Arial Narrow" w:hAnsi="Arial Narrow" w:cs="Arial"/>
                <w:sz w:val="18"/>
                <w:szCs w:val="18"/>
              </w:rPr>
              <w:t>Рынок услуг ЖКХ (управляющие компании)</w:t>
            </w:r>
          </w:p>
        </w:tc>
        <w:tc>
          <w:tcPr>
            <w:tcW w:w="251" w:type="pct"/>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737E0A" w:rsidRDefault="00A64028" w:rsidP="00737E0A">
            <w:pPr>
              <w:spacing w:after="0" w:line="240" w:lineRule="auto"/>
              <w:jc w:val="center"/>
              <w:rPr>
                <w:rFonts w:ascii="Arial Narrow" w:hAnsi="Arial Narrow" w:cs="Arial"/>
                <w:sz w:val="18"/>
                <w:szCs w:val="18"/>
              </w:rPr>
            </w:pPr>
            <w:r w:rsidRPr="00737E0A">
              <w:rPr>
                <w:rFonts w:ascii="Arial Narrow" w:hAnsi="Arial Narrow" w:cs="Arial"/>
                <w:sz w:val="18"/>
                <w:szCs w:val="18"/>
              </w:rPr>
              <w:t>Розничная торговля (продажа продуктов питания и непродовольственных товаров)</w:t>
            </w:r>
          </w:p>
        </w:tc>
        <w:tc>
          <w:tcPr>
            <w:tcW w:w="252" w:type="pct"/>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737E0A" w:rsidRDefault="00A64028" w:rsidP="00737E0A">
            <w:pPr>
              <w:spacing w:after="0" w:line="240" w:lineRule="auto"/>
              <w:jc w:val="center"/>
              <w:rPr>
                <w:rFonts w:ascii="Arial Narrow" w:hAnsi="Arial Narrow" w:cs="Arial"/>
                <w:sz w:val="18"/>
                <w:szCs w:val="18"/>
              </w:rPr>
            </w:pPr>
            <w:r w:rsidRPr="00737E0A">
              <w:rPr>
                <w:rFonts w:ascii="Arial Narrow" w:hAnsi="Arial Narrow" w:cs="Arial"/>
                <w:sz w:val="18"/>
                <w:szCs w:val="18"/>
              </w:rPr>
              <w:t>Рынок услуг перевозок пассажиров наземным транспортом (автобусные перевозки и такси)</w:t>
            </w:r>
          </w:p>
        </w:tc>
        <w:tc>
          <w:tcPr>
            <w:tcW w:w="226" w:type="pct"/>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737E0A" w:rsidRDefault="00A64028" w:rsidP="00737E0A">
            <w:pPr>
              <w:spacing w:after="0" w:line="240" w:lineRule="auto"/>
              <w:jc w:val="center"/>
              <w:rPr>
                <w:rFonts w:ascii="Arial Narrow" w:hAnsi="Arial Narrow" w:cs="Arial"/>
                <w:sz w:val="18"/>
                <w:szCs w:val="18"/>
              </w:rPr>
            </w:pPr>
            <w:r w:rsidRPr="00737E0A">
              <w:rPr>
                <w:rFonts w:ascii="Arial Narrow" w:hAnsi="Arial Narrow" w:cs="Arial"/>
                <w:sz w:val="18"/>
                <w:szCs w:val="18"/>
              </w:rPr>
              <w:t>Рынок услуг связи</w:t>
            </w:r>
          </w:p>
        </w:tc>
        <w:tc>
          <w:tcPr>
            <w:tcW w:w="226" w:type="pct"/>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737E0A" w:rsidRDefault="00A64028" w:rsidP="00737E0A">
            <w:pPr>
              <w:spacing w:after="0" w:line="240" w:lineRule="auto"/>
              <w:jc w:val="center"/>
              <w:rPr>
                <w:rFonts w:ascii="Arial Narrow" w:hAnsi="Arial Narrow" w:cs="Arial"/>
                <w:sz w:val="18"/>
                <w:szCs w:val="18"/>
              </w:rPr>
            </w:pPr>
            <w:r w:rsidRPr="00737E0A">
              <w:rPr>
                <w:rFonts w:ascii="Arial Narrow" w:hAnsi="Arial Narrow" w:cs="Arial"/>
                <w:sz w:val="18"/>
                <w:szCs w:val="18"/>
              </w:rPr>
              <w:t>Рынок услуг социального обслуживания населения</w:t>
            </w:r>
          </w:p>
        </w:tc>
        <w:tc>
          <w:tcPr>
            <w:tcW w:w="319" w:type="pct"/>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737E0A" w:rsidRDefault="00A64028" w:rsidP="00737E0A">
            <w:pPr>
              <w:spacing w:after="0" w:line="240" w:lineRule="auto"/>
              <w:jc w:val="center"/>
              <w:rPr>
                <w:rFonts w:ascii="Arial Narrow" w:hAnsi="Arial Narrow" w:cs="Arial"/>
                <w:sz w:val="18"/>
                <w:szCs w:val="18"/>
              </w:rPr>
            </w:pPr>
            <w:r w:rsidRPr="00737E0A">
              <w:rPr>
                <w:rFonts w:ascii="Arial Narrow" w:hAnsi="Arial Narrow" w:cs="Arial"/>
                <w:sz w:val="18"/>
                <w:szCs w:val="18"/>
              </w:rPr>
              <w:t>Рынок развития, производства, переработки и хранения сельскохозяйственной продукции</w:t>
            </w:r>
          </w:p>
        </w:tc>
        <w:tc>
          <w:tcPr>
            <w:tcW w:w="353" w:type="pct"/>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737E0A" w:rsidRDefault="00A64028" w:rsidP="00737E0A">
            <w:pPr>
              <w:spacing w:after="0" w:line="240" w:lineRule="auto"/>
              <w:jc w:val="center"/>
              <w:rPr>
                <w:rFonts w:ascii="Arial Narrow" w:hAnsi="Arial Narrow" w:cs="Arial"/>
                <w:sz w:val="18"/>
                <w:szCs w:val="18"/>
              </w:rPr>
            </w:pPr>
            <w:r w:rsidRPr="00737E0A">
              <w:rPr>
                <w:rFonts w:ascii="Arial Narrow" w:hAnsi="Arial Narrow" w:cs="Arial"/>
                <w:sz w:val="18"/>
                <w:szCs w:val="18"/>
              </w:rPr>
              <w:t>Рынок услуг по сбору, сортировке и переработке твердых коммунальных (бытовых) отходов</w:t>
            </w:r>
          </w:p>
        </w:tc>
      </w:tr>
      <w:tr w:rsidR="00A64028" w:rsidTr="00737E0A">
        <w:tc>
          <w:tcPr>
            <w:tcW w:w="192" w:type="pct"/>
            <w:tcBorders>
              <w:top w:val="single" w:sz="4" w:space="0" w:color="auto"/>
              <w:left w:val="single" w:sz="4" w:space="0" w:color="auto"/>
              <w:bottom w:val="single" w:sz="4" w:space="0" w:color="auto"/>
              <w:right w:val="single" w:sz="4" w:space="0" w:color="auto"/>
            </w:tcBorders>
            <w:vAlign w:val="center"/>
            <w:hideMark/>
          </w:tcPr>
          <w:p w:rsidR="00A64028" w:rsidRDefault="00A64028" w:rsidP="00103148">
            <w:pPr>
              <w:spacing w:after="0" w:line="256" w:lineRule="auto"/>
            </w:pPr>
            <w:r>
              <w:rPr>
                <w:rFonts w:ascii="Arial Narrow" w:hAnsi="Arial Narrow"/>
                <w:sz w:val="16"/>
                <w:szCs w:val="16"/>
              </w:rPr>
              <w:t>1.1.8..</w:t>
            </w:r>
          </w:p>
        </w:tc>
        <w:tc>
          <w:tcPr>
            <w:tcW w:w="1263" w:type="pct"/>
            <w:tcBorders>
              <w:top w:val="single" w:sz="4" w:space="0" w:color="auto"/>
              <w:left w:val="single" w:sz="4" w:space="0" w:color="auto"/>
              <w:bottom w:val="single" w:sz="4" w:space="0" w:color="auto"/>
              <w:right w:val="single" w:sz="4" w:space="0" w:color="auto"/>
            </w:tcBorders>
            <w:vAlign w:val="bottom"/>
            <w:hideMark/>
          </w:tcPr>
          <w:p w:rsidR="00A64028" w:rsidRPr="00737E0A" w:rsidRDefault="00A64028" w:rsidP="00737E0A">
            <w:pPr>
              <w:spacing w:after="0"/>
              <w:ind w:left="54"/>
              <w:rPr>
                <w:rFonts w:ascii="Arial Narrow" w:hAnsi="Arial Narrow"/>
                <w:sz w:val="18"/>
                <w:szCs w:val="18"/>
              </w:rPr>
            </w:pPr>
            <w:r w:rsidRPr="00737E0A">
              <w:rPr>
                <w:rFonts w:ascii="Arial Narrow" w:hAnsi="Arial Narrow"/>
                <w:sz w:val="18"/>
                <w:szCs w:val="18"/>
              </w:rPr>
              <w:t>Доля респондентов, считающих, что уровень безопасности ведения бизнеса на их рынке повысился (% от числа опрошенных)</w:t>
            </w:r>
          </w:p>
        </w:tc>
        <w:tc>
          <w:tcPr>
            <w:tcW w:w="299" w:type="pct"/>
            <w:tcBorders>
              <w:top w:val="single" w:sz="4" w:space="0" w:color="auto"/>
              <w:left w:val="single" w:sz="4" w:space="0" w:color="auto"/>
              <w:bottom w:val="single" w:sz="4" w:space="0" w:color="auto"/>
              <w:right w:val="single" w:sz="4" w:space="0" w:color="auto"/>
            </w:tcBorders>
            <w:noWrap/>
            <w:vAlign w:val="center"/>
            <w:hideMark/>
          </w:tcPr>
          <w:p w:rsidR="00A64028" w:rsidRPr="00737E0A" w:rsidRDefault="00A64028" w:rsidP="00103148">
            <w:pPr>
              <w:spacing w:after="0"/>
              <w:jc w:val="center"/>
              <w:rPr>
                <w:rFonts w:ascii="Arial Narrow" w:hAnsi="Arial Narrow"/>
                <w:sz w:val="18"/>
                <w:szCs w:val="18"/>
              </w:rPr>
            </w:pPr>
            <w:r w:rsidRPr="00737E0A">
              <w:rPr>
                <w:rFonts w:ascii="Arial Narrow" w:hAnsi="Arial Narrow"/>
                <w:sz w:val="18"/>
                <w:szCs w:val="18"/>
              </w:rPr>
              <w:t>29,7%</w:t>
            </w:r>
          </w:p>
        </w:tc>
        <w:tc>
          <w:tcPr>
            <w:tcW w:w="241" w:type="pct"/>
            <w:tcBorders>
              <w:top w:val="single" w:sz="4" w:space="0" w:color="auto"/>
              <w:left w:val="single" w:sz="4" w:space="0" w:color="auto"/>
              <w:bottom w:val="single" w:sz="4" w:space="0" w:color="auto"/>
              <w:right w:val="single" w:sz="4" w:space="0" w:color="auto"/>
            </w:tcBorders>
            <w:noWrap/>
            <w:vAlign w:val="center"/>
            <w:hideMark/>
          </w:tcPr>
          <w:p w:rsidR="00A64028" w:rsidRPr="00737E0A" w:rsidRDefault="00A64028" w:rsidP="00103148">
            <w:pPr>
              <w:spacing w:after="0"/>
              <w:jc w:val="center"/>
              <w:rPr>
                <w:rFonts w:ascii="Arial Narrow" w:hAnsi="Arial Narrow"/>
                <w:sz w:val="18"/>
                <w:szCs w:val="18"/>
              </w:rPr>
            </w:pPr>
            <w:r w:rsidRPr="00737E0A">
              <w:rPr>
                <w:rFonts w:ascii="Arial Narrow" w:hAnsi="Arial Narrow"/>
                <w:sz w:val="18"/>
                <w:szCs w:val="18"/>
              </w:rPr>
              <w:t>30,0%</w:t>
            </w:r>
          </w:p>
        </w:tc>
        <w:tc>
          <w:tcPr>
            <w:tcW w:w="225" w:type="pct"/>
            <w:tcBorders>
              <w:top w:val="single" w:sz="4" w:space="0" w:color="auto"/>
              <w:left w:val="single" w:sz="4" w:space="0" w:color="auto"/>
              <w:bottom w:val="single" w:sz="4" w:space="0" w:color="auto"/>
              <w:right w:val="single" w:sz="4" w:space="0" w:color="auto"/>
            </w:tcBorders>
            <w:noWrap/>
            <w:vAlign w:val="center"/>
            <w:hideMark/>
          </w:tcPr>
          <w:p w:rsidR="00A64028" w:rsidRPr="00737E0A" w:rsidRDefault="00A64028" w:rsidP="00103148">
            <w:pPr>
              <w:spacing w:after="0"/>
              <w:jc w:val="center"/>
              <w:rPr>
                <w:rFonts w:ascii="Arial Narrow" w:hAnsi="Arial Narrow"/>
                <w:sz w:val="18"/>
                <w:szCs w:val="18"/>
              </w:rPr>
            </w:pPr>
            <w:r w:rsidRPr="00737E0A">
              <w:rPr>
                <w:rFonts w:ascii="Arial Narrow" w:hAnsi="Arial Narrow"/>
                <w:sz w:val="18"/>
                <w:szCs w:val="18"/>
              </w:rPr>
              <w:t>20,0%</w:t>
            </w:r>
          </w:p>
        </w:tc>
        <w:tc>
          <w:tcPr>
            <w:tcW w:w="225" w:type="pct"/>
            <w:tcBorders>
              <w:top w:val="single" w:sz="4" w:space="0" w:color="auto"/>
              <w:left w:val="single" w:sz="4" w:space="0" w:color="auto"/>
              <w:bottom w:val="single" w:sz="4" w:space="0" w:color="auto"/>
              <w:right w:val="single" w:sz="4" w:space="0" w:color="auto"/>
            </w:tcBorders>
            <w:noWrap/>
            <w:vAlign w:val="center"/>
            <w:hideMark/>
          </w:tcPr>
          <w:p w:rsidR="00A64028" w:rsidRPr="00737E0A" w:rsidRDefault="00A64028" w:rsidP="00103148">
            <w:pPr>
              <w:spacing w:after="0"/>
              <w:jc w:val="center"/>
              <w:rPr>
                <w:rFonts w:ascii="Arial Narrow" w:hAnsi="Arial Narrow"/>
                <w:sz w:val="18"/>
                <w:szCs w:val="18"/>
              </w:rPr>
            </w:pPr>
            <w:r w:rsidRPr="00737E0A">
              <w:rPr>
                <w:rFonts w:ascii="Arial Narrow" w:hAnsi="Arial Narrow"/>
                <w:sz w:val="18"/>
                <w:szCs w:val="18"/>
              </w:rPr>
              <w:t>28,0%</w:t>
            </w:r>
          </w:p>
        </w:tc>
        <w:tc>
          <w:tcPr>
            <w:tcW w:w="225" w:type="pct"/>
            <w:tcBorders>
              <w:top w:val="single" w:sz="4" w:space="0" w:color="auto"/>
              <w:left w:val="single" w:sz="4" w:space="0" w:color="auto"/>
              <w:bottom w:val="single" w:sz="4" w:space="0" w:color="auto"/>
              <w:right w:val="single" w:sz="4" w:space="0" w:color="auto"/>
            </w:tcBorders>
            <w:noWrap/>
            <w:vAlign w:val="center"/>
            <w:hideMark/>
          </w:tcPr>
          <w:p w:rsidR="00A64028" w:rsidRPr="00737E0A" w:rsidRDefault="00A64028" w:rsidP="00103148">
            <w:pPr>
              <w:spacing w:after="0"/>
              <w:jc w:val="center"/>
              <w:rPr>
                <w:rFonts w:ascii="Arial Narrow" w:hAnsi="Arial Narrow"/>
                <w:sz w:val="18"/>
                <w:szCs w:val="18"/>
              </w:rPr>
            </w:pPr>
            <w:r w:rsidRPr="00737E0A">
              <w:rPr>
                <w:rFonts w:ascii="Arial Narrow" w:hAnsi="Arial Narrow"/>
                <w:sz w:val="18"/>
                <w:szCs w:val="18"/>
              </w:rPr>
              <w:t>30,0%</w:t>
            </w:r>
          </w:p>
        </w:tc>
        <w:tc>
          <w:tcPr>
            <w:tcW w:w="251" w:type="pct"/>
            <w:tcBorders>
              <w:top w:val="single" w:sz="4" w:space="0" w:color="auto"/>
              <w:left w:val="single" w:sz="4" w:space="0" w:color="auto"/>
              <w:bottom w:val="single" w:sz="4" w:space="0" w:color="auto"/>
              <w:right w:val="single" w:sz="4" w:space="0" w:color="auto"/>
            </w:tcBorders>
            <w:noWrap/>
            <w:vAlign w:val="center"/>
            <w:hideMark/>
          </w:tcPr>
          <w:p w:rsidR="00A64028" w:rsidRPr="00737E0A" w:rsidRDefault="00A64028" w:rsidP="00103148">
            <w:pPr>
              <w:spacing w:after="0"/>
              <w:jc w:val="center"/>
              <w:rPr>
                <w:rFonts w:ascii="Arial Narrow" w:hAnsi="Arial Narrow"/>
                <w:sz w:val="18"/>
                <w:szCs w:val="18"/>
              </w:rPr>
            </w:pPr>
            <w:r w:rsidRPr="00737E0A">
              <w:rPr>
                <w:rFonts w:ascii="Arial Narrow" w:hAnsi="Arial Narrow"/>
                <w:sz w:val="18"/>
                <w:szCs w:val="18"/>
              </w:rPr>
              <w:t>24,0%</w:t>
            </w:r>
          </w:p>
        </w:tc>
        <w:tc>
          <w:tcPr>
            <w:tcW w:w="225" w:type="pct"/>
            <w:tcBorders>
              <w:top w:val="single" w:sz="4" w:space="0" w:color="auto"/>
              <w:left w:val="single" w:sz="4" w:space="0" w:color="auto"/>
              <w:bottom w:val="single" w:sz="4" w:space="0" w:color="auto"/>
              <w:right w:val="single" w:sz="4" w:space="0" w:color="auto"/>
            </w:tcBorders>
            <w:noWrap/>
            <w:vAlign w:val="center"/>
            <w:hideMark/>
          </w:tcPr>
          <w:p w:rsidR="00A64028" w:rsidRPr="00737E0A" w:rsidRDefault="00A64028" w:rsidP="00103148">
            <w:pPr>
              <w:spacing w:after="0"/>
              <w:jc w:val="center"/>
              <w:rPr>
                <w:rFonts w:ascii="Arial Narrow" w:hAnsi="Arial Narrow"/>
                <w:sz w:val="18"/>
                <w:szCs w:val="18"/>
              </w:rPr>
            </w:pPr>
            <w:r w:rsidRPr="00737E0A">
              <w:rPr>
                <w:rFonts w:ascii="Arial Narrow" w:hAnsi="Arial Narrow"/>
                <w:sz w:val="18"/>
                <w:szCs w:val="18"/>
              </w:rPr>
              <w:t>24,0%</w:t>
            </w:r>
          </w:p>
        </w:tc>
        <w:tc>
          <w:tcPr>
            <w:tcW w:w="225" w:type="pct"/>
            <w:tcBorders>
              <w:top w:val="single" w:sz="4" w:space="0" w:color="auto"/>
              <w:left w:val="single" w:sz="4" w:space="0" w:color="auto"/>
              <w:bottom w:val="single" w:sz="4" w:space="0" w:color="auto"/>
              <w:right w:val="single" w:sz="4" w:space="0" w:color="auto"/>
            </w:tcBorders>
            <w:noWrap/>
            <w:vAlign w:val="center"/>
            <w:hideMark/>
          </w:tcPr>
          <w:p w:rsidR="00A64028" w:rsidRPr="00737E0A" w:rsidRDefault="00A64028" w:rsidP="00103148">
            <w:pPr>
              <w:spacing w:after="0"/>
              <w:jc w:val="center"/>
              <w:rPr>
                <w:rFonts w:ascii="Arial Narrow" w:hAnsi="Arial Narrow"/>
                <w:sz w:val="18"/>
                <w:szCs w:val="18"/>
              </w:rPr>
            </w:pPr>
            <w:r w:rsidRPr="00737E0A">
              <w:rPr>
                <w:rFonts w:ascii="Arial Narrow" w:hAnsi="Arial Narrow"/>
                <w:sz w:val="18"/>
                <w:szCs w:val="18"/>
              </w:rPr>
              <w:t>30,0%</w:t>
            </w:r>
          </w:p>
        </w:tc>
        <w:tc>
          <w:tcPr>
            <w:tcW w:w="251" w:type="pct"/>
            <w:tcBorders>
              <w:top w:val="single" w:sz="4" w:space="0" w:color="auto"/>
              <w:left w:val="single" w:sz="4" w:space="0" w:color="auto"/>
              <w:bottom w:val="single" w:sz="4" w:space="0" w:color="auto"/>
              <w:right w:val="single" w:sz="4" w:space="0" w:color="auto"/>
            </w:tcBorders>
            <w:noWrap/>
            <w:vAlign w:val="center"/>
            <w:hideMark/>
          </w:tcPr>
          <w:p w:rsidR="00A64028" w:rsidRPr="00737E0A" w:rsidRDefault="00A64028" w:rsidP="00103148">
            <w:pPr>
              <w:spacing w:after="0"/>
              <w:jc w:val="center"/>
              <w:rPr>
                <w:rFonts w:ascii="Arial Narrow" w:hAnsi="Arial Narrow"/>
                <w:sz w:val="18"/>
                <w:szCs w:val="18"/>
              </w:rPr>
            </w:pPr>
            <w:r w:rsidRPr="00737E0A">
              <w:rPr>
                <w:rFonts w:ascii="Arial Narrow" w:hAnsi="Arial Narrow"/>
                <w:sz w:val="18"/>
                <w:szCs w:val="18"/>
              </w:rPr>
              <w:t>31,7%</w:t>
            </w:r>
          </w:p>
        </w:tc>
        <w:tc>
          <w:tcPr>
            <w:tcW w:w="252" w:type="pct"/>
            <w:tcBorders>
              <w:top w:val="single" w:sz="4" w:space="0" w:color="auto"/>
              <w:left w:val="single" w:sz="4" w:space="0" w:color="auto"/>
              <w:bottom w:val="single" w:sz="4" w:space="0" w:color="auto"/>
              <w:right w:val="single" w:sz="4" w:space="0" w:color="auto"/>
            </w:tcBorders>
            <w:noWrap/>
            <w:vAlign w:val="center"/>
            <w:hideMark/>
          </w:tcPr>
          <w:p w:rsidR="00A64028" w:rsidRPr="00737E0A" w:rsidRDefault="00A64028" w:rsidP="00103148">
            <w:pPr>
              <w:spacing w:after="0"/>
              <w:jc w:val="center"/>
              <w:rPr>
                <w:rFonts w:ascii="Arial Narrow" w:hAnsi="Arial Narrow"/>
                <w:sz w:val="18"/>
                <w:szCs w:val="18"/>
              </w:rPr>
            </w:pPr>
            <w:r w:rsidRPr="00737E0A">
              <w:rPr>
                <w:rFonts w:ascii="Arial Narrow" w:hAnsi="Arial Narrow"/>
                <w:sz w:val="18"/>
                <w:szCs w:val="18"/>
              </w:rPr>
              <w:t>35,0%</w:t>
            </w:r>
          </w:p>
        </w:tc>
        <w:tc>
          <w:tcPr>
            <w:tcW w:w="226" w:type="pct"/>
            <w:tcBorders>
              <w:top w:val="single" w:sz="4" w:space="0" w:color="auto"/>
              <w:left w:val="single" w:sz="4" w:space="0" w:color="auto"/>
              <w:bottom w:val="single" w:sz="4" w:space="0" w:color="auto"/>
              <w:right w:val="single" w:sz="4" w:space="0" w:color="auto"/>
            </w:tcBorders>
            <w:noWrap/>
            <w:vAlign w:val="center"/>
            <w:hideMark/>
          </w:tcPr>
          <w:p w:rsidR="00A64028" w:rsidRPr="00737E0A" w:rsidRDefault="00A64028" w:rsidP="00103148">
            <w:pPr>
              <w:spacing w:after="0"/>
              <w:jc w:val="center"/>
              <w:rPr>
                <w:rFonts w:ascii="Arial Narrow" w:hAnsi="Arial Narrow"/>
                <w:sz w:val="18"/>
                <w:szCs w:val="18"/>
              </w:rPr>
            </w:pPr>
            <w:r w:rsidRPr="00737E0A">
              <w:rPr>
                <w:rFonts w:ascii="Arial Narrow" w:hAnsi="Arial Narrow"/>
                <w:sz w:val="18"/>
                <w:szCs w:val="18"/>
              </w:rPr>
              <w:t>16,0%</w:t>
            </w:r>
          </w:p>
        </w:tc>
        <w:tc>
          <w:tcPr>
            <w:tcW w:w="226" w:type="pct"/>
            <w:tcBorders>
              <w:top w:val="single" w:sz="4" w:space="0" w:color="auto"/>
              <w:left w:val="single" w:sz="4" w:space="0" w:color="auto"/>
              <w:bottom w:val="single" w:sz="4" w:space="0" w:color="auto"/>
              <w:right w:val="single" w:sz="4" w:space="0" w:color="auto"/>
            </w:tcBorders>
            <w:noWrap/>
            <w:vAlign w:val="center"/>
            <w:hideMark/>
          </w:tcPr>
          <w:p w:rsidR="00A64028" w:rsidRPr="00737E0A" w:rsidRDefault="00A64028" w:rsidP="00103148">
            <w:pPr>
              <w:spacing w:after="0"/>
              <w:jc w:val="center"/>
              <w:rPr>
                <w:rFonts w:ascii="Arial Narrow" w:hAnsi="Arial Narrow"/>
                <w:sz w:val="18"/>
                <w:szCs w:val="18"/>
              </w:rPr>
            </w:pPr>
            <w:r w:rsidRPr="00737E0A">
              <w:rPr>
                <w:rFonts w:ascii="Arial Narrow" w:hAnsi="Arial Narrow"/>
                <w:sz w:val="18"/>
                <w:szCs w:val="18"/>
              </w:rPr>
              <w:t>28,0%</w:t>
            </w:r>
          </w:p>
        </w:tc>
        <w:tc>
          <w:tcPr>
            <w:tcW w:w="319" w:type="pct"/>
            <w:tcBorders>
              <w:top w:val="single" w:sz="4" w:space="0" w:color="auto"/>
              <w:left w:val="single" w:sz="4" w:space="0" w:color="auto"/>
              <w:bottom w:val="single" w:sz="4" w:space="0" w:color="auto"/>
              <w:right w:val="single" w:sz="4" w:space="0" w:color="auto"/>
            </w:tcBorders>
            <w:noWrap/>
            <w:vAlign w:val="center"/>
            <w:hideMark/>
          </w:tcPr>
          <w:p w:rsidR="00A64028" w:rsidRPr="00737E0A" w:rsidRDefault="00A64028" w:rsidP="00103148">
            <w:pPr>
              <w:spacing w:after="0"/>
              <w:jc w:val="center"/>
              <w:rPr>
                <w:rFonts w:ascii="Arial Narrow" w:hAnsi="Arial Narrow"/>
                <w:sz w:val="18"/>
                <w:szCs w:val="18"/>
              </w:rPr>
            </w:pPr>
            <w:r w:rsidRPr="00737E0A">
              <w:rPr>
                <w:rFonts w:ascii="Arial Narrow" w:hAnsi="Arial Narrow"/>
                <w:sz w:val="18"/>
                <w:szCs w:val="18"/>
              </w:rPr>
              <w:t>33,0%</w:t>
            </w:r>
          </w:p>
        </w:tc>
        <w:tc>
          <w:tcPr>
            <w:tcW w:w="353" w:type="pct"/>
            <w:tcBorders>
              <w:top w:val="single" w:sz="4" w:space="0" w:color="auto"/>
              <w:left w:val="single" w:sz="4" w:space="0" w:color="auto"/>
              <w:bottom w:val="single" w:sz="4" w:space="0" w:color="auto"/>
              <w:right w:val="single" w:sz="4" w:space="0" w:color="auto"/>
            </w:tcBorders>
            <w:noWrap/>
            <w:vAlign w:val="center"/>
            <w:hideMark/>
          </w:tcPr>
          <w:p w:rsidR="00A64028" w:rsidRPr="00737E0A" w:rsidRDefault="00A64028" w:rsidP="00103148">
            <w:pPr>
              <w:spacing w:after="0"/>
              <w:jc w:val="center"/>
              <w:rPr>
                <w:rFonts w:ascii="Arial Narrow" w:hAnsi="Arial Narrow"/>
                <w:sz w:val="18"/>
                <w:szCs w:val="18"/>
              </w:rPr>
            </w:pPr>
            <w:r w:rsidRPr="00737E0A">
              <w:rPr>
                <w:rFonts w:ascii="Arial Narrow" w:hAnsi="Arial Narrow"/>
                <w:sz w:val="18"/>
                <w:szCs w:val="18"/>
              </w:rPr>
              <w:t>40,0%</w:t>
            </w:r>
          </w:p>
        </w:tc>
      </w:tr>
    </w:tbl>
    <w:p w:rsidR="00A64028" w:rsidRDefault="00A64028" w:rsidP="00103148">
      <w:pPr>
        <w:spacing w:after="0"/>
        <w:ind w:firstLine="284"/>
        <w:rPr>
          <w:rFonts w:ascii="Arial Narrow" w:hAnsi="Arial Narrow"/>
          <w:b/>
          <w:sz w:val="24"/>
        </w:rPr>
      </w:pPr>
    </w:p>
    <w:p w:rsidR="00A64028" w:rsidRPr="00D50BF0" w:rsidRDefault="00A64028" w:rsidP="00BF6DC4">
      <w:pPr>
        <w:spacing w:after="0" w:line="360" w:lineRule="auto"/>
        <w:ind w:firstLine="284"/>
        <w:jc w:val="both"/>
        <w:rPr>
          <w:rFonts w:ascii="Arial Narrow" w:hAnsi="Arial Narrow"/>
          <w:b/>
          <w:sz w:val="24"/>
        </w:rPr>
      </w:pPr>
      <w:r w:rsidRPr="00D50BF0">
        <w:rPr>
          <w:rFonts w:ascii="Arial Narrow" w:hAnsi="Arial Narrow"/>
          <w:b/>
          <w:sz w:val="24"/>
        </w:rPr>
        <w:t>Значение показателя 1.1.9.</w:t>
      </w:r>
      <w:r>
        <w:rPr>
          <w:rFonts w:ascii="Arial Narrow" w:hAnsi="Arial Narrow"/>
          <w:b/>
          <w:sz w:val="24"/>
        </w:rPr>
        <w:t xml:space="preserve"> </w:t>
      </w:r>
      <w:r w:rsidRPr="00D50BF0">
        <w:rPr>
          <w:rFonts w:ascii="Arial Narrow" w:hAnsi="Arial Narrow"/>
          <w:b/>
          <w:sz w:val="24"/>
        </w:rPr>
        <w:t>Распространенность мер по повышению конкурентоспособности предприятий за последние 3 года (% от числа опрошенных).</w:t>
      </w:r>
    </w:p>
    <w:p w:rsidR="00A64028" w:rsidRDefault="00A64028" w:rsidP="00BF6DC4">
      <w:pPr>
        <w:spacing w:after="0" w:line="360" w:lineRule="auto"/>
        <w:ind w:firstLine="284"/>
        <w:jc w:val="both"/>
        <w:rPr>
          <w:rFonts w:ascii="Arial Narrow" w:hAnsi="Arial Narrow"/>
          <w:sz w:val="24"/>
          <w:szCs w:val="24"/>
        </w:rPr>
      </w:pPr>
      <w:r w:rsidRPr="00993FEB">
        <w:rPr>
          <w:rFonts w:ascii="Arial Narrow" w:hAnsi="Arial Narrow"/>
          <w:sz w:val="24"/>
          <w:szCs w:val="24"/>
        </w:rPr>
        <w:t>Чаще всего</w:t>
      </w:r>
      <w:r>
        <w:rPr>
          <w:rFonts w:ascii="Arial Narrow" w:hAnsi="Arial Narrow"/>
          <w:sz w:val="24"/>
          <w:szCs w:val="24"/>
        </w:rPr>
        <w:t xml:space="preserve"> за последние 3 года представители бизнеса </w:t>
      </w:r>
      <w:r w:rsidRPr="000B18C2">
        <w:rPr>
          <w:rFonts w:ascii="Arial Narrow" w:hAnsi="Arial Narrow"/>
          <w:b/>
          <w:sz w:val="24"/>
          <w:szCs w:val="24"/>
        </w:rPr>
        <w:t>пытались повысить конкурентоспособность своих предприятий</w:t>
      </w:r>
      <w:r w:rsidRPr="00192BEC">
        <w:rPr>
          <w:rFonts w:ascii="Arial Narrow" w:hAnsi="Arial Narrow"/>
          <w:sz w:val="24"/>
          <w:szCs w:val="24"/>
        </w:rPr>
        <w:t>,</w:t>
      </w:r>
      <w:r>
        <w:rPr>
          <w:rFonts w:ascii="Arial Narrow" w:hAnsi="Arial Narrow"/>
          <w:sz w:val="24"/>
          <w:szCs w:val="24"/>
        </w:rPr>
        <w:t xml:space="preserve"> обучая персонал (31,3 %), используя новые способы продвижения продукта (19,8 %), покупая машины и оборудование (19,7 %), выводя новые продукты на рынок (18,8 %) и покупая технологии, патенты, лицензии, ноу-хау (13,4 %). Остальные меры использовали менее 10 % опрошенных, однако на рынках </w:t>
      </w:r>
      <w:r w:rsidRPr="00794DCA">
        <w:rPr>
          <w:rFonts w:ascii="Arial Narrow" w:hAnsi="Arial Narrow"/>
          <w:sz w:val="24"/>
          <w:szCs w:val="24"/>
        </w:rPr>
        <w:t xml:space="preserve">услуг связи, услуг в сфере культуры и медицинских услуг более 10 % субъектов предпринимательства занимались развитием системы представительств. Распространенность некоторых популярных мер повышения конкурентоспособности на различных рынках также неоднородна. </w:t>
      </w:r>
      <w:r>
        <w:rPr>
          <w:rFonts w:ascii="Arial Narrow" w:hAnsi="Arial Narrow"/>
          <w:sz w:val="24"/>
          <w:szCs w:val="24"/>
        </w:rPr>
        <w:t>П</w:t>
      </w:r>
      <w:r w:rsidRPr="00794DCA">
        <w:rPr>
          <w:rFonts w:ascii="Arial Narrow" w:hAnsi="Arial Narrow"/>
          <w:sz w:val="24"/>
          <w:szCs w:val="24"/>
        </w:rPr>
        <w:t>окупка машин и оборудования</w:t>
      </w:r>
      <w:r>
        <w:rPr>
          <w:rFonts w:ascii="Arial Narrow" w:hAnsi="Arial Narrow"/>
          <w:sz w:val="24"/>
          <w:szCs w:val="24"/>
        </w:rPr>
        <w:t xml:space="preserve"> наиболее характерна для участников рынка </w:t>
      </w:r>
      <w:r w:rsidRPr="00794DCA">
        <w:rPr>
          <w:rFonts w:ascii="Arial Narrow" w:hAnsi="Arial Narrow"/>
          <w:sz w:val="24"/>
          <w:szCs w:val="24"/>
        </w:rPr>
        <w:t>услуг по сбору, сортировке и переработке твердых коммунальных (бытовых) отходов</w:t>
      </w:r>
      <w:r>
        <w:rPr>
          <w:rFonts w:ascii="Arial Narrow" w:hAnsi="Arial Narrow"/>
          <w:sz w:val="24"/>
          <w:szCs w:val="24"/>
        </w:rPr>
        <w:t xml:space="preserve"> (60 %) и наименее – для участников рынков </w:t>
      </w:r>
      <w:r w:rsidRPr="00794DCA">
        <w:rPr>
          <w:rFonts w:ascii="Arial Narrow" w:hAnsi="Arial Narrow"/>
          <w:sz w:val="24"/>
          <w:szCs w:val="24"/>
        </w:rPr>
        <w:t>дополнительного образования детей</w:t>
      </w:r>
      <w:r>
        <w:rPr>
          <w:rFonts w:ascii="Arial Narrow" w:hAnsi="Arial Narrow"/>
          <w:sz w:val="24"/>
          <w:szCs w:val="24"/>
        </w:rPr>
        <w:t xml:space="preserve">, </w:t>
      </w:r>
      <w:r w:rsidRPr="00794DCA">
        <w:rPr>
          <w:rFonts w:ascii="Arial Narrow" w:hAnsi="Arial Narrow"/>
          <w:sz w:val="24"/>
          <w:szCs w:val="24"/>
        </w:rPr>
        <w:t>услуг психолого-</w:t>
      </w:r>
      <w:r w:rsidRPr="00794DCA">
        <w:rPr>
          <w:rFonts w:ascii="Arial Narrow" w:hAnsi="Arial Narrow"/>
          <w:sz w:val="24"/>
          <w:szCs w:val="24"/>
        </w:rPr>
        <w:lastRenderedPageBreak/>
        <w:t>педагогического сопровождения детей с ограниченными возможностями здоровья</w:t>
      </w:r>
      <w:r>
        <w:rPr>
          <w:rFonts w:ascii="Arial Narrow" w:hAnsi="Arial Narrow"/>
          <w:sz w:val="24"/>
          <w:szCs w:val="24"/>
        </w:rPr>
        <w:t xml:space="preserve">, </w:t>
      </w:r>
      <w:r w:rsidRPr="00794DCA">
        <w:rPr>
          <w:rFonts w:ascii="Arial Narrow" w:hAnsi="Arial Narrow"/>
          <w:sz w:val="24"/>
          <w:szCs w:val="24"/>
        </w:rPr>
        <w:t>услуг ЖКХ</w:t>
      </w:r>
      <w:r>
        <w:rPr>
          <w:rFonts w:ascii="Arial Narrow" w:hAnsi="Arial Narrow"/>
          <w:sz w:val="24"/>
          <w:szCs w:val="24"/>
        </w:rPr>
        <w:t xml:space="preserve">, </w:t>
      </w:r>
      <w:r w:rsidRPr="00794DCA">
        <w:rPr>
          <w:rFonts w:ascii="Arial Narrow" w:hAnsi="Arial Narrow"/>
          <w:sz w:val="24"/>
          <w:szCs w:val="24"/>
        </w:rPr>
        <w:t>услуг социального обслуживания населения</w:t>
      </w:r>
      <w:r>
        <w:rPr>
          <w:rFonts w:ascii="Arial Narrow" w:hAnsi="Arial Narrow"/>
          <w:sz w:val="24"/>
          <w:szCs w:val="24"/>
        </w:rPr>
        <w:t xml:space="preserve"> (отметили менее 10 %). </w:t>
      </w:r>
      <w:r w:rsidRPr="00794DCA">
        <w:rPr>
          <w:rFonts w:ascii="Arial Narrow" w:hAnsi="Arial Narrow"/>
          <w:sz w:val="24"/>
          <w:szCs w:val="24"/>
        </w:rPr>
        <w:t>Покупка технологий, патентов, лицензий, ноу-хау</w:t>
      </w:r>
      <w:r>
        <w:rPr>
          <w:rFonts w:ascii="Arial Narrow" w:hAnsi="Arial Narrow"/>
          <w:sz w:val="24"/>
          <w:szCs w:val="24"/>
        </w:rPr>
        <w:t xml:space="preserve"> мало распространена на рынках </w:t>
      </w:r>
      <w:r w:rsidRPr="00794DCA">
        <w:rPr>
          <w:rFonts w:ascii="Arial Narrow" w:hAnsi="Arial Narrow"/>
          <w:sz w:val="24"/>
          <w:szCs w:val="24"/>
        </w:rPr>
        <w:t>дополнительного образования детей</w:t>
      </w:r>
      <w:r>
        <w:rPr>
          <w:rFonts w:ascii="Arial Narrow" w:hAnsi="Arial Narrow"/>
          <w:sz w:val="24"/>
          <w:szCs w:val="24"/>
        </w:rPr>
        <w:t xml:space="preserve">, </w:t>
      </w:r>
      <w:r w:rsidRPr="00794DCA">
        <w:rPr>
          <w:rFonts w:ascii="Arial Narrow" w:hAnsi="Arial Narrow"/>
          <w:sz w:val="24"/>
          <w:szCs w:val="24"/>
        </w:rPr>
        <w:t>услуг ЖКХ</w:t>
      </w:r>
      <w:r>
        <w:rPr>
          <w:rFonts w:ascii="Arial Narrow" w:hAnsi="Arial Narrow"/>
          <w:sz w:val="24"/>
          <w:szCs w:val="24"/>
        </w:rPr>
        <w:t xml:space="preserve">, </w:t>
      </w:r>
      <w:r w:rsidRPr="00794DCA">
        <w:rPr>
          <w:rFonts w:ascii="Arial Narrow" w:hAnsi="Arial Narrow"/>
          <w:sz w:val="24"/>
          <w:szCs w:val="24"/>
        </w:rPr>
        <w:t>услуг перевозок пассажиров наземным транспортом</w:t>
      </w:r>
      <w:r>
        <w:rPr>
          <w:rFonts w:ascii="Arial Narrow" w:hAnsi="Arial Narrow"/>
          <w:sz w:val="24"/>
          <w:szCs w:val="24"/>
        </w:rPr>
        <w:t xml:space="preserve">, </w:t>
      </w:r>
      <w:r w:rsidRPr="00794DCA">
        <w:rPr>
          <w:rFonts w:ascii="Arial Narrow" w:hAnsi="Arial Narrow"/>
          <w:sz w:val="24"/>
          <w:szCs w:val="24"/>
        </w:rPr>
        <w:t>услуг социального обслуживания населения</w:t>
      </w:r>
      <w:r>
        <w:rPr>
          <w:rFonts w:ascii="Arial Narrow" w:hAnsi="Arial Narrow"/>
          <w:sz w:val="24"/>
          <w:szCs w:val="24"/>
        </w:rPr>
        <w:t xml:space="preserve"> (выбрали менее 10 %) и совершенно отсутствует на рынке </w:t>
      </w:r>
      <w:r w:rsidRPr="00794DCA">
        <w:rPr>
          <w:rFonts w:ascii="Arial Narrow" w:hAnsi="Arial Narrow"/>
          <w:sz w:val="24"/>
          <w:szCs w:val="24"/>
        </w:rPr>
        <w:t>услуг детского отдыха и оздоровления</w:t>
      </w:r>
      <w:r>
        <w:rPr>
          <w:rFonts w:ascii="Arial Narrow" w:hAnsi="Arial Narrow"/>
          <w:sz w:val="24"/>
          <w:szCs w:val="24"/>
        </w:rPr>
        <w:t xml:space="preserve"> (0 %). </w:t>
      </w:r>
      <w:r w:rsidRPr="00993FEB">
        <w:rPr>
          <w:rFonts w:ascii="Arial Narrow" w:hAnsi="Arial Narrow"/>
          <w:sz w:val="24"/>
          <w:szCs w:val="24"/>
        </w:rPr>
        <w:t>Использование новых способов продвижения продукта</w:t>
      </w:r>
      <w:r>
        <w:rPr>
          <w:rFonts w:ascii="Arial Narrow" w:hAnsi="Arial Narrow"/>
          <w:sz w:val="24"/>
          <w:szCs w:val="24"/>
        </w:rPr>
        <w:t xml:space="preserve"> мало популярно на рынке услуг ЖКХ (применяли 8,6 %) и наиболее распространено на рынке </w:t>
      </w:r>
      <w:r w:rsidRPr="00993FEB">
        <w:rPr>
          <w:rFonts w:ascii="Arial Narrow" w:hAnsi="Arial Narrow"/>
          <w:sz w:val="24"/>
          <w:szCs w:val="24"/>
        </w:rPr>
        <w:t>услуг в сфере культуры</w:t>
      </w:r>
      <w:r>
        <w:rPr>
          <w:rFonts w:ascii="Arial Narrow" w:hAnsi="Arial Narrow"/>
          <w:sz w:val="24"/>
          <w:szCs w:val="24"/>
        </w:rPr>
        <w:t xml:space="preserve"> (применяли 40,0 %). </w:t>
      </w:r>
      <w:r w:rsidRPr="00993FEB">
        <w:rPr>
          <w:rFonts w:ascii="Arial Narrow" w:hAnsi="Arial Narrow"/>
          <w:sz w:val="24"/>
          <w:szCs w:val="24"/>
        </w:rPr>
        <w:t>Вывод на рынок новых продуктов</w:t>
      </w:r>
      <w:r>
        <w:rPr>
          <w:rFonts w:ascii="Arial Narrow" w:hAnsi="Arial Narrow"/>
          <w:sz w:val="24"/>
          <w:szCs w:val="24"/>
        </w:rPr>
        <w:t xml:space="preserve"> крайне редко использовали участники рынков </w:t>
      </w:r>
      <w:r w:rsidRPr="00993FEB">
        <w:rPr>
          <w:rFonts w:ascii="Arial Narrow" w:hAnsi="Arial Narrow"/>
          <w:sz w:val="24"/>
          <w:szCs w:val="24"/>
        </w:rPr>
        <w:t>услуг ЖКХ</w:t>
      </w:r>
      <w:r>
        <w:rPr>
          <w:rFonts w:ascii="Arial Narrow" w:hAnsi="Arial Narrow"/>
          <w:sz w:val="24"/>
          <w:szCs w:val="24"/>
        </w:rPr>
        <w:t xml:space="preserve">, </w:t>
      </w:r>
      <w:r w:rsidRPr="00993FEB">
        <w:rPr>
          <w:rFonts w:ascii="Arial Narrow" w:hAnsi="Arial Narrow"/>
          <w:sz w:val="24"/>
          <w:szCs w:val="24"/>
        </w:rPr>
        <w:t>услуг перевозок пассажиров наземным транспортом</w:t>
      </w:r>
      <w:r>
        <w:rPr>
          <w:rFonts w:ascii="Arial Narrow" w:hAnsi="Arial Narrow"/>
          <w:sz w:val="24"/>
          <w:szCs w:val="24"/>
        </w:rPr>
        <w:t xml:space="preserve"> и</w:t>
      </w:r>
      <w:r w:rsidRPr="00993FEB">
        <w:t xml:space="preserve"> </w:t>
      </w:r>
      <w:r w:rsidRPr="00993FEB">
        <w:rPr>
          <w:rFonts w:ascii="Arial Narrow" w:hAnsi="Arial Narrow"/>
          <w:sz w:val="24"/>
          <w:szCs w:val="24"/>
        </w:rPr>
        <w:t>услуг социального обслуживания населения</w:t>
      </w:r>
      <w:r>
        <w:rPr>
          <w:rFonts w:ascii="Arial Narrow" w:hAnsi="Arial Narrow"/>
          <w:sz w:val="24"/>
          <w:szCs w:val="24"/>
        </w:rPr>
        <w:t xml:space="preserve"> (отметили менее 10 %).</w:t>
      </w:r>
    </w:p>
    <w:p w:rsidR="00A64028" w:rsidRPr="000D7D7E" w:rsidRDefault="00A64028" w:rsidP="00BF6DC4">
      <w:pPr>
        <w:spacing w:after="0" w:line="360" w:lineRule="auto"/>
        <w:ind w:firstLine="284"/>
        <w:jc w:val="both"/>
        <w:rPr>
          <w:rFonts w:ascii="Arial Narrow" w:hAnsi="Arial Narrow"/>
          <w:b/>
          <w:sz w:val="24"/>
          <w:highlight w:val="lightGray"/>
        </w:rPr>
      </w:pPr>
      <w:r w:rsidRPr="00993FEB">
        <w:rPr>
          <w:rFonts w:ascii="Arial Narrow" w:hAnsi="Arial Narrow"/>
          <w:b/>
          <w:sz w:val="24"/>
          <w:szCs w:val="24"/>
        </w:rPr>
        <w:t>Не предпринимали</w:t>
      </w:r>
      <w:r>
        <w:rPr>
          <w:rFonts w:ascii="Arial Narrow" w:hAnsi="Arial Narrow"/>
          <w:sz w:val="24"/>
          <w:szCs w:val="24"/>
        </w:rPr>
        <w:t xml:space="preserve"> </w:t>
      </w:r>
      <w:r w:rsidRPr="00993FEB">
        <w:rPr>
          <w:rFonts w:ascii="Arial Narrow" w:hAnsi="Arial Narrow"/>
          <w:b/>
          <w:sz w:val="24"/>
          <w:szCs w:val="24"/>
        </w:rPr>
        <w:t>за 3 года никаких мер по повышению конкурентоспособности</w:t>
      </w:r>
      <w:r>
        <w:rPr>
          <w:rFonts w:ascii="Arial Narrow" w:hAnsi="Arial Narrow"/>
          <w:sz w:val="24"/>
          <w:szCs w:val="24"/>
        </w:rPr>
        <w:t xml:space="preserve"> своих предприятий 23,4 % представителей субъектов предпринимательства. Среди представителей рынка </w:t>
      </w:r>
      <w:r w:rsidRPr="004D46E2">
        <w:rPr>
          <w:rFonts w:ascii="Arial Narrow" w:hAnsi="Arial Narrow"/>
          <w:sz w:val="24"/>
          <w:szCs w:val="24"/>
        </w:rPr>
        <w:t>услуг детского отдыха и оздоровления</w:t>
      </w:r>
      <w:r>
        <w:rPr>
          <w:rFonts w:ascii="Arial Narrow" w:hAnsi="Arial Narrow"/>
          <w:sz w:val="24"/>
          <w:szCs w:val="24"/>
        </w:rPr>
        <w:t xml:space="preserve"> таких 60 %, а среди представителей рынков </w:t>
      </w:r>
      <w:r w:rsidRPr="000B18C2">
        <w:rPr>
          <w:rFonts w:ascii="Arial Narrow" w:hAnsi="Arial Narrow"/>
          <w:sz w:val="24"/>
          <w:szCs w:val="24"/>
        </w:rPr>
        <w:t xml:space="preserve">услуг связи, услуг по сбору, сортировке и переработке твердых коммунальных (бытовых) отходов и услуг дошкольного образования – всего 8–10 %. Активность предприятий на остальных рынках </w:t>
      </w:r>
      <w:r>
        <w:rPr>
          <w:rFonts w:ascii="Arial Narrow" w:hAnsi="Arial Narrow"/>
          <w:sz w:val="24"/>
          <w:szCs w:val="24"/>
        </w:rPr>
        <w:t>за</w:t>
      </w:r>
      <w:r w:rsidRPr="000B18C2">
        <w:rPr>
          <w:rFonts w:ascii="Arial Narrow" w:hAnsi="Arial Narrow"/>
          <w:sz w:val="24"/>
          <w:szCs w:val="24"/>
        </w:rPr>
        <w:t xml:space="preserve"> последние 3 года составила 15,7–45,0 %.</w:t>
      </w:r>
    </w:p>
    <w:p w:rsidR="00BF6DC4" w:rsidRDefault="00BF6DC4" w:rsidP="00103148">
      <w:pPr>
        <w:spacing w:after="0"/>
        <w:rPr>
          <w:rFonts w:ascii="Arial Narrow" w:eastAsia="Calibri" w:hAnsi="Arial Narrow"/>
          <w:sz w:val="24"/>
          <w:szCs w:val="24"/>
        </w:rPr>
      </w:pPr>
    </w:p>
    <w:p w:rsidR="00A64028" w:rsidRDefault="00A64028" w:rsidP="00103148">
      <w:pPr>
        <w:spacing w:after="0"/>
        <w:rPr>
          <w:rFonts w:ascii="Arial Narrow" w:hAnsi="Arial Narrow"/>
          <w:b/>
          <w:sz w:val="24"/>
        </w:rPr>
      </w:pPr>
      <w:r>
        <w:rPr>
          <w:rFonts w:ascii="Arial Narrow" w:eastAsia="Calibri" w:hAnsi="Arial Narrow"/>
          <w:sz w:val="24"/>
          <w:szCs w:val="24"/>
        </w:rPr>
        <w:t xml:space="preserve">Таблица </w:t>
      </w:r>
      <w:r w:rsidR="00262F71">
        <w:rPr>
          <w:rFonts w:ascii="Arial Narrow" w:eastAsia="Calibri" w:hAnsi="Arial Narrow"/>
          <w:sz w:val="24"/>
          <w:szCs w:val="24"/>
        </w:rPr>
        <w:t>7.10.</w:t>
      </w:r>
      <w:r>
        <w:rPr>
          <w:rFonts w:ascii="Arial Narrow" w:eastAsia="Calibri" w:hAnsi="Arial Narrow"/>
          <w:sz w:val="24"/>
          <w:szCs w:val="24"/>
        </w:rPr>
        <w:t xml:space="preserve"> – </w:t>
      </w:r>
      <w:r>
        <w:rPr>
          <w:rFonts w:ascii="Arial Narrow" w:hAnsi="Arial Narrow"/>
          <w:b/>
          <w:sz w:val="24"/>
        </w:rPr>
        <w:t xml:space="preserve">Значение показателя </w:t>
      </w:r>
      <w:r w:rsidRPr="00D50BF0">
        <w:rPr>
          <w:rFonts w:ascii="Arial Narrow" w:hAnsi="Arial Narrow"/>
          <w:b/>
          <w:sz w:val="24"/>
        </w:rPr>
        <w:t>1.1.9.</w:t>
      </w:r>
      <w:r>
        <w:rPr>
          <w:rFonts w:ascii="Arial Narrow" w:hAnsi="Arial Narrow"/>
          <w:b/>
          <w:sz w:val="24"/>
        </w:rPr>
        <w:t xml:space="preserve"> </w:t>
      </w:r>
      <w:r w:rsidRPr="00D50BF0">
        <w:rPr>
          <w:rFonts w:ascii="Arial Narrow" w:hAnsi="Arial Narrow"/>
          <w:b/>
          <w:sz w:val="24"/>
        </w:rPr>
        <w:t>Распространенность мер по повышению конкурентоспособности предприятий за последние 3 года (% от числа опрошенных)</w:t>
      </w:r>
    </w:p>
    <w:tbl>
      <w:tblPr>
        <w:tblW w:w="5129"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65"/>
        <w:gridCol w:w="2045"/>
        <w:gridCol w:w="512"/>
        <w:gridCol w:w="514"/>
        <w:gridCol w:w="515"/>
        <w:gridCol w:w="515"/>
        <w:gridCol w:w="515"/>
        <w:gridCol w:w="762"/>
        <w:gridCol w:w="542"/>
        <w:gridCol w:w="544"/>
        <w:gridCol w:w="515"/>
        <w:gridCol w:w="517"/>
        <w:gridCol w:w="517"/>
        <w:gridCol w:w="517"/>
        <w:gridCol w:w="517"/>
        <w:gridCol w:w="495"/>
      </w:tblGrid>
      <w:tr w:rsidR="00A64028" w:rsidRPr="00455C1E" w:rsidTr="00737E0A">
        <w:trPr>
          <w:cantSplit/>
          <w:trHeight w:val="3666"/>
          <w:tblHeader/>
        </w:trPr>
        <w:tc>
          <w:tcPr>
            <w:tcW w:w="279" w:type="pct"/>
            <w:tcBorders>
              <w:top w:val="single" w:sz="4" w:space="0" w:color="auto"/>
              <w:left w:val="single" w:sz="4" w:space="0" w:color="auto"/>
              <w:bottom w:val="single" w:sz="4" w:space="0" w:color="auto"/>
              <w:right w:val="single" w:sz="4" w:space="0" w:color="auto"/>
            </w:tcBorders>
            <w:noWrap/>
            <w:vAlign w:val="center"/>
            <w:hideMark/>
          </w:tcPr>
          <w:p w:rsidR="00A64028" w:rsidRPr="00455C1E" w:rsidRDefault="00A64028" w:rsidP="00103148">
            <w:pPr>
              <w:spacing w:after="0" w:line="252" w:lineRule="auto"/>
              <w:jc w:val="center"/>
              <w:rPr>
                <w:rFonts w:ascii="Arial Narrow" w:hAnsi="Arial Narrow" w:cs="Arial"/>
              </w:rPr>
            </w:pPr>
            <w:r w:rsidRPr="00455C1E">
              <w:rPr>
                <w:rFonts w:ascii="Arial Narrow" w:hAnsi="Arial Narrow" w:cs="Arial"/>
              </w:rPr>
              <w:t>№</w:t>
            </w:r>
          </w:p>
        </w:tc>
        <w:tc>
          <w:tcPr>
            <w:tcW w:w="101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737E0A">
            <w:pPr>
              <w:spacing w:after="0" w:line="240" w:lineRule="auto"/>
              <w:ind w:left="148" w:right="141"/>
              <w:jc w:val="center"/>
              <w:rPr>
                <w:rFonts w:ascii="Arial Narrow" w:hAnsi="Arial Narrow" w:cs="Arial"/>
                <w:sz w:val="18"/>
                <w:szCs w:val="18"/>
              </w:rPr>
            </w:pPr>
            <w:r w:rsidRPr="00737E0A">
              <w:rPr>
                <w:rFonts w:ascii="Arial Narrow" w:hAnsi="Arial Narrow" w:cs="Arial"/>
                <w:sz w:val="18"/>
                <w:szCs w:val="18"/>
              </w:rPr>
              <w:t>Наименование показателя, единица измерения</w:t>
            </w:r>
          </w:p>
        </w:tc>
        <w:tc>
          <w:tcPr>
            <w:tcW w:w="253" w:type="pct"/>
            <w:tcBorders>
              <w:top w:val="single" w:sz="4" w:space="0" w:color="auto"/>
              <w:left w:val="single" w:sz="4" w:space="0" w:color="auto"/>
              <w:bottom w:val="single" w:sz="4" w:space="0" w:color="auto"/>
              <w:right w:val="single" w:sz="4" w:space="0" w:color="auto"/>
            </w:tcBorders>
            <w:shd w:val="clear" w:color="auto" w:fill="FFFFFF"/>
            <w:textDirection w:val="btLr"/>
            <w:hideMark/>
          </w:tcPr>
          <w:p w:rsidR="00A64028" w:rsidRPr="00737E0A" w:rsidRDefault="00A64028" w:rsidP="00737E0A">
            <w:pPr>
              <w:spacing w:after="0" w:line="240" w:lineRule="auto"/>
              <w:ind w:left="113" w:right="113"/>
              <w:jc w:val="center"/>
              <w:rPr>
                <w:rFonts w:ascii="Arial Narrow" w:hAnsi="Arial Narrow"/>
                <w:sz w:val="18"/>
                <w:szCs w:val="18"/>
              </w:rPr>
            </w:pPr>
            <w:r w:rsidRPr="00737E0A">
              <w:rPr>
                <w:rFonts w:ascii="Arial Narrow" w:hAnsi="Arial Narrow" w:cs="Arial"/>
                <w:sz w:val="18"/>
                <w:szCs w:val="18"/>
              </w:rPr>
              <w:t>Общий по Новосибирской области</w:t>
            </w:r>
          </w:p>
        </w:tc>
        <w:tc>
          <w:tcPr>
            <w:tcW w:w="254"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737E0A" w:rsidRDefault="00A64028" w:rsidP="00737E0A">
            <w:pPr>
              <w:spacing w:after="0" w:line="240" w:lineRule="auto"/>
              <w:ind w:left="113" w:right="113"/>
              <w:jc w:val="center"/>
              <w:rPr>
                <w:rFonts w:ascii="Arial Narrow" w:hAnsi="Arial Narrow"/>
                <w:sz w:val="18"/>
                <w:szCs w:val="18"/>
              </w:rPr>
            </w:pPr>
            <w:r w:rsidRPr="00737E0A">
              <w:rPr>
                <w:rFonts w:ascii="Arial Narrow" w:hAnsi="Arial Narrow"/>
                <w:sz w:val="18"/>
                <w:szCs w:val="18"/>
              </w:rPr>
              <w:t>Рынок услуг дошкольного образования</w:t>
            </w:r>
          </w:p>
        </w:tc>
        <w:tc>
          <w:tcPr>
            <w:tcW w:w="255"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737E0A" w:rsidRDefault="00A64028" w:rsidP="00737E0A">
            <w:pPr>
              <w:spacing w:after="0" w:line="240" w:lineRule="auto"/>
              <w:ind w:left="113" w:right="113"/>
              <w:jc w:val="center"/>
              <w:rPr>
                <w:rFonts w:ascii="Arial Narrow" w:hAnsi="Arial Narrow"/>
                <w:sz w:val="18"/>
                <w:szCs w:val="18"/>
              </w:rPr>
            </w:pPr>
            <w:r w:rsidRPr="00737E0A">
              <w:rPr>
                <w:rFonts w:ascii="Arial Narrow" w:hAnsi="Arial Narrow"/>
                <w:sz w:val="18"/>
                <w:szCs w:val="18"/>
              </w:rPr>
              <w:t>Рынок услуг детского отдыха и оздоровления</w:t>
            </w:r>
          </w:p>
        </w:tc>
        <w:tc>
          <w:tcPr>
            <w:tcW w:w="255"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737E0A" w:rsidRDefault="00A64028" w:rsidP="00737E0A">
            <w:pPr>
              <w:spacing w:after="0" w:line="240" w:lineRule="auto"/>
              <w:ind w:left="113" w:right="113"/>
              <w:jc w:val="center"/>
              <w:rPr>
                <w:rFonts w:ascii="Arial Narrow" w:hAnsi="Arial Narrow"/>
                <w:sz w:val="18"/>
                <w:szCs w:val="18"/>
              </w:rPr>
            </w:pPr>
            <w:r w:rsidRPr="00737E0A">
              <w:rPr>
                <w:rFonts w:ascii="Arial Narrow" w:hAnsi="Arial Narrow"/>
                <w:sz w:val="18"/>
                <w:szCs w:val="18"/>
              </w:rPr>
              <w:t>Рынок дополнительного образования детей</w:t>
            </w:r>
          </w:p>
        </w:tc>
        <w:tc>
          <w:tcPr>
            <w:tcW w:w="255"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737E0A" w:rsidRDefault="00A64028" w:rsidP="00737E0A">
            <w:pPr>
              <w:spacing w:after="0" w:line="240" w:lineRule="auto"/>
              <w:ind w:left="113" w:right="113"/>
              <w:jc w:val="center"/>
              <w:rPr>
                <w:rFonts w:ascii="Arial Narrow" w:hAnsi="Arial Narrow"/>
                <w:sz w:val="18"/>
                <w:szCs w:val="18"/>
              </w:rPr>
            </w:pPr>
            <w:r w:rsidRPr="00737E0A">
              <w:rPr>
                <w:rFonts w:ascii="Arial Narrow" w:hAnsi="Arial Narrow"/>
                <w:sz w:val="18"/>
                <w:szCs w:val="18"/>
              </w:rPr>
              <w:t>Рынок медицинских услуг</w:t>
            </w:r>
          </w:p>
        </w:tc>
        <w:tc>
          <w:tcPr>
            <w:tcW w:w="377"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737E0A" w:rsidRDefault="00A64028" w:rsidP="00737E0A">
            <w:pPr>
              <w:spacing w:after="0" w:line="240" w:lineRule="auto"/>
              <w:ind w:left="113" w:right="113"/>
              <w:jc w:val="center"/>
              <w:rPr>
                <w:rFonts w:ascii="Arial Narrow" w:hAnsi="Arial Narrow"/>
                <w:sz w:val="18"/>
                <w:szCs w:val="18"/>
              </w:rPr>
            </w:pPr>
            <w:r w:rsidRPr="00737E0A">
              <w:rPr>
                <w:rFonts w:ascii="Arial Narrow" w:hAnsi="Arial Narrow"/>
                <w:sz w:val="18"/>
                <w:szCs w:val="18"/>
              </w:rPr>
              <w:t>Рынок услуг психолого-педагогического сопровождения детей с ограниченными возможностями здоровья</w:t>
            </w:r>
          </w:p>
        </w:tc>
        <w:tc>
          <w:tcPr>
            <w:tcW w:w="268"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737E0A" w:rsidRDefault="00A64028" w:rsidP="00737E0A">
            <w:pPr>
              <w:spacing w:after="0" w:line="240" w:lineRule="auto"/>
              <w:ind w:left="113" w:right="113"/>
              <w:jc w:val="center"/>
              <w:rPr>
                <w:rFonts w:ascii="Arial Narrow" w:hAnsi="Arial Narrow"/>
                <w:sz w:val="18"/>
                <w:szCs w:val="18"/>
              </w:rPr>
            </w:pPr>
            <w:r w:rsidRPr="00737E0A">
              <w:rPr>
                <w:rFonts w:ascii="Arial Narrow" w:hAnsi="Arial Narrow"/>
                <w:sz w:val="18"/>
                <w:szCs w:val="18"/>
              </w:rPr>
              <w:t>Рынок услуг в сфере культуры</w:t>
            </w:r>
          </w:p>
        </w:tc>
        <w:tc>
          <w:tcPr>
            <w:tcW w:w="269"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737E0A" w:rsidRDefault="00A64028" w:rsidP="00737E0A">
            <w:pPr>
              <w:spacing w:after="0" w:line="240" w:lineRule="auto"/>
              <w:ind w:left="113" w:right="113"/>
              <w:jc w:val="center"/>
              <w:rPr>
                <w:rFonts w:ascii="Arial Narrow" w:hAnsi="Arial Narrow"/>
                <w:sz w:val="18"/>
                <w:szCs w:val="18"/>
              </w:rPr>
            </w:pPr>
            <w:r w:rsidRPr="00737E0A">
              <w:rPr>
                <w:rFonts w:ascii="Arial Narrow" w:hAnsi="Arial Narrow"/>
                <w:sz w:val="18"/>
                <w:szCs w:val="18"/>
              </w:rPr>
              <w:t>Рынок услуг ЖКХ</w:t>
            </w:r>
          </w:p>
        </w:tc>
        <w:tc>
          <w:tcPr>
            <w:tcW w:w="255"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737E0A" w:rsidRDefault="00A64028" w:rsidP="00737E0A">
            <w:pPr>
              <w:spacing w:after="0" w:line="240" w:lineRule="auto"/>
              <w:ind w:left="113" w:right="113"/>
              <w:jc w:val="center"/>
              <w:rPr>
                <w:rFonts w:ascii="Arial Narrow" w:hAnsi="Arial Narrow"/>
                <w:sz w:val="18"/>
                <w:szCs w:val="18"/>
              </w:rPr>
            </w:pPr>
            <w:r w:rsidRPr="00737E0A">
              <w:rPr>
                <w:rFonts w:ascii="Arial Narrow" w:hAnsi="Arial Narrow"/>
                <w:sz w:val="18"/>
                <w:szCs w:val="18"/>
              </w:rPr>
              <w:t>Розничная торговля</w:t>
            </w:r>
          </w:p>
        </w:tc>
        <w:tc>
          <w:tcPr>
            <w:tcW w:w="256"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737E0A" w:rsidRDefault="00A64028" w:rsidP="00737E0A">
            <w:pPr>
              <w:spacing w:after="0" w:line="240" w:lineRule="auto"/>
              <w:ind w:left="113" w:right="113"/>
              <w:jc w:val="center"/>
              <w:rPr>
                <w:rFonts w:ascii="Arial Narrow" w:hAnsi="Arial Narrow"/>
                <w:sz w:val="18"/>
                <w:szCs w:val="18"/>
              </w:rPr>
            </w:pPr>
            <w:r w:rsidRPr="00737E0A">
              <w:rPr>
                <w:rFonts w:ascii="Arial Narrow" w:hAnsi="Arial Narrow"/>
                <w:sz w:val="18"/>
                <w:szCs w:val="18"/>
              </w:rPr>
              <w:t>Рынок услуг перевозок пассажиров наземным транспортом</w:t>
            </w:r>
          </w:p>
        </w:tc>
        <w:tc>
          <w:tcPr>
            <w:tcW w:w="256"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737E0A" w:rsidRDefault="00A64028" w:rsidP="00737E0A">
            <w:pPr>
              <w:spacing w:after="0" w:line="240" w:lineRule="auto"/>
              <w:ind w:left="113" w:right="113"/>
              <w:jc w:val="center"/>
              <w:rPr>
                <w:rFonts w:ascii="Arial Narrow" w:hAnsi="Arial Narrow"/>
                <w:sz w:val="18"/>
                <w:szCs w:val="18"/>
              </w:rPr>
            </w:pPr>
            <w:r w:rsidRPr="00737E0A">
              <w:rPr>
                <w:rFonts w:ascii="Arial Narrow" w:hAnsi="Arial Narrow"/>
                <w:sz w:val="18"/>
                <w:szCs w:val="18"/>
              </w:rPr>
              <w:t>Рынок услуг связи</w:t>
            </w:r>
          </w:p>
        </w:tc>
        <w:tc>
          <w:tcPr>
            <w:tcW w:w="256"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737E0A" w:rsidRDefault="00A64028" w:rsidP="00737E0A">
            <w:pPr>
              <w:spacing w:after="0" w:line="240" w:lineRule="auto"/>
              <w:ind w:left="113" w:right="113"/>
              <w:jc w:val="center"/>
              <w:rPr>
                <w:rFonts w:ascii="Arial Narrow" w:hAnsi="Arial Narrow"/>
                <w:sz w:val="18"/>
                <w:szCs w:val="18"/>
              </w:rPr>
            </w:pPr>
            <w:r w:rsidRPr="00737E0A">
              <w:rPr>
                <w:rFonts w:ascii="Arial Narrow" w:hAnsi="Arial Narrow"/>
                <w:sz w:val="18"/>
                <w:szCs w:val="18"/>
              </w:rPr>
              <w:t>Рынок услуг социального обслуживания населения</w:t>
            </w:r>
          </w:p>
        </w:tc>
        <w:tc>
          <w:tcPr>
            <w:tcW w:w="256"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737E0A" w:rsidRDefault="00A64028" w:rsidP="00737E0A">
            <w:pPr>
              <w:spacing w:after="0" w:line="240" w:lineRule="auto"/>
              <w:ind w:left="113" w:right="113"/>
              <w:jc w:val="center"/>
              <w:rPr>
                <w:rFonts w:ascii="Arial Narrow" w:hAnsi="Arial Narrow"/>
                <w:sz w:val="18"/>
                <w:szCs w:val="18"/>
              </w:rPr>
            </w:pPr>
            <w:r w:rsidRPr="00737E0A">
              <w:rPr>
                <w:rFonts w:ascii="Arial Narrow" w:hAnsi="Arial Narrow"/>
                <w:sz w:val="18"/>
                <w:szCs w:val="18"/>
              </w:rPr>
              <w:t>Рынок развития, производства, переработки и хранения с/х продукции</w:t>
            </w:r>
          </w:p>
        </w:tc>
        <w:tc>
          <w:tcPr>
            <w:tcW w:w="247"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737E0A" w:rsidRDefault="00A64028" w:rsidP="00737E0A">
            <w:pPr>
              <w:spacing w:after="0" w:line="240" w:lineRule="auto"/>
              <w:ind w:left="113" w:right="113"/>
              <w:jc w:val="center"/>
              <w:rPr>
                <w:rFonts w:ascii="Arial Narrow" w:hAnsi="Arial Narrow"/>
                <w:sz w:val="18"/>
                <w:szCs w:val="18"/>
              </w:rPr>
            </w:pPr>
            <w:r w:rsidRPr="00737E0A">
              <w:rPr>
                <w:rFonts w:ascii="Arial Narrow" w:hAnsi="Arial Narrow"/>
                <w:sz w:val="18"/>
                <w:szCs w:val="18"/>
              </w:rPr>
              <w:t>Рынок услуг по сбору, сортировке и переработке твердых коммунальных (бытовых) отходов</w:t>
            </w:r>
          </w:p>
        </w:tc>
      </w:tr>
      <w:tr w:rsidR="00A64028" w:rsidRPr="00455C1E" w:rsidTr="00737E0A">
        <w:trPr>
          <w:cantSplit/>
          <w:trHeight w:val="20"/>
        </w:trPr>
        <w:tc>
          <w:tcPr>
            <w:tcW w:w="279" w:type="pct"/>
            <w:tcBorders>
              <w:top w:val="single" w:sz="4" w:space="0" w:color="auto"/>
              <w:left w:val="single" w:sz="4" w:space="0" w:color="auto"/>
              <w:bottom w:val="single" w:sz="4" w:space="0" w:color="auto"/>
              <w:right w:val="single" w:sz="4" w:space="0" w:color="auto"/>
            </w:tcBorders>
            <w:noWrap/>
            <w:vAlign w:val="center"/>
            <w:hideMark/>
          </w:tcPr>
          <w:p w:rsidR="00A64028" w:rsidRPr="00455C1E" w:rsidRDefault="00A64028" w:rsidP="00103148">
            <w:pPr>
              <w:spacing w:after="0"/>
              <w:ind w:left="-57" w:right="-57"/>
              <w:jc w:val="both"/>
              <w:rPr>
                <w:rFonts w:ascii="Arial Narrow" w:hAnsi="Arial Narrow"/>
                <w:b/>
              </w:rPr>
            </w:pPr>
            <w:r w:rsidRPr="00455C1E">
              <w:rPr>
                <w:rFonts w:ascii="Arial Narrow" w:hAnsi="Arial Narrow"/>
                <w:b/>
              </w:rPr>
              <w:t>1.1.9.</w:t>
            </w:r>
          </w:p>
        </w:tc>
        <w:tc>
          <w:tcPr>
            <w:tcW w:w="4721" w:type="pct"/>
            <w:gridSpan w:val="15"/>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455C1E" w:rsidRDefault="00A64028" w:rsidP="00103148">
            <w:pPr>
              <w:spacing w:after="0"/>
              <w:ind w:left="-57" w:right="-57"/>
              <w:jc w:val="both"/>
              <w:rPr>
                <w:rFonts w:ascii="Arial Narrow" w:hAnsi="Arial Narrow"/>
                <w:b/>
              </w:rPr>
            </w:pPr>
            <w:r w:rsidRPr="00455C1E">
              <w:rPr>
                <w:rFonts w:ascii="Arial Narrow" w:hAnsi="Arial Narrow"/>
                <w:b/>
              </w:rPr>
              <w:t>Распространенность мер по повышению конкурентоспособности предприятий за последние 3 года (% от числа опрошенных)</w:t>
            </w:r>
          </w:p>
        </w:tc>
      </w:tr>
      <w:tr w:rsidR="00A64028" w:rsidRPr="00F14CA3" w:rsidTr="00737E0A">
        <w:trPr>
          <w:cantSplit/>
          <w:trHeight w:val="20"/>
        </w:trPr>
        <w:tc>
          <w:tcPr>
            <w:tcW w:w="279" w:type="pct"/>
            <w:tcBorders>
              <w:top w:val="single" w:sz="4" w:space="0" w:color="auto"/>
              <w:left w:val="single" w:sz="4" w:space="0" w:color="auto"/>
              <w:bottom w:val="single" w:sz="4" w:space="0" w:color="auto"/>
              <w:right w:val="single" w:sz="4" w:space="0" w:color="auto"/>
            </w:tcBorders>
            <w:noWrap/>
            <w:vAlign w:val="bottom"/>
            <w:hideMark/>
          </w:tcPr>
          <w:p w:rsidR="00A64028" w:rsidRPr="00F14CA3" w:rsidRDefault="00A64028" w:rsidP="00103148">
            <w:pPr>
              <w:spacing w:after="0"/>
              <w:ind w:left="-57" w:right="-57"/>
              <w:rPr>
                <w:rFonts w:ascii="Calibri" w:hAnsi="Calibri"/>
                <w:sz w:val="20"/>
                <w:szCs w:val="20"/>
              </w:rPr>
            </w:pPr>
            <w:r w:rsidRPr="00F14CA3">
              <w:rPr>
                <w:rFonts w:ascii="Calibri" w:hAnsi="Calibri"/>
                <w:sz w:val="20"/>
                <w:szCs w:val="20"/>
              </w:rPr>
              <w:t> </w:t>
            </w:r>
          </w:p>
        </w:tc>
        <w:tc>
          <w:tcPr>
            <w:tcW w:w="101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363A76">
            <w:pPr>
              <w:spacing w:after="0"/>
              <w:ind w:left="-72" w:right="-55"/>
              <w:rPr>
                <w:rFonts w:ascii="Arial Narrow" w:hAnsi="Arial Narrow"/>
                <w:sz w:val="20"/>
                <w:szCs w:val="20"/>
              </w:rPr>
            </w:pPr>
            <w:r w:rsidRPr="00F14CA3">
              <w:rPr>
                <w:rFonts w:ascii="Arial Narrow" w:hAnsi="Arial Narrow"/>
                <w:sz w:val="20"/>
                <w:szCs w:val="20"/>
              </w:rPr>
              <w:t>Покупка машин и оборудования, %</w:t>
            </w:r>
          </w:p>
        </w:tc>
        <w:tc>
          <w:tcPr>
            <w:tcW w:w="25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19,7%</w:t>
            </w:r>
          </w:p>
        </w:tc>
        <w:tc>
          <w:tcPr>
            <w:tcW w:w="2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20,0%</w:t>
            </w:r>
          </w:p>
        </w:tc>
        <w:tc>
          <w:tcPr>
            <w:tcW w:w="25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40,0%</w:t>
            </w:r>
          </w:p>
        </w:tc>
        <w:tc>
          <w:tcPr>
            <w:tcW w:w="25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4,0%</w:t>
            </w:r>
          </w:p>
        </w:tc>
        <w:tc>
          <w:tcPr>
            <w:tcW w:w="25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22,9%</w:t>
            </w:r>
          </w:p>
        </w:tc>
        <w:tc>
          <w:tcPr>
            <w:tcW w:w="3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8,0%</w:t>
            </w:r>
          </w:p>
        </w:tc>
        <w:tc>
          <w:tcPr>
            <w:tcW w:w="26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16,0%</w:t>
            </w:r>
          </w:p>
        </w:tc>
        <w:tc>
          <w:tcPr>
            <w:tcW w:w="26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8,6%</w:t>
            </w:r>
          </w:p>
        </w:tc>
        <w:tc>
          <w:tcPr>
            <w:tcW w:w="25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12,2%</w:t>
            </w:r>
          </w:p>
        </w:tc>
        <w:tc>
          <w:tcPr>
            <w:tcW w:w="25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35,0%</w:t>
            </w:r>
          </w:p>
        </w:tc>
        <w:tc>
          <w:tcPr>
            <w:tcW w:w="25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32,0%</w:t>
            </w:r>
          </w:p>
        </w:tc>
        <w:tc>
          <w:tcPr>
            <w:tcW w:w="25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4,0%</w:t>
            </w:r>
          </w:p>
        </w:tc>
        <w:tc>
          <w:tcPr>
            <w:tcW w:w="25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46,0%</w:t>
            </w:r>
          </w:p>
        </w:tc>
        <w:tc>
          <w:tcPr>
            <w:tcW w:w="24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60,0%</w:t>
            </w:r>
          </w:p>
        </w:tc>
      </w:tr>
      <w:tr w:rsidR="00A64028" w:rsidRPr="00F14CA3" w:rsidTr="00737E0A">
        <w:trPr>
          <w:cantSplit/>
          <w:trHeight w:val="20"/>
        </w:trPr>
        <w:tc>
          <w:tcPr>
            <w:tcW w:w="279" w:type="pct"/>
            <w:tcBorders>
              <w:top w:val="single" w:sz="4" w:space="0" w:color="auto"/>
              <w:left w:val="single" w:sz="4" w:space="0" w:color="auto"/>
              <w:bottom w:val="single" w:sz="4" w:space="0" w:color="auto"/>
              <w:right w:val="single" w:sz="4" w:space="0" w:color="auto"/>
            </w:tcBorders>
            <w:noWrap/>
            <w:vAlign w:val="bottom"/>
            <w:hideMark/>
          </w:tcPr>
          <w:p w:rsidR="00A64028" w:rsidRPr="00F14CA3" w:rsidRDefault="00A64028" w:rsidP="00103148">
            <w:pPr>
              <w:spacing w:after="0"/>
              <w:ind w:left="-57" w:right="-57"/>
              <w:rPr>
                <w:rFonts w:ascii="Calibri" w:hAnsi="Calibri"/>
                <w:sz w:val="20"/>
                <w:szCs w:val="20"/>
              </w:rPr>
            </w:pPr>
            <w:r w:rsidRPr="00F14CA3">
              <w:rPr>
                <w:rFonts w:ascii="Calibri" w:hAnsi="Calibri"/>
                <w:sz w:val="20"/>
                <w:szCs w:val="20"/>
              </w:rPr>
              <w:t> </w:t>
            </w:r>
          </w:p>
        </w:tc>
        <w:tc>
          <w:tcPr>
            <w:tcW w:w="101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363A76">
            <w:pPr>
              <w:spacing w:after="0"/>
              <w:ind w:left="-72" w:right="-55"/>
              <w:rPr>
                <w:rFonts w:ascii="Arial Narrow" w:hAnsi="Arial Narrow"/>
                <w:sz w:val="20"/>
                <w:szCs w:val="20"/>
              </w:rPr>
            </w:pPr>
            <w:r w:rsidRPr="00F14CA3">
              <w:rPr>
                <w:rFonts w:ascii="Arial Narrow" w:hAnsi="Arial Narrow"/>
                <w:sz w:val="20"/>
                <w:szCs w:val="20"/>
              </w:rPr>
              <w:t>Покупка технологий, патентов, лицензий, ноу-хау, %</w:t>
            </w:r>
          </w:p>
        </w:tc>
        <w:tc>
          <w:tcPr>
            <w:tcW w:w="25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13,4%</w:t>
            </w:r>
          </w:p>
        </w:tc>
        <w:tc>
          <w:tcPr>
            <w:tcW w:w="2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20,0%</w:t>
            </w:r>
          </w:p>
        </w:tc>
        <w:tc>
          <w:tcPr>
            <w:tcW w:w="25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0,0%</w:t>
            </w:r>
          </w:p>
        </w:tc>
        <w:tc>
          <w:tcPr>
            <w:tcW w:w="25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4,0%</w:t>
            </w:r>
          </w:p>
        </w:tc>
        <w:tc>
          <w:tcPr>
            <w:tcW w:w="25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21,4%</w:t>
            </w:r>
          </w:p>
        </w:tc>
        <w:tc>
          <w:tcPr>
            <w:tcW w:w="3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12,0%</w:t>
            </w:r>
          </w:p>
        </w:tc>
        <w:tc>
          <w:tcPr>
            <w:tcW w:w="26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12,0%</w:t>
            </w:r>
          </w:p>
        </w:tc>
        <w:tc>
          <w:tcPr>
            <w:tcW w:w="26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5,7%</w:t>
            </w:r>
          </w:p>
        </w:tc>
        <w:tc>
          <w:tcPr>
            <w:tcW w:w="25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10,0%</w:t>
            </w:r>
          </w:p>
        </w:tc>
        <w:tc>
          <w:tcPr>
            <w:tcW w:w="25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3,3%</w:t>
            </w:r>
          </w:p>
        </w:tc>
        <w:tc>
          <w:tcPr>
            <w:tcW w:w="25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24,0%</w:t>
            </w:r>
          </w:p>
        </w:tc>
        <w:tc>
          <w:tcPr>
            <w:tcW w:w="25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8,0%</w:t>
            </w:r>
          </w:p>
        </w:tc>
        <w:tc>
          <w:tcPr>
            <w:tcW w:w="25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23,0%</w:t>
            </w:r>
          </w:p>
        </w:tc>
        <w:tc>
          <w:tcPr>
            <w:tcW w:w="24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20,0%</w:t>
            </w:r>
          </w:p>
        </w:tc>
      </w:tr>
      <w:tr w:rsidR="00A64028" w:rsidRPr="00F14CA3" w:rsidTr="00737E0A">
        <w:trPr>
          <w:cantSplit/>
          <w:trHeight w:val="20"/>
        </w:trPr>
        <w:tc>
          <w:tcPr>
            <w:tcW w:w="279" w:type="pct"/>
            <w:tcBorders>
              <w:top w:val="single" w:sz="4" w:space="0" w:color="auto"/>
              <w:left w:val="single" w:sz="4" w:space="0" w:color="auto"/>
              <w:bottom w:val="single" w:sz="4" w:space="0" w:color="auto"/>
              <w:right w:val="single" w:sz="4" w:space="0" w:color="auto"/>
            </w:tcBorders>
            <w:noWrap/>
            <w:vAlign w:val="bottom"/>
            <w:hideMark/>
          </w:tcPr>
          <w:p w:rsidR="00A64028" w:rsidRPr="00F14CA3" w:rsidRDefault="00A64028" w:rsidP="00103148">
            <w:pPr>
              <w:spacing w:after="0"/>
              <w:ind w:left="-57" w:right="-57"/>
              <w:rPr>
                <w:rFonts w:ascii="Calibri" w:hAnsi="Calibri"/>
                <w:sz w:val="20"/>
                <w:szCs w:val="20"/>
              </w:rPr>
            </w:pPr>
            <w:r w:rsidRPr="00F14CA3">
              <w:rPr>
                <w:rFonts w:ascii="Calibri" w:hAnsi="Calibri"/>
                <w:sz w:val="20"/>
                <w:szCs w:val="20"/>
              </w:rPr>
              <w:t> </w:t>
            </w:r>
          </w:p>
        </w:tc>
        <w:tc>
          <w:tcPr>
            <w:tcW w:w="101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363A76">
            <w:pPr>
              <w:spacing w:after="0"/>
              <w:ind w:left="-72" w:right="-55"/>
              <w:rPr>
                <w:rFonts w:ascii="Arial Narrow" w:hAnsi="Arial Narrow"/>
                <w:sz w:val="20"/>
                <w:szCs w:val="20"/>
              </w:rPr>
            </w:pPr>
            <w:r w:rsidRPr="00F14CA3">
              <w:rPr>
                <w:rFonts w:ascii="Arial Narrow" w:hAnsi="Arial Narrow"/>
                <w:sz w:val="20"/>
                <w:szCs w:val="20"/>
              </w:rPr>
              <w:t>Использование новых способов продвижения продукта, %</w:t>
            </w:r>
          </w:p>
        </w:tc>
        <w:tc>
          <w:tcPr>
            <w:tcW w:w="25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19,8%</w:t>
            </w:r>
          </w:p>
        </w:tc>
        <w:tc>
          <w:tcPr>
            <w:tcW w:w="2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10,0%</w:t>
            </w:r>
          </w:p>
        </w:tc>
        <w:tc>
          <w:tcPr>
            <w:tcW w:w="25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20,0%</w:t>
            </w:r>
          </w:p>
        </w:tc>
        <w:tc>
          <w:tcPr>
            <w:tcW w:w="25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32,0%</w:t>
            </w:r>
          </w:p>
        </w:tc>
        <w:tc>
          <w:tcPr>
            <w:tcW w:w="25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15,7%</w:t>
            </w:r>
          </w:p>
        </w:tc>
        <w:tc>
          <w:tcPr>
            <w:tcW w:w="3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12,0%</w:t>
            </w:r>
          </w:p>
        </w:tc>
        <w:tc>
          <w:tcPr>
            <w:tcW w:w="26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40,0%</w:t>
            </w:r>
          </w:p>
        </w:tc>
        <w:tc>
          <w:tcPr>
            <w:tcW w:w="26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8,6%</w:t>
            </w:r>
          </w:p>
        </w:tc>
        <w:tc>
          <w:tcPr>
            <w:tcW w:w="25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28,3%</w:t>
            </w:r>
          </w:p>
        </w:tc>
        <w:tc>
          <w:tcPr>
            <w:tcW w:w="25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18,3%</w:t>
            </w:r>
          </w:p>
        </w:tc>
        <w:tc>
          <w:tcPr>
            <w:tcW w:w="25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16,0%</w:t>
            </w:r>
          </w:p>
        </w:tc>
        <w:tc>
          <w:tcPr>
            <w:tcW w:w="25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12,0%</w:t>
            </w:r>
          </w:p>
        </w:tc>
        <w:tc>
          <w:tcPr>
            <w:tcW w:w="25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19,0%</w:t>
            </w:r>
          </w:p>
        </w:tc>
        <w:tc>
          <w:tcPr>
            <w:tcW w:w="24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20,0%</w:t>
            </w:r>
          </w:p>
        </w:tc>
      </w:tr>
      <w:tr w:rsidR="00A64028" w:rsidRPr="00F14CA3" w:rsidTr="00737E0A">
        <w:trPr>
          <w:cantSplit/>
          <w:trHeight w:val="20"/>
        </w:trPr>
        <w:tc>
          <w:tcPr>
            <w:tcW w:w="279" w:type="pct"/>
            <w:tcBorders>
              <w:top w:val="single" w:sz="4" w:space="0" w:color="auto"/>
              <w:left w:val="single" w:sz="4" w:space="0" w:color="auto"/>
              <w:bottom w:val="single" w:sz="4" w:space="0" w:color="auto"/>
              <w:right w:val="single" w:sz="4" w:space="0" w:color="auto"/>
            </w:tcBorders>
            <w:noWrap/>
            <w:vAlign w:val="bottom"/>
            <w:hideMark/>
          </w:tcPr>
          <w:p w:rsidR="00A64028" w:rsidRPr="00F14CA3" w:rsidRDefault="00A64028" w:rsidP="00103148">
            <w:pPr>
              <w:spacing w:after="0"/>
              <w:ind w:left="-57" w:right="-57"/>
              <w:rPr>
                <w:rFonts w:ascii="Calibri" w:hAnsi="Calibri"/>
                <w:sz w:val="20"/>
                <w:szCs w:val="20"/>
              </w:rPr>
            </w:pPr>
            <w:r w:rsidRPr="00F14CA3">
              <w:rPr>
                <w:rFonts w:ascii="Calibri" w:hAnsi="Calibri"/>
                <w:sz w:val="20"/>
                <w:szCs w:val="20"/>
              </w:rPr>
              <w:t> </w:t>
            </w:r>
          </w:p>
        </w:tc>
        <w:tc>
          <w:tcPr>
            <w:tcW w:w="101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363A76">
            <w:pPr>
              <w:spacing w:after="0"/>
              <w:ind w:left="-72" w:right="-55"/>
              <w:rPr>
                <w:rFonts w:ascii="Arial Narrow" w:hAnsi="Arial Narrow"/>
                <w:sz w:val="20"/>
                <w:szCs w:val="20"/>
              </w:rPr>
            </w:pPr>
            <w:r w:rsidRPr="00F14CA3">
              <w:rPr>
                <w:rFonts w:ascii="Arial Narrow" w:hAnsi="Arial Narrow"/>
                <w:sz w:val="20"/>
                <w:szCs w:val="20"/>
              </w:rPr>
              <w:t>Обучение персонала, %</w:t>
            </w:r>
          </w:p>
        </w:tc>
        <w:tc>
          <w:tcPr>
            <w:tcW w:w="25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31,3%</w:t>
            </w:r>
          </w:p>
        </w:tc>
        <w:tc>
          <w:tcPr>
            <w:tcW w:w="2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60,0%</w:t>
            </w:r>
          </w:p>
        </w:tc>
        <w:tc>
          <w:tcPr>
            <w:tcW w:w="25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20,0%</w:t>
            </w:r>
          </w:p>
        </w:tc>
        <w:tc>
          <w:tcPr>
            <w:tcW w:w="25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28,0%</w:t>
            </w:r>
          </w:p>
        </w:tc>
        <w:tc>
          <w:tcPr>
            <w:tcW w:w="25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57,1%</w:t>
            </w:r>
          </w:p>
        </w:tc>
        <w:tc>
          <w:tcPr>
            <w:tcW w:w="3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52,0%</w:t>
            </w:r>
          </w:p>
        </w:tc>
        <w:tc>
          <w:tcPr>
            <w:tcW w:w="26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16,0%</w:t>
            </w:r>
          </w:p>
        </w:tc>
        <w:tc>
          <w:tcPr>
            <w:tcW w:w="26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27,1%</w:t>
            </w:r>
          </w:p>
        </w:tc>
        <w:tc>
          <w:tcPr>
            <w:tcW w:w="25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24,4%</w:t>
            </w:r>
          </w:p>
        </w:tc>
        <w:tc>
          <w:tcPr>
            <w:tcW w:w="25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25,0%</w:t>
            </w:r>
          </w:p>
        </w:tc>
        <w:tc>
          <w:tcPr>
            <w:tcW w:w="25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48,0%</w:t>
            </w:r>
          </w:p>
        </w:tc>
        <w:tc>
          <w:tcPr>
            <w:tcW w:w="25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40,0%</w:t>
            </w:r>
          </w:p>
        </w:tc>
        <w:tc>
          <w:tcPr>
            <w:tcW w:w="25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18,0%</w:t>
            </w:r>
          </w:p>
        </w:tc>
        <w:tc>
          <w:tcPr>
            <w:tcW w:w="24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20,0%</w:t>
            </w:r>
          </w:p>
        </w:tc>
      </w:tr>
    </w:tbl>
    <w:p w:rsidR="00737E0A" w:rsidRDefault="00737E0A"/>
    <w:p w:rsidR="00737E0A" w:rsidRPr="00737E0A" w:rsidRDefault="00737E0A" w:rsidP="00737E0A">
      <w:pPr>
        <w:spacing w:after="0" w:line="240" w:lineRule="auto"/>
        <w:jc w:val="right"/>
        <w:rPr>
          <w:rFonts w:ascii="Arial Narrow" w:hAnsi="Arial Narrow"/>
          <w:sz w:val="24"/>
          <w:szCs w:val="24"/>
        </w:rPr>
      </w:pPr>
      <w:r w:rsidRPr="004865F9">
        <w:rPr>
          <w:rFonts w:ascii="Arial Narrow" w:hAnsi="Arial Narrow"/>
          <w:sz w:val="24"/>
          <w:szCs w:val="24"/>
        </w:rPr>
        <w:lastRenderedPageBreak/>
        <w:t xml:space="preserve">Продолжение Таблицы </w:t>
      </w:r>
      <w:r>
        <w:rPr>
          <w:rFonts w:ascii="Arial Narrow" w:hAnsi="Arial Narrow"/>
          <w:sz w:val="24"/>
          <w:szCs w:val="24"/>
        </w:rPr>
        <w:t>7.10</w:t>
      </w:r>
    </w:p>
    <w:tbl>
      <w:tblPr>
        <w:tblW w:w="5129"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65"/>
        <w:gridCol w:w="2045"/>
        <w:gridCol w:w="512"/>
        <w:gridCol w:w="514"/>
        <w:gridCol w:w="515"/>
        <w:gridCol w:w="515"/>
        <w:gridCol w:w="515"/>
        <w:gridCol w:w="762"/>
        <w:gridCol w:w="542"/>
        <w:gridCol w:w="544"/>
        <w:gridCol w:w="515"/>
        <w:gridCol w:w="517"/>
        <w:gridCol w:w="517"/>
        <w:gridCol w:w="517"/>
        <w:gridCol w:w="517"/>
        <w:gridCol w:w="495"/>
      </w:tblGrid>
      <w:tr w:rsidR="00A64028" w:rsidRPr="00F14CA3" w:rsidTr="00737E0A">
        <w:trPr>
          <w:cantSplit/>
          <w:trHeight w:val="20"/>
        </w:trPr>
        <w:tc>
          <w:tcPr>
            <w:tcW w:w="279" w:type="pct"/>
            <w:tcBorders>
              <w:top w:val="single" w:sz="4" w:space="0" w:color="auto"/>
              <w:left w:val="single" w:sz="4" w:space="0" w:color="auto"/>
              <w:bottom w:val="single" w:sz="4" w:space="0" w:color="auto"/>
              <w:right w:val="single" w:sz="4" w:space="0" w:color="auto"/>
            </w:tcBorders>
            <w:noWrap/>
            <w:vAlign w:val="bottom"/>
            <w:hideMark/>
          </w:tcPr>
          <w:p w:rsidR="00A64028" w:rsidRPr="00F14CA3" w:rsidRDefault="00A64028" w:rsidP="00103148">
            <w:pPr>
              <w:spacing w:after="0"/>
              <w:ind w:left="-57" w:right="-57"/>
              <w:rPr>
                <w:rFonts w:ascii="Calibri" w:hAnsi="Calibri"/>
                <w:sz w:val="20"/>
                <w:szCs w:val="20"/>
              </w:rPr>
            </w:pPr>
            <w:r w:rsidRPr="00F14CA3">
              <w:rPr>
                <w:rFonts w:ascii="Calibri" w:hAnsi="Calibri"/>
                <w:sz w:val="20"/>
                <w:szCs w:val="20"/>
              </w:rPr>
              <w:t> </w:t>
            </w:r>
          </w:p>
        </w:tc>
        <w:tc>
          <w:tcPr>
            <w:tcW w:w="101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363A76">
            <w:pPr>
              <w:spacing w:after="0"/>
              <w:ind w:left="-72" w:right="-55"/>
              <w:rPr>
                <w:rFonts w:ascii="Arial Narrow" w:hAnsi="Arial Narrow"/>
                <w:sz w:val="20"/>
                <w:szCs w:val="20"/>
              </w:rPr>
            </w:pPr>
            <w:r w:rsidRPr="00F14CA3">
              <w:rPr>
                <w:rFonts w:ascii="Arial Narrow" w:hAnsi="Arial Narrow"/>
                <w:sz w:val="20"/>
                <w:szCs w:val="20"/>
              </w:rPr>
              <w:t>Развитие и расширение системы представительств, %</w:t>
            </w:r>
          </w:p>
        </w:tc>
        <w:tc>
          <w:tcPr>
            <w:tcW w:w="25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6,6%</w:t>
            </w:r>
          </w:p>
        </w:tc>
        <w:tc>
          <w:tcPr>
            <w:tcW w:w="2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0,0%</w:t>
            </w:r>
          </w:p>
        </w:tc>
        <w:tc>
          <w:tcPr>
            <w:tcW w:w="25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0,0%</w:t>
            </w:r>
          </w:p>
        </w:tc>
        <w:tc>
          <w:tcPr>
            <w:tcW w:w="25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4,0%</w:t>
            </w:r>
          </w:p>
        </w:tc>
        <w:tc>
          <w:tcPr>
            <w:tcW w:w="25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10,0%</w:t>
            </w:r>
          </w:p>
        </w:tc>
        <w:tc>
          <w:tcPr>
            <w:tcW w:w="3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0,0%</w:t>
            </w:r>
          </w:p>
        </w:tc>
        <w:tc>
          <w:tcPr>
            <w:tcW w:w="26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12,0%</w:t>
            </w:r>
          </w:p>
        </w:tc>
        <w:tc>
          <w:tcPr>
            <w:tcW w:w="26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4,3%</w:t>
            </w:r>
          </w:p>
        </w:tc>
        <w:tc>
          <w:tcPr>
            <w:tcW w:w="25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1,7%</w:t>
            </w:r>
          </w:p>
        </w:tc>
        <w:tc>
          <w:tcPr>
            <w:tcW w:w="25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6,7%</w:t>
            </w:r>
          </w:p>
        </w:tc>
        <w:tc>
          <w:tcPr>
            <w:tcW w:w="25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16,0%</w:t>
            </w:r>
          </w:p>
        </w:tc>
        <w:tc>
          <w:tcPr>
            <w:tcW w:w="25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0,0%</w:t>
            </w:r>
          </w:p>
        </w:tc>
        <w:tc>
          <w:tcPr>
            <w:tcW w:w="25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13,0%</w:t>
            </w:r>
          </w:p>
        </w:tc>
        <w:tc>
          <w:tcPr>
            <w:tcW w:w="24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10,0%</w:t>
            </w:r>
          </w:p>
        </w:tc>
      </w:tr>
      <w:tr w:rsidR="00A64028" w:rsidRPr="00F14CA3" w:rsidTr="00737E0A">
        <w:trPr>
          <w:cantSplit/>
          <w:trHeight w:val="20"/>
        </w:trPr>
        <w:tc>
          <w:tcPr>
            <w:tcW w:w="279" w:type="pct"/>
            <w:tcBorders>
              <w:top w:val="single" w:sz="4" w:space="0" w:color="auto"/>
              <w:left w:val="single" w:sz="4" w:space="0" w:color="auto"/>
              <w:bottom w:val="single" w:sz="4" w:space="0" w:color="auto"/>
              <w:right w:val="single" w:sz="4" w:space="0" w:color="auto"/>
            </w:tcBorders>
            <w:noWrap/>
            <w:vAlign w:val="bottom"/>
            <w:hideMark/>
          </w:tcPr>
          <w:p w:rsidR="00A64028" w:rsidRPr="00F14CA3" w:rsidRDefault="00A64028" w:rsidP="00103148">
            <w:pPr>
              <w:spacing w:after="0"/>
              <w:ind w:left="-57" w:right="-57"/>
              <w:rPr>
                <w:rFonts w:ascii="Calibri" w:hAnsi="Calibri"/>
                <w:sz w:val="20"/>
                <w:szCs w:val="20"/>
              </w:rPr>
            </w:pPr>
            <w:r w:rsidRPr="00F14CA3">
              <w:rPr>
                <w:rFonts w:ascii="Calibri" w:hAnsi="Calibri"/>
                <w:sz w:val="20"/>
                <w:szCs w:val="20"/>
              </w:rPr>
              <w:t> </w:t>
            </w:r>
          </w:p>
        </w:tc>
        <w:tc>
          <w:tcPr>
            <w:tcW w:w="101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363A76">
            <w:pPr>
              <w:spacing w:after="0"/>
              <w:ind w:left="-72" w:right="-55"/>
              <w:rPr>
                <w:rFonts w:ascii="Arial Narrow" w:hAnsi="Arial Narrow"/>
                <w:sz w:val="20"/>
                <w:szCs w:val="20"/>
              </w:rPr>
            </w:pPr>
            <w:r w:rsidRPr="00F14CA3">
              <w:rPr>
                <w:rFonts w:ascii="Arial Narrow" w:hAnsi="Arial Narrow"/>
                <w:sz w:val="20"/>
                <w:szCs w:val="20"/>
              </w:rPr>
              <w:t>Вывод на рынок новых продуктов, %</w:t>
            </w:r>
          </w:p>
        </w:tc>
        <w:tc>
          <w:tcPr>
            <w:tcW w:w="25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18,8%</w:t>
            </w:r>
          </w:p>
        </w:tc>
        <w:tc>
          <w:tcPr>
            <w:tcW w:w="2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20,0%</w:t>
            </w:r>
          </w:p>
        </w:tc>
        <w:tc>
          <w:tcPr>
            <w:tcW w:w="25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20,0%</w:t>
            </w:r>
          </w:p>
        </w:tc>
        <w:tc>
          <w:tcPr>
            <w:tcW w:w="25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16,0%</w:t>
            </w:r>
          </w:p>
        </w:tc>
        <w:tc>
          <w:tcPr>
            <w:tcW w:w="25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20,0%</w:t>
            </w:r>
          </w:p>
        </w:tc>
        <w:tc>
          <w:tcPr>
            <w:tcW w:w="3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20,0%</w:t>
            </w:r>
          </w:p>
        </w:tc>
        <w:tc>
          <w:tcPr>
            <w:tcW w:w="26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32,0%</w:t>
            </w:r>
          </w:p>
        </w:tc>
        <w:tc>
          <w:tcPr>
            <w:tcW w:w="26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2,9%</w:t>
            </w:r>
          </w:p>
        </w:tc>
        <w:tc>
          <w:tcPr>
            <w:tcW w:w="25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25,6%</w:t>
            </w:r>
          </w:p>
        </w:tc>
        <w:tc>
          <w:tcPr>
            <w:tcW w:w="25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6,7%</w:t>
            </w:r>
          </w:p>
        </w:tc>
        <w:tc>
          <w:tcPr>
            <w:tcW w:w="25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16,0%</w:t>
            </w:r>
          </w:p>
        </w:tc>
        <w:tc>
          <w:tcPr>
            <w:tcW w:w="25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8,0%</w:t>
            </w:r>
          </w:p>
        </w:tc>
        <w:tc>
          <w:tcPr>
            <w:tcW w:w="25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25,0%</w:t>
            </w:r>
          </w:p>
        </w:tc>
        <w:tc>
          <w:tcPr>
            <w:tcW w:w="24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10,0%</w:t>
            </w:r>
          </w:p>
        </w:tc>
      </w:tr>
      <w:tr w:rsidR="00A64028" w:rsidRPr="00F14CA3" w:rsidTr="00737E0A">
        <w:trPr>
          <w:cantSplit/>
          <w:trHeight w:val="20"/>
        </w:trPr>
        <w:tc>
          <w:tcPr>
            <w:tcW w:w="279" w:type="pct"/>
            <w:tcBorders>
              <w:top w:val="single" w:sz="4" w:space="0" w:color="auto"/>
              <w:left w:val="single" w:sz="4" w:space="0" w:color="auto"/>
              <w:bottom w:val="single" w:sz="4" w:space="0" w:color="auto"/>
              <w:right w:val="single" w:sz="4" w:space="0" w:color="auto"/>
            </w:tcBorders>
            <w:noWrap/>
            <w:vAlign w:val="bottom"/>
            <w:hideMark/>
          </w:tcPr>
          <w:p w:rsidR="00A64028" w:rsidRPr="00F14CA3" w:rsidRDefault="00A64028" w:rsidP="00103148">
            <w:pPr>
              <w:spacing w:after="0"/>
              <w:ind w:left="-57" w:right="-57"/>
              <w:rPr>
                <w:rFonts w:ascii="Calibri" w:hAnsi="Calibri"/>
                <w:sz w:val="20"/>
                <w:szCs w:val="20"/>
              </w:rPr>
            </w:pPr>
            <w:r w:rsidRPr="00F14CA3">
              <w:rPr>
                <w:rFonts w:ascii="Calibri" w:hAnsi="Calibri"/>
                <w:sz w:val="20"/>
                <w:szCs w:val="20"/>
              </w:rPr>
              <w:t> </w:t>
            </w:r>
          </w:p>
        </w:tc>
        <w:tc>
          <w:tcPr>
            <w:tcW w:w="101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363A76">
            <w:pPr>
              <w:spacing w:after="0"/>
              <w:ind w:left="-72" w:right="-55"/>
              <w:rPr>
                <w:rFonts w:ascii="Arial Narrow" w:hAnsi="Arial Narrow"/>
                <w:sz w:val="20"/>
                <w:szCs w:val="20"/>
              </w:rPr>
            </w:pPr>
            <w:r w:rsidRPr="00F14CA3">
              <w:rPr>
                <w:rFonts w:ascii="Arial Narrow" w:hAnsi="Arial Narrow"/>
                <w:sz w:val="20"/>
                <w:szCs w:val="20"/>
              </w:rPr>
              <w:t>Ничего не предпринимал для повышения конкурентоспособности, %</w:t>
            </w:r>
          </w:p>
        </w:tc>
        <w:tc>
          <w:tcPr>
            <w:tcW w:w="25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23,4%</w:t>
            </w:r>
          </w:p>
        </w:tc>
        <w:tc>
          <w:tcPr>
            <w:tcW w:w="2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10,0%</w:t>
            </w:r>
          </w:p>
        </w:tc>
        <w:tc>
          <w:tcPr>
            <w:tcW w:w="25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60,0%</w:t>
            </w:r>
          </w:p>
        </w:tc>
        <w:tc>
          <w:tcPr>
            <w:tcW w:w="25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20,0%</w:t>
            </w:r>
          </w:p>
        </w:tc>
        <w:tc>
          <w:tcPr>
            <w:tcW w:w="25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15,7%</w:t>
            </w:r>
          </w:p>
        </w:tc>
        <w:tc>
          <w:tcPr>
            <w:tcW w:w="3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44,0%</w:t>
            </w:r>
          </w:p>
        </w:tc>
        <w:tc>
          <w:tcPr>
            <w:tcW w:w="26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16,0%</w:t>
            </w:r>
          </w:p>
        </w:tc>
        <w:tc>
          <w:tcPr>
            <w:tcW w:w="26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34,3%</w:t>
            </w:r>
          </w:p>
        </w:tc>
        <w:tc>
          <w:tcPr>
            <w:tcW w:w="25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30,0%</w:t>
            </w:r>
          </w:p>
        </w:tc>
        <w:tc>
          <w:tcPr>
            <w:tcW w:w="25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45,0%</w:t>
            </w:r>
          </w:p>
        </w:tc>
        <w:tc>
          <w:tcPr>
            <w:tcW w:w="25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8,0%</w:t>
            </w:r>
          </w:p>
        </w:tc>
        <w:tc>
          <w:tcPr>
            <w:tcW w:w="25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40,0%</w:t>
            </w:r>
          </w:p>
        </w:tc>
        <w:tc>
          <w:tcPr>
            <w:tcW w:w="25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20,0%</w:t>
            </w:r>
          </w:p>
        </w:tc>
        <w:tc>
          <w:tcPr>
            <w:tcW w:w="24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10,0%</w:t>
            </w:r>
          </w:p>
        </w:tc>
      </w:tr>
      <w:tr w:rsidR="00A64028" w:rsidRPr="00F14CA3" w:rsidTr="00737E0A">
        <w:trPr>
          <w:cantSplit/>
          <w:trHeight w:val="20"/>
        </w:trPr>
        <w:tc>
          <w:tcPr>
            <w:tcW w:w="279" w:type="pct"/>
            <w:tcBorders>
              <w:top w:val="single" w:sz="4" w:space="0" w:color="auto"/>
              <w:left w:val="single" w:sz="4" w:space="0" w:color="auto"/>
              <w:bottom w:val="single" w:sz="4" w:space="0" w:color="auto"/>
              <w:right w:val="single" w:sz="4" w:space="0" w:color="auto"/>
            </w:tcBorders>
            <w:noWrap/>
            <w:vAlign w:val="bottom"/>
          </w:tcPr>
          <w:p w:rsidR="00A64028" w:rsidRPr="00F14CA3" w:rsidRDefault="00A64028" w:rsidP="00103148">
            <w:pPr>
              <w:spacing w:after="0"/>
              <w:ind w:left="-57" w:right="-57"/>
              <w:rPr>
                <w:rFonts w:ascii="Calibri" w:hAnsi="Calibri"/>
                <w:sz w:val="20"/>
                <w:szCs w:val="20"/>
              </w:rPr>
            </w:pPr>
          </w:p>
        </w:tc>
        <w:tc>
          <w:tcPr>
            <w:tcW w:w="101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737E0A">
            <w:pPr>
              <w:spacing w:after="0"/>
              <w:ind w:left="-72" w:right="-55"/>
              <w:jc w:val="both"/>
              <w:rPr>
                <w:rFonts w:ascii="Arial Narrow" w:hAnsi="Arial Narrow"/>
                <w:sz w:val="20"/>
                <w:szCs w:val="20"/>
              </w:rPr>
            </w:pPr>
            <w:r w:rsidRPr="00F14CA3">
              <w:rPr>
                <w:rFonts w:ascii="Arial Narrow" w:hAnsi="Arial Narrow"/>
                <w:sz w:val="20"/>
                <w:szCs w:val="20"/>
              </w:rPr>
              <w:t>Другое, %</w:t>
            </w:r>
          </w:p>
        </w:tc>
        <w:tc>
          <w:tcPr>
            <w:tcW w:w="25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2,4%</w:t>
            </w:r>
          </w:p>
        </w:tc>
        <w:tc>
          <w:tcPr>
            <w:tcW w:w="2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0,0%</w:t>
            </w:r>
          </w:p>
        </w:tc>
        <w:tc>
          <w:tcPr>
            <w:tcW w:w="25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0,0%</w:t>
            </w:r>
          </w:p>
        </w:tc>
        <w:tc>
          <w:tcPr>
            <w:tcW w:w="25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8,0%</w:t>
            </w:r>
          </w:p>
        </w:tc>
        <w:tc>
          <w:tcPr>
            <w:tcW w:w="25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4,3%</w:t>
            </w:r>
          </w:p>
        </w:tc>
        <w:tc>
          <w:tcPr>
            <w:tcW w:w="3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0,0%</w:t>
            </w:r>
          </w:p>
        </w:tc>
        <w:tc>
          <w:tcPr>
            <w:tcW w:w="26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4,0%</w:t>
            </w:r>
          </w:p>
        </w:tc>
        <w:tc>
          <w:tcPr>
            <w:tcW w:w="26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20,0%</w:t>
            </w:r>
          </w:p>
        </w:tc>
        <w:tc>
          <w:tcPr>
            <w:tcW w:w="25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0,6%</w:t>
            </w:r>
          </w:p>
        </w:tc>
        <w:tc>
          <w:tcPr>
            <w:tcW w:w="25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0,0%</w:t>
            </w:r>
          </w:p>
        </w:tc>
        <w:tc>
          <w:tcPr>
            <w:tcW w:w="25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0,0%</w:t>
            </w:r>
          </w:p>
        </w:tc>
        <w:tc>
          <w:tcPr>
            <w:tcW w:w="25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4,0%</w:t>
            </w:r>
          </w:p>
        </w:tc>
        <w:tc>
          <w:tcPr>
            <w:tcW w:w="25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2,0%</w:t>
            </w:r>
          </w:p>
        </w:tc>
        <w:tc>
          <w:tcPr>
            <w:tcW w:w="24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737E0A" w:rsidRDefault="00A64028" w:rsidP="00103148">
            <w:pPr>
              <w:spacing w:after="0"/>
              <w:ind w:left="-72" w:right="-148"/>
              <w:jc w:val="center"/>
              <w:rPr>
                <w:rFonts w:ascii="Arial Narrow" w:hAnsi="Arial Narrow"/>
                <w:sz w:val="18"/>
                <w:szCs w:val="18"/>
              </w:rPr>
            </w:pPr>
            <w:r w:rsidRPr="00737E0A">
              <w:rPr>
                <w:rFonts w:ascii="Arial Narrow" w:hAnsi="Arial Narrow"/>
                <w:sz w:val="18"/>
                <w:szCs w:val="18"/>
              </w:rPr>
              <w:t>0,0%</w:t>
            </w:r>
          </w:p>
        </w:tc>
      </w:tr>
    </w:tbl>
    <w:p w:rsidR="00A64028" w:rsidRPr="000D7D7E" w:rsidRDefault="00A64028" w:rsidP="00103148">
      <w:pPr>
        <w:spacing w:after="0"/>
        <w:rPr>
          <w:rFonts w:ascii="Arial Narrow" w:hAnsi="Arial Narrow"/>
          <w:b/>
          <w:sz w:val="24"/>
          <w:highlight w:val="lightGray"/>
        </w:rPr>
      </w:pPr>
    </w:p>
    <w:p w:rsidR="00A64028" w:rsidRDefault="00A64028" w:rsidP="00BF6DC4">
      <w:pPr>
        <w:spacing w:after="0"/>
        <w:jc w:val="both"/>
        <w:rPr>
          <w:rFonts w:ascii="Arial Narrow" w:hAnsi="Arial Narrow"/>
          <w:b/>
          <w:sz w:val="24"/>
        </w:rPr>
      </w:pPr>
      <w:r w:rsidRPr="00455C1E">
        <w:rPr>
          <w:rFonts w:ascii="Arial Narrow" w:hAnsi="Arial Narrow"/>
          <w:b/>
          <w:sz w:val="24"/>
        </w:rPr>
        <w:t>1.1.10.</w:t>
      </w:r>
      <w:r w:rsidRPr="00455C1E">
        <w:rPr>
          <w:rFonts w:ascii="Arial Narrow" w:hAnsi="Arial Narrow"/>
          <w:b/>
          <w:sz w:val="24"/>
        </w:rPr>
        <w:tab/>
        <w:t>Количество предприятий, получивших лицензии (в разрезе отраслей), единиц</w:t>
      </w:r>
    </w:p>
    <w:p w:rsidR="00E82802" w:rsidRDefault="00E82802" w:rsidP="00103148">
      <w:pPr>
        <w:spacing w:after="0"/>
        <w:rPr>
          <w:rFonts w:ascii="Arial Narrow" w:eastAsia="Calibri" w:hAnsi="Arial Narrow"/>
          <w:sz w:val="24"/>
          <w:szCs w:val="24"/>
        </w:rPr>
      </w:pPr>
    </w:p>
    <w:p w:rsidR="00A64028" w:rsidRDefault="00A64028" w:rsidP="00103148">
      <w:pPr>
        <w:spacing w:after="0"/>
        <w:rPr>
          <w:rFonts w:ascii="Arial Narrow" w:hAnsi="Arial Narrow"/>
          <w:b/>
          <w:sz w:val="24"/>
        </w:rPr>
      </w:pPr>
      <w:r>
        <w:rPr>
          <w:rFonts w:ascii="Arial Narrow" w:eastAsia="Calibri" w:hAnsi="Arial Narrow"/>
          <w:sz w:val="24"/>
          <w:szCs w:val="24"/>
        </w:rPr>
        <w:t xml:space="preserve">Таблица </w:t>
      </w:r>
      <w:r w:rsidR="00262F71">
        <w:rPr>
          <w:rFonts w:ascii="Arial Narrow" w:eastAsia="Calibri" w:hAnsi="Arial Narrow"/>
          <w:sz w:val="24"/>
          <w:szCs w:val="24"/>
        </w:rPr>
        <w:t>7.11.</w:t>
      </w:r>
      <w:r>
        <w:rPr>
          <w:rFonts w:ascii="Arial Narrow" w:eastAsia="Calibri" w:hAnsi="Arial Narrow"/>
          <w:sz w:val="24"/>
          <w:szCs w:val="24"/>
        </w:rPr>
        <w:t xml:space="preserve"> – </w:t>
      </w:r>
      <w:r>
        <w:rPr>
          <w:rFonts w:ascii="Arial Narrow" w:hAnsi="Arial Narrow"/>
          <w:b/>
          <w:sz w:val="24"/>
        </w:rPr>
        <w:t xml:space="preserve">Значение показателя </w:t>
      </w:r>
      <w:r w:rsidRPr="00D50BF0">
        <w:rPr>
          <w:rFonts w:ascii="Arial Narrow" w:hAnsi="Arial Narrow"/>
          <w:b/>
          <w:sz w:val="24"/>
        </w:rPr>
        <w:t>1.1.</w:t>
      </w:r>
      <w:r>
        <w:rPr>
          <w:rFonts w:ascii="Arial Narrow" w:hAnsi="Arial Narrow"/>
          <w:b/>
          <w:sz w:val="24"/>
        </w:rPr>
        <w:t>10</w:t>
      </w:r>
      <w:r w:rsidRPr="00D50BF0">
        <w:rPr>
          <w:rFonts w:ascii="Arial Narrow" w:hAnsi="Arial Narrow"/>
          <w:b/>
          <w:sz w:val="24"/>
        </w:rPr>
        <w:t>.</w:t>
      </w:r>
      <w:r>
        <w:rPr>
          <w:rFonts w:ascii="Arial Narrow" w:hAnsi="Arial Narrow"/>
          <w:b/>
          <w:sz w:val="24"/>
        </w:rPr>
        <w:t xml:space="preserve"> </w:t>
      </w:r>
      <w:r w:rsidRPr="00D50BF0">
        <w:rPr>
          <w:rFonts w:ascii="Arial Narrow" w:hAnsi="Arial Narrow"/>
          <w:b/>
          <w:sz w:val="24"/>
        </w:rPr>
        <w:t>Распространенность мер по повышению конкурентоспособности предприятий за последние 3 года (% от числа опрошенных)</w:t>
      </w:r>
    </w:p>
    <w:tbl>
      <w:tblPr>
        <w:tblW w:w="10065" w:type="dxa"/>
        <w:tblInd w:w="-318" w:type="dxa"/>
        <w:tblLook w:val="04A0"/>
      </w:tblPr>
      <w:tblGrid>
        <w:gridCol w:w="568"/>
        <w:gridCol w:w="6636"/>
        <w:gridCol w:w="2861"/>
      </w:tblGrid>
      <w:tr w:rsidR="00A64028" w:rsidRPr="00455C1E" w:rsidTr="00EB3EA8">
        <w:trPr>
          <w:tblHeader/>
        </w:trPr>
        <w:tc>
          <w:tcPr>
            <w:tcW w:w="5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64028" w:rsidRPr="00455C1E" w:rsidRDefault="00A64028" w:rsidP="00EB3EA8">
            <w:pPr>
              <w:spacing w:after="0"/>
              <w:jc w:val="center"/>
              <w:rPr>
                <w:rFonts w:ascii="Arial Narrow" w:hAnsi="Arial Narrow"/>
                <w:sz w:val="20"/>
                <w:szCs w:val="20"/>
              </w:rPr>
            </w:pPr>
            <w:r w:rsidRPr="00455C1E">
              <w:rPr>
                <w:rFonts w:ascii="Arial Narrow" w:hAnsi="Arial Narrow"/>
                <w:sz w:val="20"/>
                <w:szCs w:val="20"/>
              </w:rPr>
              <w:t>№</w:t>
            </w:r>
          </w:p>
        </w:tc>
        <w:tc>
          <w:tcPr>
            <w:tcW w:w="6636" w:type="dxa"/>
            <w:tcBorders>
              <w:top w:val="single" w:sz="4" w:space="0" w:color="auto"/>
              <w:left w:val="nil"/>
              <w:bottom w:val="single" w:sz="4" w:space="0" w:color="auto"/>
              <w:right w:val="single" w:sz="4" w:space="0" w:color="auto"/>
            </w:tcBorders>
            <w:shd w:val="clear" w:color="auto" w:fill="auto"/>
            <w:noWrap/>
            <w:vAlign w:val="center"/>
            <w:hideMark/>
          </w:tcPr>
          <w:p w:rsidR="00A64028" w:rsidRPr="00455C1E" w:rsidRDefault="00A64028" w:rsidP="00EB3EA8">
            <w:pPr>
              <w:spacing w:after="0"/>
              <w:jc w:val="center"/>
              <w:rPr>
                <w:rFonts w:ascii="Arial Narrow" w:hAnsi="Arial Narrow"/>
                <w:sz w:val="20"/>
                <w:szCs w:val="20"/>
              </w:rPr>
            </w:pPr>
            <w:r w:rsidRPr="00455C1E">
              <w:rPr>
                <w:rFonts w:ascii="Arial Narrow" w:hAnsi="Arial Narrow"/>
                <w:sz w:val="20"/>
                <w:szCs w:val="20"/>
              </w:rPr>
              <w:t>Наименование рынков и продуктовые границы согласно ОКВЭД</w:t>
            </w:r>
          </w:p>
        </w:tc>
        <w:tc>
          <w:tcPr>
            <w:tcW w:w="2861" w:type="dxa"/>
            <w:tcBorders>
              <w:top w:val="single" w:sz="4" w:space="0" w:color="auto"/>
              <w:left w:val="nil"/>
              <w:bottom w:val="single" w:sz="4" w:space="0" w:color="auto"/>
              <w:right w:val="single" w:sz="4" w:space="0" w:color="auto"/>
            </w:tcBorders>
            <w:shd w:val="clear" w:color="auto" w:fill="auto"/>
            <w:noWrap/>
            <w:vAlign w:val="center"/>
            <w:hideMark/>
          </w:tcPr>
          <w:p w:rsidR="00A64028" w:rsidRPr="00455C1E" w:rsidRDefault="00A64028" w:rsidP="00EB3EA8">
            <w:pPr>
              <w:spacing w:after="0"/>
              <w:jc w:val="center"/>
              <w:rPr>
                <w:rFonts w:ascii="Arial Narrow" w:hAnsi="Arial Narrow"/>
                <w:sz w:val="20"/>
                <w:szCs w:val="20"/>
              </w:rPr>
            </w:pPr>
            <w:r w:rsidRPr="00455C1E">
              <w:rPr>
                <w:rFonts w:ascii="Arial Narrow" w:hAnsi="Arial Narrow"/>
                <w:sz w:val="20"/>
                <w:szCs w:val="20"/>
              </w:rPr>
              <w:t>Количество предприятий, получивших лицензии</w:t>
            </w:r>
          </w:p>
        </w:tc>
      </w:tr>
      <w:tr w:rsidR="00A64028" w:rsidRPr="00455C1E" w:rsidTr="00737E0A">
        <w:tc>
          <w:tcPr>
            <w:tcW w:w="10065" w:type="dxa"/>
            <w:gridSpan w:val="3"/>
            <w:tcBorders>
              <w:top w:val="nil"/>
              <w:left w:val="single" w:sz="4" w:space="0" w:color="auto"/>
              <w:bottom w:val="single" w:sz="4" w:space="0" w:color="auto"/>
              <w:right w:val="single" w:sz="4" w:space="0" w:color="auto"/>
            </w:tcBorders>
            <w:shd w:val="clear" w:color="auto" w:fill="auto"/>
            <w:noWrap/>
            <w:vAlign w:val="bottom"/>
            <w:hideMark/>
          </w:tcPr>
          <w:p w:rsidR="00A64028" w:rsidRPr="00455C1E" w:rsidRDefault="00A64028" w:rsidP="00103148">
            <w:pPr>
              <w:spacing w:after="0"/>
              <w:rPr>
                <w:rFonts w:ascii="Arial Narrow" w:hAnsi="Arial Narrow"/>
                <w:b/>
                <w:sz w:val="20"/>
                <w:szCs w:val="20"/>
              </w:rPr>
            </w:pPr>
            <w:r w:rsidRPr="00455C1E">
              <w:rPr>
                <w:rFonts w:ascii="Arial Narrow" w:hAnsi="Arial Narrow"/>
                <w:b/>
                <w:sz w:val="20"/>
                <w:szCs w:val="20"/>
              </w:rPr>
              <w:t>Социально значимые рынки</w:t>
            </w:r>
          </w:p>
        </w:tc>
      </w:tr>
      <w:tr w:rsidR="00A64028" w:rsidRPr="00455C1E" w:rsidTr="00737E0A">
        <w:tc>
          <w:tcPr>
            <w:tcW w:w="568" w:type="dxa"/>
            <w:tcBorders>
              <w:top w:val="nil"/>
              <w:left w:val="single" w:sz="4" w:space="0" w:color="auto"/>
              <w:bottom w:val="single" w:sz="4" w:space="0" w:color="auto"/>
              <w:right w:val="single" w:sz="4" w:space="0" w:color="auto"/>
            </w:tcBorders>
            <w:shd w:val="clear" w:color="auto" w:fill="auto"/>
            <w:noWrap/>
            <w:vAlign w:val="bottom"/>
            <w:hideMark/>
          </w:tcPr>
          <w:p w:rsidR="00A64028" w:rsidRPr="00455C1E" w:rsidRDefault="00A64028" w:rsidP="00103148">
            <w:pPr>
              <w:spacing w:after="0"/>
              <w:rPr>
                <w:rFonts w:ascii="Arial Narrow" w:hAnsi="Arial Narrow"/>
                <w:sz w:val="20"/>
                <w:szCs w:val="20"/>
              </w:rPr>
            </w:pPr>
            <w:r w:rsidRPr="00455C1E">
              <w:rPr>
                <w:rFonts w:ascii="Arial Narrow" w:hAnsi="Arial Narrow"/>
                <w:sz w:val="20"/>
                <w:szCs w:val="20"/>
              </w:rPr>
              <w:t>1</w:t>
            </w:r>
          </w:p>
        </w:tc>
        <w:tc>
          <w:tcPr>
            <w:tcW w:w="6636" w:type="dxa"/>
            <w:tcBorders>
              <w:top w:val="nil"/>
              <w:left w:val="nil"/>
              <w:bottom w:val="single" w:sz="4" w:space="0" w:color="auto"/>
              <w:right w:val="single" w:sz="4" w:space="0" w:color="auto"/>
            </w:tcBorders>
            <w:shd w:val="clear" w:color="auto" w:fill="auto"/>
            <w:noWrap/>
            <w:vAlign w:val="bottom"/>
            <w:hideMark/>
          </w:tcPr>
          <w:p w:rsidR="00A64028" w:rsidRPr="00455C1E" w:rsidRDefault="00A64028" w:rsidP="00103148">
            <w:pPr>
              <w:spacing w:after="0"/>
              <w:rPr>
                <w:rFonts w:ascii="Arial Narrow" w:hAnsi="Arial Narrow"/>
                <w:sz w:val="20"/>
                <w:szCs w:val="20"/>
              </w:rPr>
            </w:pPr>
            <w:r w:rsidRPr="00455C1E">
              <w:rPr>
                <w:rFonts w:ascii="Arial Narrow" w:hAnsi="Arial Narrow"/>
                <w:sz w:val="20"/>
                <w:szCs w:val="20"/>
              </w:rPr>
              <w:t>Рынок услуг дошкольного образования (коммерческие детские сады и учреждения пребывания неполного дня)</w:t>
            </w:r>
          </w:p>
        </w:tc>
        <w:tc>
          <w:tcPr>
            <w:tcW w:w="2861" w:type="dxa"/>
            <w:tcBorders>
              <w:top w:val="nil"/>
              <w:left w:val="nil"/>
              <w:bottom w:val="single" w:sz="4" w:space="0" w:color="auto"/>
              <w:right w:val="single" w:sz="4" w:space="0" w:color="auto"/>
            </w:tcBorders>
            <w:shd w:val="clear" w:color="auto" w:fill="auto"/>
            <w:noWrap/>
            <w:vAlign w:val="bottom"/>
            <w:hideMark/>
          </w:tcPr>
          <w:p w:rsidR="00A64028" w:rsidRPr="00455C1E" w:rsidRDefault="00A64028" w:rsidP="00103148">
            <w:pPr>
              <w:spacing w:after="0"/>
              <w:jc w:val="center"/>
              <w:rPr>
                <w:rFonts w:ascii="Arial Narrow" w:hAnsi="Arial Narrow"/>
                <w:sz w:val="20"/>
                <w:szCs w:val="20"/>
              </w:rPr>
            </w:pPr>
            <w:r w:rsidRPr="00455C1E">
              <w:rPr>
                <w:rFonts w:ascii="Arial Narrow" w:hAnsi="Arial Narrow"/>
                <w:sz w:val="20"/>
                <w:szCs w:val="20"/>
              </w:rPr>
              <w:t>1078 (на 02.02.2017)</w:t>
            </w:r>
          </w:p>
        </w:tc>
      </w:tr>
      <w:tr w:rsidR="00A64028" w:rsidRPr="00455C1E" w:rsidTr="00737E0A">
        <w:tc>
          <w:tcPr>
            <w:tcW w:w="568" w:type="dxa"/>
            <w:tcBorders>
              <w:top w:val="nil"/>
              <w:left w:val="single" w:sz="4" w:space="0" w:color="auto"/>
              <w:bottom w:val="single" w:sz="4" w:space="0" w:color="auto"/>
              <w:right w:val="single" w:sz="4" w:space="0" w:color="auto"/>
            </w:tcBorders>
            <w:shd w:val="clear" w:color="auto" w:fill="auto"/>
            <w:noWrap/>
            <w:vAlign w:val="bottom"/>
            <w:hideMark/>
          </w:tcPr>
          <w:p w:rsidR="00A64028" w:rsidRPr="00455C1E" w:rsidRDefault="00A64028" w:rsidP="00103148">
            <w:pPr>
              <w:spacing w:after="0"/>
              <w:rPr>
                <w:rFonts w:ascii="Arial Narrow" w:hAnsi="Arial Narrow"/>
                <w:sz w:val="20"/>
                <w:szCs w:val="20"/>
              </w:rPr>
            </w:pPr>
            <w:r w:rsidRPr="00455C1E">
              <w:rPr>
                <w:rFonts w:ascii="Arial Narrow" w:hAnsi="Arial Narrow"/>
                <w:sz w:val="20"/>
                <w:szCs w:val="20"/>
              </w:rPr>
              <w:t>2</w:t>
            </w:r>
          </w:p>
        </w:tc>
        <w:tc>
          <w:tcPr>
            <w:tcW w:w="6636" w:type="dxa"/>
            <w:tcBorders>
              <w:top w:val="nil"/>
              <w:left w:val="nil"/>
              <w:bottom w:val="single" w:sz="4" w:space="0" w:color="auto"/>
              <w:right w:val="single" w:sz="4" w:space="0" w:color="auto"/>
            </w:tcBorders>
            <w:shd w:val="clear" w:color="auto" w:fill="auto"/>
            <w:noWrap/>
            <w:vAlign w:val="bottom"/>
            <w:hideMark/>
          </w:tcPr>
          <w:p w:rsidR="00A64028" w:rsidRPr="00455C1E" w:rsidRDefault="00A64028" w:rsidP="00103148">
            <w:pPr>
              <w:spacing w:after="0"/>
              <w:rPr>
                <w:rFonts w:ascii="Arial Narrow" w:hAnsi="Arial Narrow"/>
                <w:sz w:val="20"/>
                <w:szCs w:val="20"/>
              </w:rPr>
            </w:pPr>
            <w:r w:rsidRPr="00455C1E">
              <w:rPr>
                <w:rFonts w:ascii="Arial Narrow" w:hAnsi="Arial Narrow"/>
                <w:sz w:val="20"/>
                <w:szCs w:val="20"/>
              </w:rPr>
              <w:t>Рынок услуг детского отдыха и оздоровления</w:t>
            </w:r>
          </w:p>
        </w:tc>
        <w:tc>
          <w:tcPr>
            <w:tcW w:w="2861" w:type="dxa"/>
            <w:tcBorders>
              <w:top w:val="nil"/>
              <w:left w:val="nil"/>
              <w:bottom w:val="single" w:sz="4" w:space="0" w:color="auto"/>
              <w:right w:val="single" w:sz="4" w:space="0" w:color="auto"/>
            </w:tcBorders>
            <w:shd w:val="clear" w:color="auto" w:fill="auto"/>
            <w:noWrap/>
            <w:vAlign w:val="bottom"/>
            <w:hideMark/>
          </w:tcPr>
          <w:p w:rsidR="00A64028" w:rsidRPr="00455C1E" w:rsidRDefault="00A64028" w:rsidP="00103148">
            <w:pPr>
              <w:spacing w:after="0"/>
              <w:jc w:val="center"/>
              <w:rPr>
                <w:rFonts w:ascii="Arial Narrow" w:hAnsi="Arial Narrow"/>
                <w:sz w:val="20"/>
                <w:szCs w:val="20"/>
              </w:rPr>
            </w:pPr>
            <w:r w:rsidRPr="00455C1E">
              <w:rPr>
                <w:rFonts w:ascii="Arial Narrow" w:hAnsi="Arial Narrow"/>
                <w:sz w:val="20"/>
                <w:szCs w:val="20"/>
              </w:rPr>
              <w:t>-</w:t>
            </w:r>
          </w:p>
        </w:tc>
      </w:tr>
      <w:tr w:rsidR="00A64028" w:rsidRPr="00455C1E" w:rsidTr="00737E0A">
        <w:tc>
          <w:tcPr>
            <w:tcW w:w="568" w:type="dxa"/>
            <w:tcBorders>
              <w:top w:val="nil"/>
              <w:left w:val="single" w:sz="4" w:space="0" w:color="auto"/>
              <w:bottom w:val="single" w:sz="4" w:space="0" w:color="auto"/>
              <w:right w:val="single" w:sz="4" w:space="0" w:color="auto"/>
            </w:tcBorders>
            <w:shd w:val="clear" w:color="auto" w:fill="auto"/>
            <w:noWrap/>
            <w:vAlign w:val="bottom"/>
            <w:hideMark/>
          </w:tcPr>
          <w:p w:rsidR="00A64028" w:rsidRPr="00455C1E" w:rsidRDefault="00A64028" w:rsidP="00103148">
            <w:pPr>
              <w:spacing w:after="0"/>
              <w:rPr>
                <w:rFonts w:ascii="Arial Narrow" w:hAnsi="Arial Narrow"/>
                <w:sz w:val="20"/>
                <w:szCs w:val="20"/>
              </w:rPr>
            </w:pPr>
            <w:r w:rsidRPr="00455C1E">
              <w:rPr>
                <w:rFonts w:ascii="Arial Narrow" w:hAnsi="Arial Narrow"/>
                <w:sz w:val="20"/>
                <w:szCs w:val="20"/>
              </w:rPr>
              <w:t>3</w:t>
            </w:r>
          </w:p>
        </w:tc>
        <w:tc>
          <w:tcPr>
            <w:tcW w:w="6636" w:type="dxa"/>
            <w:tcBorders>
              <w:top w:val="nil"/>
              <w:left w:val="nil"/>
              <w:bottom w:val="single" w:sz="4" w:space="0" w:color="auto"/>
              <w:right w:val="single" w:sz="4" w:space="0" w:color="auto"/>
            </w:tcBorders>
            <w:shd w:val="clear" w:color="auto" w:fill="auto"/>
            <w:noWrap/>
            <w:vAlign w:val="bottom"/>
            <w:hideMark/>
          </w:tcPr>
          <w:p w:rsidR="00A64028" w:rsidRPr="00455C1E" w:rsidRDefault="00A64028" w:rsidP="00103148">
            <w:pPr>
              <w:spacing w:after="0"/>
              <w:rPr>
                <w:rFonts w:ascii="Arial Narrow" w:hAnsi="Arial Narrow"/>
                <w:sz w:val="20"/>
                <w:szCs w:val="20"/>
              </w:rPr>
            </w:pPr>
            <w:r w:rsidRPr="00455C1E">
              <w:rPr>
                <w:rFonts w:ascii="Arial Narrow" w:hAnsi="Arial Narrow"/>
                <w:sz w:val="20"/>
                <w:szCs w:val="20"/>
              </w:rPr>
              <w:t>Рынок услуг дополнительного образования детей</w:t>
            </w:r>
          </w:p>
        </w:tc>
        <w:tc>
          <w:tcPr>
            <w:tcW w:w="2861" w:type="dxa"/>
            <w:tcBorders>
              <w:top w:val="nil"/>
              <w:left w:val="nil"/>
              <w:bottom w:val="single" w:sz="4" w:space="0" w:color="auto"/>
              <w:right w:val="single" w:sz="4" w:space="0" w:color="auto"/>
            </w:tcBorders>
            <w:shd w:val="clear" w:color="auto" w:fill="auto"/>
            <w:noWrap/>
            <w:vAlign w:val="bottom"/>
            <w:hideMark/>
          </w:tcPr>
          <w:p w:rsidR="00A64028" w:rsidRPr="00455C1E" w:rsidRDefault="00A64028" w:rsidP="00103148">
            <w:pPr>
              <w:spacing w:after="0"/>
              <w:jc w:val="center"/>
              <w:rPr>
                <w:rFonts w:ascii="Arial Narrow" w:hAnsi="Arial Narrow"/>
                <w:sz w:val="20"/>
                <w:szCs w:val="20"/>
              </w:rPr>
            </w:pPr>
            <w:r w:rsidRPr="00455C1E">
              <w:rPr>
                <w:rFonts w:ascii="Arial Narrow" w:hAnsi="Arial Narrow"/>
                <w:sz w:val="20"/>
                <w:szCs w:val="20"/>
              </w:rPr>
              <w:t>-</w:t>
            </w:r>
          </w:p>
        </w:tc>
      </w:tr>
      <w:tr w:rsidR="00A64028" w:rsidRPr="00455C1E" w:rsidTr="00737E0A">
        <w:tc>
          <w:tcPr>
            <w:tcW w:w="568" w:type="dxa"/>
            <w:tcBorders>
              <w:top w:val="nil"/>
              <w:left w:val="single" w:sz="4" w:space="0" w:color="auto"/>
              <w:bottom w:val="single" w:sz="4" w:space="0" w:color="auto"/>
              <w:right w:val="single" w:sz="4" w:space="0" w:color="auto"/>
            </w:tcBorders>
            <w:shd w:val="clear" w:color="auto" w:fill="auto"/>
            <w:noWrap/>
            <w:vAlign w:val="bottom"/>
            <w:hideMark/>
          </w:tcPr>
          <w:p w:rsidR="00A64028" w:rsidRPr="00455C1E" w:rsidRDefault="00A64028" w:rsidP="00103148">
            <w:pPr>
              <w:spacing w:after="0"/>
              <w:rPr>
                <w:rFonts w:ascii="Arial Narrow" w:hAnsi="Arial Narrow"/>
                <w:sz w:val="20"/>
                <w:szCs w:val="20"/>
              </w:rPr>
            </w:pPr>
            <w:r w:rsidRPr="00455C1E">
              <w:rPr>
                <w:rFonts w:ascii="Arial Narrow" w:hAnsi="Arial Narrow"/>
                <w:sz w:val="20"/>
                <w:szCs w:val="20"/>
              </w:rPr>
              <w:t>4</w:t>
            </w:r>
          </w:p>
        </w:tc>
        <w:tc>
          <w:tcPr>
            <w:tcW w:w="6636" w:type="dxa"/>
            <w:tcBorders>
              <w:top w:val="nil"/>
              <w:left w:val="nil"/>
              <w:bottom w:val="single" w:sz="4" w:space="0" w:color="auto"/>
              <w:right w:val="single" w:sz="4" w:space="0" w:color="auto"/>
            </w:tcBorders>
            <w:shd w:val="clear" w:color="auto" w:fill="auto"/>
            <w:noWrap/>
            <w:vAlign w:val="bottom"/>
            <w:hideMark/>
          </w:tcPr>
          <w:p w:rsidR="00A64028" w:rsidRPr="00455C1E" w:rsidRDefault="00A64028" w:rsidP="00103148">
            <w:pPr>
              <w:spacing w:after="0"/>
              <w:rPr>
                <w:rFonts w:ascii="Arial Narrow" w:hAnsi="Arial Narrow"/>
                <w:sz w:val="20"/>
                <w:szCs w:val="20"/>
              </w:rPr>
            </w:pPr>
            <w:r w:rsidRPr="00455C1E">
              <w:rPr>
                <w:rFonts w:ascii="Arial Narrow" w:hAnsi="Arial Narrow"/>
                <w:sz w:val="20"/>
                <w:szCs w:val="20"/>
              </w:rPr>
              <w:t>Рынок медицинских услуг</w:t>
            </w:r>
          </w:p>
        </w:tc>
        <w:tc>
          <w:tcPr>
            <w:tcW w:w="2861" w:type="dxa"/>
            <w:tcBorders>
              <w:top w:val="nil"/>
              <w:left w:val="nil"/>
              <w:bottom w:val="single" w:sz="4" w:space="0" w:color="auto"/>
              <w:right w:val="single" w:sz="4" w:space="0" w:color="auto"/>
            </w:tcBorders>
            <w:shd w:val="clear" w:color="auto" w:fill="auto"/>
            <w:noWrap/>
            <w:vAlign w:val="bottom"/>
            <w:hideMark/>
          </w:tcPr>
          <w:p w:rsidR="00A64028" w:rsidRPr="00455C1E" w:rsidRDefault="00A64028" w:rsidP="00103148">
            <w:pPr>
              <w:spacing w:after="0"/>
              <w:jc w:val="center"/>
              <w:rPr>
                <w:rFonts w:ascii="Arial Narrow" w:hAnsi="Arial Narrow"/>
                <w:sz w:val="20"/>
                <w:szCs w:val="20"/>
              </w:rPr>
            </w:pPr>
            <w:r w:rsidRPr="00455C1E">
              <w:rPr>
                <w:rFonts w:ascii="Arial Narrow" w:hAnsi="Arial Narrow"/>
                <w:sz w:val="20"/>
                <w:szCs w:val="20"/>
              </w:rPr>
              <w:t>1130 (на 01.01.2016)</w:t>
            </w:r>
          </w:p>
        </w:tc>
      </w:tr>
      <w:tr w:rsidR="00A64028" w:rsidRPr="00455C1E" w:rsidTr="00737E0A">
        <w:tc>
          <w:tcPr>
            <w:tcW w:w="568" w:type="dxa"/>
            <w:tcBorders>
              <w:top w:val="nil"/>
              <w:left w:val="single" w:sz="4" w:space="0" w:color="auto"/>
              <w:bottom w:val="single" w:sz="4" w:space="0" w:color="auto"/>
              <w:right w:val="single" w:sz="4" w:space="0" w:color="auto"/>
            </w:tcBorders>
            <w:shd w:val="clear" w:color="auto" w:fill="auto"/>
            <w:noWrap/>
            <w:vAlign w:val="bottom"/>
            <w:hideMark/>
          </w:tcPr>
          <w:p w:rsidR="00A64028" w:rsidRPr="00455C1E" w:rsidRDefault="00A64028" w:rsidP="00103148">
            <w:pPr>
              <w:spacing w:after="0"/>
              <w:rPr>
                <w:rFonts w:ascii="Arial Narrow" w:hAnsi="Arial Narrow"/>
                <w:sz w:val="20"/>
                <w:szCs w:val="20"/>
              </w:rPr>
            </w:pPr>
            <w:r w:rsidRPr="00455C1E">
              <w:rPr>
                <w:rFonts w:ascii="Arial Narrow" w:hAnsi="Arial Narrow"/>
                <w:sz w:val="20"/>
                <w:szCs w:val="20"/>
              </w:rPr>
              <w:t>5</w:t>
            </w:r>
          </w:p>
        </w:tc>
        <w:tc>
          <w:tcPr>
            <w:tcW w:w="6636" w:type="dxa"/>
            <w:tcBorders>
              <w:top w:val="nil"/>
              <w:left w:val="nil"/>
              <w:bottom w:val="single" w:sz="4" w:space="0" w:color="auto"/>
              <w:right w:val="single" w:sz="4" w:space="0" w:color="auto"/>
            </w:tcBorders>
            <w:shd w:val="clear" w:color="auto" w:fill="auto"/>
            <w:noWrap/>
            <w:vAlign w:val="bottom"/>
            <w:hideMark/>
          </w:tcPr>
          <w:p w:rsidR="00A64028" w:rsidRPr="00455C1E" w:rsidRDefault="00A64028" w:rsidP="00103148">
            <w:pPr>
              <w:spacing w:after="0"/>
              <w:rPr>
                <w:rFonts w:ascii="Arial Narrow" w:hAnsi="Arial Narrow"/>
                <w:sz w:val="20"/>
                <w:szCs w:val="20"/>
              </w:rPr>
            </w:pPr>
            <w:r w:rsidRPr="00455C1E">
              <w:rPr>
                <w:rFonts w:ascii="Arial Narrow" w:hAnsi="Arial Narrow"/>
                <w:sz w:val="20"/>
                <w:szCs w:val="20"/>
              </w:rPr>
              <w:t>Рынок услуг психолого-педагогического сопровождения детей с ограниченными возможностями здоровья</w:t>
            </w:r>
          </w:p>
        </w:tc>
        <w:tc>
          <w:tcPr>
            <w:tcW w:w="2861" w:type="dxa"/>
            <w:tcBorders>
              <w:top w:val="nil"/>
              <w:left w:val="nil"/>
              <w:bottom w:val="single" w:sz="4" w:space="0" w:color="auto"/>
              <w:right w:val="single" w:sz="4" w:space="0" w:color="auto"/>
            </w:tcBorders>
            <w:shd w:val="clear" w:color="auto" w:fill="auto"/>
            <w:noWrap/>
            <w:vAlign w:val="bottom"/>
            <w:hideMark/>
          </w:tcPr>
          <w:p w:rsidR="00A64028" w:rsidRPr="00455C1E" w:rsidRDefault="00A64028" w:rsidP="00103148">
            <w:pPr>
              <w:spacing w:after="0"/>
              <w:jc w:val="center"/>
              <w:rPr>
                <w:rFonts w:ascii="Arial Narrow" w:hAnsi="Arial Narrow"/>
                <w:sz w:val="20"/>
                <w:szCs w:val="20"/>
              </w:rPr>
            </w:pPr>
            <w:r w:rsidRPr="00455C1E">
              <w:rPr>
                <w:rFonts w:ascii="Arial Narrow" w:hAnsi="Arial Narrow"/>
                <w:sz w:val="20"/>
                <w:szCs w:val="20"/>
              </w:rPr>
              <w:t>Ряду организаций выдаются лицензии на осуществление медицинской деятельности</w:t>
            </w:r>
          </w:p>
        </w:tc>
      </w:tr>
      <w:tr w:rsidR="00A64028" w:rsidRPr="00455C1E" w:rsidTr="00737E0A">
        <w:tc>
          <w:tcPr>
            <w:tcW w:w="568" w:type="dxa"/>
            <w:tcBorders>
              <w:top w:val="nil"/>
              <w:left w:val="single" w:sz="4" w:space="0" w:color="auto"/>
              <w:bottom w:val="single" w:sz="4" w:space="0" w:color="auto"/>
              <w:right w:val="single" w:sz="4" w:space="0" w:color="auto"/>
            </w:tcBorders>
            <w:shd w:val="clear" w:color="auto" w:fill="auto"/>
            <w:noWrap/>
            <w:vAlign w:val="bottom"/>
            <w:hideMark/>
          </w:tcPr>
          <w:p w:rsidR="00A64028" w:rsidRPr="00455C1E" w:rsidRDefault="00A64028" w:rsidP="00103148">
            <w:pPr>
              <w:spacing w:after="0"/>
              <w:rPr>
                <w:rFonts w:ascii="Arial Narrow" w:hAnsi="Arial Narrow"/>
                <w:sz w:val="20"/>
                <w:szCs w:val="20"/>
              </w:rPr>
            </w:pPr>
            <w:r w:rsidRPr="00455C1E">
              <w:rPr>
                <w:rFonts w:ascii="Arial Narrow" w:hAnsi="Arial Narrow"/>
                <w:sz w:val="20"/>
                <w:szCs w:val="20"/>
              </w:rPr>
              <w:t>6</w:t>
            </w:r>
          </w:p>
        </w:tc>
        <w:tc>
          <w:tcPr>
            <w:tcW w:w="6636" w:type="dxa"/>
            <w:tcBorders>
              <w:top w:val="nil"/>
              <w:left w:val="nil"/>
              <w:bottom w:val="single" w:sz="4" w:space="0" w:color="auto"/>
              <w:right w:val="single" w:sz="4" w:space="0" w:color="auto"/>
            </w:tcBorders>
            <w:shd w:val="clear" w:color="auto" w:fill="auto"/>
            <w:noWrap/>
            <w:vAlign w:val="bottom"/>
            <w:hideMark/>
          </w:tcPr>
          <w:p w:rsidR="00A64028" w:rsidRPr="00455C1E" w:rsidRDefault="00A64028" w:rsidP="00103148">
            <w:pPr>
              <w:spacing w:after="0"/>
              <w:rPr>
                <w:rFonts w:ascii="Arial Narrow" w:hAnsi="Arial Narrow"/>
                <w:sz w:val="20"/>
                <w:szCs w:val="20"/>
              </w:rPr>
            </w:pPr>
            <w:r w:rsidRPr="00455C1E">
              <w:rPr>
                <w:rFonts w:ascii="Arial Narrow" w:hAnsi="Arial Narrow"/>
                <w:sz w:val="20"/>
                <w:szCs w:val="20"/>
              </w:rPr>
              <w:t>Рынок услуг в сфере культуры</w:t>
            </w:r>
          </w:p>
        </w:tc>
        <w:tc>
          <w:tcPr>
            <w:tcW w:w="2861" w:type="dxa"/>
            <w:tcBorders>
              <w:top w:val="nil"/>
              <w:left w:val="nil"/>
              <w:bottom w:val="single" w:sz="4" w:space="0" w:color="auto"/>
              <w:right w:val="single" w:sz="4" w:space="0" w:color="auto"/>
            </w:tcBorders>
            <w:shd w:val="clear" w:color="auto" w:fill="auto"/>
            <w:noWrap/>
            <w:vAlign w:val="bottom"/>
            <w:hideMark/>
          </w:tcPr>
          <w:p w:rsidR="00A64028" w:rsidRPr="00455C1E" w:rsidRDefault="00A64028" w:rsidP="00103148">
            <w:pPr>
              <w:spacing w:after="0"/>
              <w:jc w:val="center"/>
              <w:rPr>
                <w:rFonts w:ascii="Arial Narrow" w:hAnsi="Arial Narrow"/>
                <w:sz w:val="20"/>
                <w:szCs w:val="20"/>
              </w:rPr>
            </w:pPr>
            <w:r w:rsidRPr="00455C1E">
              <w:rPr>
                <w:rFonts w:ascii="Arial Narrow" w:hAnsi="Arial Narrow"/>
                <w:sz w:val="20"/>
                <w:szCs w:val="20"/>
              </w:rPr>
              <w:t>-</w:t>
            </w:r>
          </w:p>
        </w:tc>
      </w:tr>
      <w:tr w:rsidR="00A64028" w:rsidRPr="00455C1E" w:rsidTr="00737E0A">
        <w:tc>
          <w:tcPr>
            <w:tcW w:w="568" w:type="dxa"/>
            <w:tcBorders>
              <w:top w:val="nil"/>
              <w:left w:val="single" w:sz="4" w:space="0" w:color="auto"/>
              <w:bottom w:val="single" w:sz="4" w:space="0" w:color="auto"/>
              <w:right w:val="single" w:sz="4" w:space="0" w:color="auto"/>
            </w:tcBorders>
            <w:shd w:val="clear" w:color="auto" w:fill="auto"/>
            <w:noWrap/>
            <w:vAlign w:val="bottom"/>
            <w:hideMark/>
          </w:tcPr>
          <w:p w:rsidR="00A64028" w:rsidRPr="00455C1E" w:rsidRDefault="00A64028" w:rsidP="00103148">
            <w:pPr>
              <w:spacing w:after="0"/>
              <w:rPr>
                <w:rFonts w:ascii="Arial Narrow" w:hAnsi="Arial Narrow"/>
                <w:sz w:val="20"/>
                <w:szCs w:val="20"/>
              </w:rPr>
            </w:pPr>
            <w:r w:rsidRPr="00455C1E">
              <w:rPr>
                <w:rFonts w:ascii="Arial Narrow" w:hAnsi="Arial Narrow"/>
                <w:sz w:val="20"/>
                <w:szCs w:val="20"/>
              </w:rPr>
              <w:t>7</w:t>
            </w:r>
          </w:p>
        </w:tc>
        <w:tc>
          <w:tcPr>
            <w:tcW w:w="6636" w:type="dxa"/>
            <w:tcBorders>
              <w:top w:val="nil"/>
              <w:left w:val="nil"/>
              <w:bottom w:val="single" w:sz="4" w:space="0" w:color="auto"/>
              <w:right w:val="single" w:sz="4" w:space="0" w:color="auto"/>
            </w:tcBorders>
            <w:shd w:val="clear" w:color="auto" w:fill="auto"/>
            <w:noWrap/>
            <w:vAlign w:val="bottom"/>
            <w:hideMark/>
          </w:tcPr>
          <w:p w:rsidR="00A64028" w:rsidRPr="00455C1E" w:rsidRDefault="00A64028" w:rsidP="00103148">
            <w:pPr>
              <w:spacing w:after="0"/>
              <w:rPr>
                <w:rFonts w:ascii="Arial Narrow" w:hAnsi="Arial Narrow"/>
                <w:sz w:val="20"/>
                <w:szCs w:val="20"/>
              </w:rPr>
            </w:pPr>
            <w:r w:rsidRPr="00455C1E">
              <w:rPr>
                <w:rFonts w:ascii="Arial Narrow" w:hAnsi="Arial Narrow"/>
                <w:sz w:val="20"/>
                <w:szCs w:val="20"/>
              </w:rPr>
              <w:t>Рынок услуг жилищно-коммунального хозяйства (управляющие компании)</w:t>
            </w:r>
          </w:p>
        </w:tc>
        <w:tc>
          <w:tcPr>
            <w:tcW w:w="2861" w:type="dxa"/>
            <w:tcBorders>
              <w:top w:val="nil"/>
              <w:left w:val="nil"/>
              <w:bottom w:val="single" w:sz="4" w:space="0" w:color="auto"/>
              <w:right w:val="single" w:sz="4" w:space="0" w:color="auto"/>
            </w:tcBorders>
            <w:shd w:val="clear" w:color="auto" w:fill="auto"/>
            <w:noWrap/>
            <w:vAlign w:val="bottom"/>
            <w:hideMark/>
          </w:tcPr>
          <w:p w:rsidR="00A64028" w:rsidRPr="00455C1E" w:rsidRDefault="00A64028" w:rsidP="00103148">
            <w:pPr>
              <w:spacing w:after="0"/>
              <w:jc w:val="center"/>
              <w:rPr>
                <w:rFonts w:ascii="Arial Narrow" w:hAnsi="Arial Narrow"/>
                <w:sz w:val="20"/>
                <w:szCs w:val="20"/>
              </w:rPr>
            </w:pPr>
            <w:r w:rsidRPr="00455C1E">
              <w:rPr>
                <w:rFonts w:ascii="Arial Narrow" w:hAnsi="Arial Narrow"/>
                <w:sz w:val="20"/>
                <w:szCs w:val="20"/>
              </w:rPr>
              <w:t>324 (на 01.01.2017)</w:t>
            </w:r>
          </w:p>
        </w:tc>
      </w:tr>
      <w:tr w:rsidR="00A64028" w:rsidRPr="00455C1E" w:rsidTr="00737E0A">
        <w:tc>
          <w:tcPr>
            <w:tcW w:w="568" w:type="dxa"/>
            <w:tcBorders>
              <w:top w:val="nil"/>
              <w:left w:val="single" w:sz="4" w:space="0" w:color="auto"/>
              <w:bottom w:val="single" w:sz="4" w:space="0" w:color="auto"/>
              <w:right w:val="single" w:sz="4" w:space="0" w:color="auto"/>
            </w:tcBorders>
            <w:shd w:val="clear" w:color="auto" w:fill="auto"/>
            <w:noWrap/>
            <w:vAlign w:val="bottom"/>
            <w:hideMark/>
          </w:tcPr>
          <w:p w:rsidR="00A64028" w:rsidRPr="00455C1E" w:rsidRDefault="00A64028" w:rsidP="00103148">
            <w:pPr>
              <w:spacing w:after="0"/>
              <w:rPr>
                <w:rFonts w:ascii="Arial Narrow" w:hAnsi="Arial Narrow"/>
                <w:sz w:val="20"/>
                <w:szCs w:val="20"/>
              </w:rPr>
            </w:pPr>
            <w:r w:rsidRPr="00455C1E">
              <w:rPr>
                <w:rFonts w:ascii="Arial Narrow" w:hAnsi="Arial Narrow"/>
                <w:sz w:val="20"/>
                <w:szCs w:val="20"/>
              </w:rPr>
              <w:t>8</w:t>
            </w:r>
          </w:p>
        </w:tc>
        <w:tc>
          <w:tcPr>
            <w:tcW w:w="6636" w:type="dxa"/>
            <w:tcBorders>
              <w:top w:val="nil"/>
              <w:left w:val="nil"/>
              <w:bottom w:val="single" w:sz="4" w:space="0" w:color="auto"/>
              <w:right w:val="single" w:sz="4" w:space="0" w:color="auto"/>
            </w:tcBorders>
            <w:shd w:val="clear" w:color="auto" w:fill="auto"/>
            <w:noWrap/>
            <w:vAlign w:val="bottom"/>
            <w:hideMark/>
          </w:tcPr>
          <w:p w:rsidR="00A64028" w:rsidRPr="00455C1E" w:rsidRDefault="00A64028" w:rsidP="00103148">
            <w:pPr>
              <w:spacing w:after="0"/>
              <w:rPr>
                <w:rFonts w:ascii="Arial Narrow" w:hAnsi="Arial Narrow"/>
                <w:sz w:val="20"/>
                <w:szCs w:val="20"/>
              </w:rPr>
            </w:pPr>
            <w:r w:rsidRPr="00455C1E">
              <w:rPr>
                <w:rFonts w:ascii="Arial Narrow" w:hAnsi="Arial Narrow"/>
                <w:sz w:val="20"/>
                <w:szCs w:val="20"/>
              </w:rPr>
              <w:t>Розничная торговля (продажа продуктов питания и непродовольственных товаров)</w:t>
            </w:r>
          </w:p>
        </w:tc>
        <w:tc>
          <w:tcPr>
            <w:tcW w:w="2861" w:type="dxa"/>
            <w:tcBorders>
              <w:top w:val="nil"/>
              <w:left w:val="nil"/>
              <w:bottom w:val="single" w:sz="4" w:space="0" w:color="auto"/>
              <w:right w:val="single" w:sz="4" w:space="0" w:color="auto"/>
            </w:tcBorders>
            <w:shd w:val="clear" w:color="auto" w:fill="auto"/>
            <w:noWrap/>
            <w:vAlign w:val="bottom"/>
            <w:hideMark/>
          </w:tcPr>
          <w:p w:rsidR="00A64028" w:rsidRPr="00455C1E" w:rsidRDefault="00A64028" w:rsidP="00103148">
            <w:pPr>
              <w:spacing w:after="0"/>
              <w:jc w:val="center"/>
              <w:rPr>
                <w:rFonts w:ascii="Arial Narrow" w:hAnsi="Arial Narrow"/>
                <w:sz w:val="20"/>
                <w:szCs w:val="20"/>
              </w:rPr>
            </w:pPr>
            <w:r w:rsidRPr="00455C1E">
              <w:rPr>
                <w:rFonts w:ascii="Arial Narrow" w:hAnsi="Arial Narrow"/>
                <w:sz w:val="20"/>
                <w:szCs w:val="20"/>
              </w:rPr>
              <w:t>-</w:t>
            </w:r>
          </w:p>
        </w:tc>
      </w:tr>
      <w:tr w:rsidR="00A64028" w:rsidRPr="00455C1E" w:rsidTr="00737E0A">
        <w:tc>
          <w:tcPr>
            <w:tcW w:w="568" w:type="dxa"/>
            <w:tcBorders>
              <w:top w:val="nil"/>
              <w:left w:val="single" w:sz="4" w:space="0" w:color="auto"/>
              <w:bottom w:val="single" w:sz="4" w:space="0" w:color="auto"/>
              <w:right w:val="single" w:sz="4" w:space="0" w:color="auto"/>
            </w:tcBorders>
            <w:shd w:val="clear" w:color="auto" w:fill="auto"/>
            <w:noWrap/>
            <w:vAlign w:val="bottom"/>
            <w:hideMark/>
          </w:tcPr>
          <w:p w:rsidR="00A64028" w:rsidRPr="00455C1E" w:rsidRDefault="00A64028" w:rsidP="00103148">
            <w:pPr>
              <w:spacing w:after="0"/>
              <w:rPr>
                <w:rFonts w:ascii="Arial Narrow" w:hAnsi="Arial Narrow"/>
                <w:sz w:val="20"/>
                <w:szCs w:val="20"/>
              </w:rPr>
            </w:pPr>
            <w:r w:rsidRPr="00455C1E">
              <w:rPr>
                <w:rFonts w:ascii="Arial Narrow" w:hAnsi="Arial Narrow"/>
                <w:sz w:val="20"/>
                <w:szCs w:val="20"/>
              </w:rPr>
              <w:t>9</w:t>
            </w:r>
          </w:p>
        </w:tc>
        <w:tc>
          <w:tcPr>
            <w:tcW w:w="6636" w:type="dxa"/>
            <w:tcBorders>
              <w:top w:val="nil"/>
              <w:left w:val="nil"/>
              <w:bottom w:val="single" w:sz="4" w:space="0" w:color="auto"/>
              <w:right w:val="single" w:sz="4" w:space="0" w:color="auto"/>
            </w:tcBorders>
            <w:shd w:val="clear" w:color="auto" w:fill="auto"/>
            <w:noWrap/>
            <w:vAlign w:val="bottom"/>
            <w:hideMark/>
          </w:tcPr>
          <w:p w:rsidR="00A64028" w:rsidRPr="00455C1E" w:rsidRDefault="00A64028" w:rsidP="00103148">
            <w:pPr>
              <w:spacing w:after="0"/>
              <w:rPr>
                <w:rFonts w:ascii="Arial Narrow" w:hAnsi="Arial Narrow"/>
                <w:sz w:val="20"/>
                <w:szCs w:val="20"/>
              </w:rPr>
            </w:pPr>
            <w:r w:rsidRPr="00455C1E">
              <w:rPr>
                <w:rFonts w:ascii="Arial Narrow" w:hAnsi="Arial Narrow"/>
                <w:sz w:val="20"/>
                <w:szCs w:val="20"/>
              </w:rPr>
              <w:t>Рынок услуг перевозок пассажиров наземным транспортом (автобусные перевозки и такси)</w:t>
            </w:r>
          </w:p>
        </w:tc>
        <w:tc>
          <w:tcPr>
            <w:tcW w:w="2861" w:type="dxa"/>
            <w:tcBorders>
              <w:top w:val="nil"/>
              <w:left w:val="nil"/>
              <w:bottom w:val="single" w:sz="4" w:space="0" w:color="auto"/>
              <w:right w:val="single" w:sz="4" w:space="0" w:color="auto"/>
            </w:tcBorders>
            <w:shd w:val="clear" w:color="auto" w:fill="auto"/>
            <w:noWrap/>
            <w:vAlign w:val="bottom"/>
            <w:hideMark/>
          </w:tcPr>
          <w:p w:rsidR="00A64028" w:rsidRPr="00455C1E" w:rsidRDefault="00A64028" w:rsidP="00103148">
            <w:pPr>
              <w:spacing w:after="0"/>
              <w:jc w:val="center"/>
              <w:rPr>
                <w:rFonts w:ascii="Arial Narrow" w:hAnsi="Arial Narrow"/>
                <w:sz w:val="20"/>
                <w:szCs w:val="20"/>
              </w:rPr>
            </w:pPr>
            <w:r w:rsidRPr="00455C1E">
              <w:rPr>
                <w:rFonts w:ascii="Arial Narrow" w:hAnsi="Arial Narrow"/>
                <w:sz w:val="20"/>
                <w:szCs w:val="20"/>
              </w:rPr>
              <w:t>Нет данных</w:t>
            </w:r>
          </w:p>
        </w:tc>
      </w:tr>
      <w:tr w:rsidR="00A64028" w:rsidRPr="00455C1E" w:rsidTr="00737E0A">
        <w:tc>
          <w:tcPr>
            <w:tcW w:w="568" w:type="dxa"/>
            <w:tcBorders>
              <w:top w:val="nil"/>
              <w:left w:val="single" w:sz="4" w:space="0" w:color="auto"/>
              <w:bottom w:val="single" w:sz="4" w:space="0" w:color="auto"/>
              <w:right w:val="single" w:sz="4" w:space="0" w:color="auto"/>
            </w:tcBorders>
            <w:shd w:val="clear" w:color="auto" w:fill="auto"/>
            <w:noWrap/>
            <w:vAlign w:val="bottom"/>
            <w:hideMark/>
          </w:tcPr>
          <w:p w:rsidR="00A64028" w:rsidRPr="00455C1E" w:rsidRDefault="00A64028" w:rsidP="00103148">
            <w:pPr>
              <w:spacing w:after="0"/>
              <w:rPr>
                <w:rFonts w:ascii="Arial Narrow" w:hAnsi="Arial Narrow"/>
                <w:sz w:val="20"/>
                <w:szCs w:val="20"/>
              </w:rPr>
            </w:pPr>
            <w:r w:rsidRPr="00455C1E">
              <w:rPr>
                <w:rFonts w:ascii="Arial Narrow" w:hAnsi="Arial Narrow"/>
                <w:sz w:val="20"/>
                <w:szCs w:val="20"/>
              </w:rPr>
              <w:t>10</w:t>
            </w:r>
          </w:p>
        </w:tc>
        <w:tc>
          <w:tcPr>
            <w:tcW w:w="6636" w:type="dxa"/>
            <w:tcBorders>
              <w:top w:val="nil"/>
              <w:left w:val="nil"/>
              <w:bottom w:val="single" w:sz="4" w:space="0" w:color="auto"/>
              <w:right w:val="single" w:sz="4" w:space="0" w:color="auto"/>
            </w:tcBorders>
            <w:shd w:val="clear" w:color="auto" w:fill="auto"/>
            <w:noWrap/>
            <w:vAlign w:val="bottom"/>
            <w:hideMark/>
          </w:tcPr>
          <w:p w:rsidR="00A64028" w:rsidRPr="00455C1E" w:rsidRDefault="00A64028" w:rsidP="00103148">
            <w:pPr>
              <w:spacing w:after="0"/>
              <w:rPr>
                <w:rFonts w:ascii="Arial Narrow" w:hAnsi="Arial Narrow"/>
                <w:sz w:val="20"/>
                <w:szCs w:val="20"/>
              </w:rPr>
            </w:pPr>
            <w:r w:rsidRPr="00455C1E">
              <w:rPr>
                <w:rFonts w:ascii="Arial Narrow" w:hAnsi="Arial Narrow"/>
                <w:sz w:val="20"/>
                <w:szCs w:val="20"/>
              </w:rPr>
              <w:t>Рынок услуг связи</w:t>
            </w:r>
          </w:p>
        </w:tc>
        <w:tc>
          <w:tcPr>
            <w:tcW w:w="2861" w:type="dxa"/>
            <w:tcBorders>
              <w:top w:val="nil"/>
              <w:left w:val="nil"/>
              <w:bottom w:val="single" w:sz="4" w:space="0" w:color="auto"/>
              <w:right w:val="single" w:sz="4" w:space="0" w:color="auto"/>
            </w:tcBorders>
            <w:shd w:val="clear" w:color="auto" w:fill="auto"/>
            <w:noWrap/>
            <w:vAlign w:val="bottom"/>
            <w:hideMark/>
          </w:tcPr>
          <w:p w:rsidR="00A64028" w:rsidRPr="00455C1E" w:rsidRDefault="00A64028" w:rsidP="00103148">
            <w:pPr>
              <w:spacing w:after="0"/>
              <w:jc w:val="center"/>
              <w:rPr>
                <w:rFonts w:ascii="Arial Narrow" w:hAnsi="Arial Narrow"/>
                <w:sz w:val="20"/>
                <w:szCs w:val="20"/>
              </w:rPr>
            </w:pPr>
            <w:r w:rsidRPr="00455C1E">
              <w:rPr>
                <w:rFonts w:ascii="Arial Narrow" w:hAnsi="Arial Narrow"/>
                <w:sz w:val="20"/>
                <w:szCs w:val="20"/>
              </w:rPr>
              <w:t>Выдача производится Минкомсвязи</w:t>
            </w:r>
          </w:p>
        </w:tc>
      </w:tr>
      <w:tr w:rsidR="00A64028" w:rsidRPr="00455C1E" w:rsidTr="00737E0A">
        <w:tc>
          <w:tcPr>
            <w:tcW w:w="568" w:type="dxa"/>
            <w:tcBorders>
              <w:top w:val="nil"/>
              <w:left w:val="single" w:sz="4" w:space="0" w:color="auto"/>
              <w:bottom w:val="single" w:sz="4" w:space="0" w:color="auto"/>
              <w:right w:val="single" w:sz="4" w:space="0" w:color="auto"/>
            </w:tcBorders>
            <w:shd w:val="clear" w:color="auto" w:fill="auto"/>
            <w:noWrap/>
            <w:vAlign w:val="bottom"/>
            <w:hideMark/>
          </w:tcPr>
          <w:p w:rsidR="00A64028" w:rsidRPr="00455C1E" w:rsidRDefault="00A64028" w:rsidP="00103148">
            <w:pPr>
              <w:spacing w:after="0"/>
              <w:rPr>
                <w:rFonts w:ascii="Arial Narrow" w:hAnsi="Arial Narrow"/>
                <w:sz w:val="20"/>
                <w:szCs w:val="20"/>
              </w:rPr>
            </w:pPr>
            <w:r w:rsidRPr="00455C1E">
              <w:rPr>
                <w:rFonts w:ascii="Arial Narrow" w:hAnsi="Arial Narrow"/>
                <w:sz w:val="20"/>
                <w:szCs w:val="20"/>
              </w:rPr>
              <w:t>11</w:t>
            </w:r>
          </w:p>
        </w:tc>
        <w:tc>
          <w:tcPr>
            <w:tcW w:w="6636" w:type="dxa"/>
            <w:tcBorders>
              <w:top w:val="nil"/>
              <w:left w:val="nil"/>
              <w:bottom w:val="single" w:sz="4" w:space="0" w:color="auto"/>
              <w:right w:val="single" w:sz="4" w:space="0" w:color="auto"/>
            </w:tcBorders>
            <w:shd w:val="clear" w:color="auto" w:fill="auto"/>
            <w:noWrap/>
            <w:vAlign w:val="bottom"/>
            <w:hideMark/>
          </w:tcPr>
          <w:p w:rsidR="00A64028" w:rsidRPr="00455C1E" w:rsidRDefault="00A64028" w:rsidP="00103148">
            <w:pPr>
              <w:spacing w:after="0"/>
              <w:rPr>
                <w:rFonts w:ascii="Arial Narrow" w:hAnsi="Arial Narrow"/>
                <w:sz w:val="20"/>
                <w:szCs w:val="20"/>
              </w:rPr>
            </w:pPr>
            <w:r w:rsidRPr="00455C1E">
              <w:rPr>
                <w:rFonts w:ascii="Arial Narrow" w:hAnsi="Arial Narrow"/>
                <w:sz w:val="20"/>
                <w:szCs w:val="20"/>
              </w:rPr>
              <w:t>Рынок услуг социального обслуживания населения</w:t>
            </w:r>
          </w:p>
        </w:tc>
        <w:tc>
          <w:tcPr>
            <w:tcW w:w="2861" w:type="dxa"/>
            <w:tcBorders>
              <w:top w:val="nil"/>
              <w:left w:val="nil"/>
              <w:bottom w:val="single" w:sz="4" w:space="0" w:color="auto"/>
              <w:right w:val="single" w:sz="4" w:space="0" w:color="auto"/>
            </w:tcBorders>
            <w:shd w:val="clear" w:color="auto" w:fill="auto"/>
            <w:noWrap/>
            <w:vAlign w:val="bottom"/>
            <w:hideMark/>
          </w:tcPr>
          <w:p w:rsidR="00A64028" w:rsidRPr="00455C1E" w:rsidRDefault="00A64028" w:rsidP="00103148">
            <w:pPr>
              <w:spacing w:after="0"/>
              <w:jc w:val="center"/>
              <w:rPr>
                <w:rFonts w:ascii="Arial Narrow" w:hAnsi="Arial Narrow"/>
                <w:sz w:val="20"/>
                <w:szCs w:val="20"/>
              </w:rPr>
            </w:pPr>
            <w:r w:rsidRPr="00455C1E">
              <w:rPr>
                <w:rFonts w:ascii="Arial Narrow" w:hAnsi="Arial Narrow"/>
                <w:sz w:val="20"/>
                <w:szCs w:val="20"/>
              </w:rPr>
              <w:t>Ряду организаций выдаются лицензии на осуществление медицинской деятельности</w:t>
            </w:r>
          </w:p>
        </w:tc>
      </w:tr>
      <w:tr w:rsidR="00A64028" w:rsidRPr="00455C1E" w:rsidTr="00737E0A">
        <w:tc>
          <w:tcPr>
            <w:tcW w:w="10065" w:type="dxa"/>
            <w:gridSpan w:val="3"/>
            <w:tcBorders>
              <w:top w:val="nil"/>
              <w:left w:val="single" w:sz="4" w:space="0" w:color="auto"/>
              <w:bottom w:val="single" w:sz="4" w:space="0" w:color="auto"/>
              <w:right w:val="single" w:sz="4" w:space="0" w:color="auto"/>
            </w:tcBorders>
            <w:shd w:val="clear" w:color="auto" w:fill="auto"/>
            <w:noWrap/>
            <w:vAlign w:val="bottom"/>
            <w:hideMark/>
          </w:tcPr>
          <w:p w:rsidR="00A64028" w:rsidRPr="00455C1E" w:rsidRDefault="00A64028" w:rsidP="00103148">
            <w:pPr>
              <w:spacing w:after="0"/>
              <w:rPr>
                <w:rFonts w:ascii="Arial Narrow" w:hAnsi="Arial Narrow"/>
                <w:b/>
                <w:sz w:val="20"/>
                <w:szCs w:val="20"/>
              </w:rPr>
            </w:pPr>
            <w:r w:rsidRPr="00455C1E">
              <w:rPr>
                <w:rFonts w:ascii="Arial Narrow" w:hAnsi="Arial Narrow"/>
                <w:b/>
                <w:sz w:val="20"/>
                <w:szCs w:val="20"/>
              </w:rPr>
              <w:t>Приоритетные рынки</w:t>
            </w:r>
          </w:p>
        </w:tc>
      </w:tr>
      <w:tr w:rsidR="00A64028" w:rsidRPr="00455C1E" w:rsidTr="00737E0A">
        <w:tc>
          <w:tcPr>
            <w:tcW w:w="568" w:type="dxa"/>
            <w:tcBorders>
              <w:top w:val="nil"/>
              <w:left w:val="single" w:sz="4" w:space="0" w:color="auto"/>
              <w:bottom w:val="single" w:sz="4" w:space="0" w:color="auto"/>
              <w:right w:val="single" w:sz="4" w:space="0" w:color="auto"/>
            </w:tcBorders>
            <w:shd w:val="clear" w:color="auto" w:fill="auto"/>
            <w:noWrap/>
            <w:vAlign w:val="bottom"/>
            <w:hideMark/>
          </w:tcPr>
          <w:p w:rsidR="00A64028" w:rsidRPr="00455C1E" w:rsidRDefault="00A64028" w:rsidP="00103148">
            <w:pPr>
              <w:spacing w:after="0"/>
              <w:rPr>
                <w:rFonts w:ascii="Arial Narrow" w:hAnsi="Arial Narrow"/>
                <w:sz w:val="20"/>
                <w:szCs w:val="20"/>
              </w:rPr>
            </w:pPr>
            <w:r w:rsidRPr="00455C1E">
              <w:rPr>
                <w:rFonts w:ascii="Arial Narrow" w:hAnsi="Arial Narrow"/>
                <w:sz w:val="20"/>
                <w:szCs w:val="20"/>
              </w:rPr>
              <w:t>12</w:t>
            </w:r>
          </w:p>
        </w:tc>
        <w:tc>
          <w:tcPr>
            <w:tcW w:w="6636" w:type="dxa"/>
            <w:tcBorders>
              <w:top w:val="nil"/>
              <w:left w:val="nil"/>
              <w:bottom w:val="single" w:sz="4" w:space="0" w:color="auto"/>
              <w:right w:val="single" w:sz="4" w:space="0" w:color="auto"/>
            </w:tcBorders>
            <w:shd w:val="clear" w:color="auto" w:fill="auto"/>
            <w:noWrap/>
            <w:vAlign w:val="bottom"/>
            <w:hideMark/>
          </w:tcPr>
          <w:p w:rsidR="00A64028" w:rsidRPr="00455C1E" w:rsidRDefault="00A64028" w:rsidP="00103148">
            <w:pPr>
              <w:spacing w:after="0"/>
              <w:rPr>
                <w:rFonts w:ascii="Arial Narrow" w:hAnsi="Arial Narrow"/>
                <w:sz w:val="20"/>
                <w:szCs w:val="20"/>
              </w:rPr>
            </w:pPr>
            <w:r w:rsidRPr="00455C1E">
              <w:rPr>
                <w:rFonts w:ascii="Arial Narrow" w:hAnsi="Arial Narrow"/>
                <w:sz w:val="20"/>
                <w:szCs w:val="20"/>
              </w:rPr>
              <w:t>Рынок развития, производства, переработки и хранения сельскохозяйственной продукции</w:t>
            </w:r>
          </w:p>
        </w:tc>
        <w:tc>
          <w:tcPr>
            <w:tcW w:w="2861" w:type="dxa"/>
            <w:tcBorders>
              <w:top w:val="nil"/>
              <w:left w:val="nil"/>
              <w:bottom w:val="single" w:sz="4" w:space="0" w:color="auto"/>
              <w:right w:val="single" w:sz="4" w:space="0" w:color="auto"/>
            </w:tcBorders>
            <w:shd w:val="clear" w:color="auto" w:fill="auto"/>
            <w:noWrap/>
            <w:vAlign w:val="bottom"/>
            <w:hideMark/>
          </w:tcPr>
          <w:p w:rsidR="00A64028" w:rsidRPr="00455C1E" w:rsidRDefault="00A64028" w:rsidP="00103148">
            <w:pPr>
              <w:spacing w:after="0"/>
              <w:jc w:val="center"/>
              <w:rPr>
                <w:rFonts w:ascii="Arial Narrow" w:hAnsi="Arial Narrow"/>
                <w:sz w:val="20"/>
                <w:szCs w:val="20"/>
              </w:rPr>
            </w:pPr>
            <w:r w:rsidRPr="00455C1E">
              <w:rPr>
                <w:rFonts w:ascii="Arial Narrow" w:hAnsi="Arial Narrow"/>
                <w:sz w:val="20"/>
                <w:szCs w:val="20"/>
              </w:rPr>
              <w:t>-</w:t>
            </w:r>
          </w:p>
        </w:tc>
      </w:tr>
      <w:tr w:rsidR="00A64028" w:rsidRPr="00455C1E" w:rsidTr="00737E0A">
        <w:tc>
          <w:tcPr>
            <w:tcW w:w="568" w:type="dxa"/>
            <w:tcBorders>
              <w:top w:val="nil"/>
              <w:left w:val="single" w:sz="4" w:space="0" w:color="auto"/>
              <w:bottom w:val="single" w:sz="4" w:space="0" w:color="auto"/>
              <w:right w:val="single" w:sz="4" w:space="0" w:color="auto"/>
            </w:tcBorders>
            <w:shd w:val="clear" w:color="auto" w:fill="auto"/>
            <w:noWrap/>
            <w:vAlign w:val="bottom"/>
            <w:hideMark/>
          </w:tcPr>
          <w:p w:rsidR="00A64028" w:rsidRPr="00455C1E" w:rsidRDefault="00A64028" w:rsidP="00103148">
            <w:pPr>
              <w:spacing w:after="0"/>
              <w:rPr>
                <w:rFonts w:ascii="Arial Narrow" w:hAnsi="Arial Narrow"/>
                <w:sz w:val="20"/>
                <w:szCs w:val="20"/>
              </w:rPr>
            </w:pPr>
            <w:r w:rsidRPr="00455C1E">
              <w:rPr>
                <w:rFonts w:ascii="Arial Narrow" w:hAnsi="Arial Narrow"/>
                <w:sz w:val="20"/>
                <w:szCs w:val="20"/>
              </w:rPr>
              <w:t>13</w:t>
            </w:r>
          </w:p>
        </w:tc>
        <w:tc>
          <w:tcPr>
            <w:tcW w:w="6636" w:type="dxa"/>
            <w:tcBorders>
              <w:top w:val="nil"/>
              <w:left w:val="nil"/>
              <w:bottom w:val="single" w:sz="4" w:space="0" w:color="auto"/>
              <w:right w:val="single" w:sz="4" w:space="0" w:color="auto"/>
            </w:tcBorders>
            <w:shd w:val="clear" w:color="auto" w:fill="auto"/>
            <w:noWrap/>
            <w:vAlign w:val="bottom"/>
            <w:hideMark/>
          </w:tcPr>
          <w:p w:rsidR="00A64028" w:rsidRPr="00455C1E" w:rsidRDefault="00A64028" w:rsidP="00103148">
            <w:pPr>
              <w:spacing w:after="0"/>
              <w:rPr>
                <w:rFonts w:ascii="Arial Narrow" w:hAnsi="Arial Narrow"/>
                <w:sz w:val="20"/>
                <w:szCs w:val="20"/>
              </w:rPr>
            </w:pPr>
            <w:r w:rsidRPr="00455C1E">
              <w:rPr>
                <w:rFonts w:ascii="Arial Narrow" w:hAnsi="Arial Narrow"/>
                <w:sz w:val="20"/>
                <w:szCs w:val="20"/>
              </w:rPr>
              <w:t>Рынок услуг по сбору, сортировке и переработке твердых коммунальных (бытовых) отходов</w:t>
            </w:r>
          </w:p>
        </w:tc>
        <w:tc>
          <w:tcPr>
            <w:tcW w:w="2861" w:type="dxa"/>
            <w:tcBorders>
              <w:top w:val="nil"/>
              <w:left w:val="nil"/>
              <w:bottom w:val="single" w:sz="4" w:space="0" w:color="auto"/>
              <w:right w:val="single" w:sz="4" w:space="0" w:color="auto"/>
            </w:tcBorders>
            <w:shd w:val="clear" w:color="auto" w:fill="auto"/>
            <w:noWrap/>
            <w:vAlign w:val="bottom"/>
            <w:hideMark/>
          </w:tcPr>
          <w:p w:rsidR="00A64028" w:rsidRPr="00455C1E" w:rsidRDefault="00A64028" w:rsidP="00103148">
            <w:pPr>
              <w:spacing w:after="0"/>
              <w:jc w:val="center"/>
              <w:rPr>
                <w:rFonts w:ascii="Arial Narrow" w:hAnsi="Arial Narrow"/>
                <w:sz w:val="20"/>
                <w:szCs w:val="20"/>
              </w:rPr>
            </w:pPr>
            <w:r w:rsidRPr="00455C1E">
              <w:rPr>
                <w:rFonts w:ascii="Arial Narrow" w:hAnsi="Arial Narrow"/>
                <w:sz w:val="20"/>
                <w:szCs w:val="20"/>
              </w:rPr>
              <w:t>-</w:t>
            </w:r>
          </w:p>
        </w:tc>
      </w:tr>
    </w:tbl>
    <w:p w:rsidR="00A64028" w:rsidRPr="00455C1E" w:rsidRDefault="00A64028" w:rsidP="00103148">
      <w:pPr>
        <w:spacing w:after="0"/>
        <w:rPr>
          <w:rFonts w:ascii="Arial Narrow" w:hAnsi="Arial Narrow"/>
          <w:b/>
          <w:sz w:val="24"/>
        </w:rPr>
      </w:pPr>
    </w:p>
    <w:p w:rsidR="00737E0A" w:rsidRDefault="00737E0A">
      <w:pPr>
        <w:rPr>
          <w:rFonts w:ascii="Arial Narrow" w:hAnsi="Arial Narrow"/>
          <w:b/>
          <w:sz w:val="24"/>
        </w:rPr>
      </w:pPr>
      <w:r>
        <w:rPr>
          <w:rFonts w:ascii="Arial Narrow" w:hAnsi="Arial Narrow"/>
          <w:b/>
          <w:sz w:val="24"/>
        </w:rPr>
        <w:br w:type="page"/>
      </w:r>
    </w:p>
    <w:p w:rsidR="00A64028" w:rsidRPr="00455C1E" w:rsidRDefault="00A64028" w:rsidP="00BF6DC4">
      <w:pPr>
        <w:spacing w:after="0" w:line="360" w:lineRule="auto"/>
        <w:ind w:firstLine="284"/>
        <w:jc w:val="both"/>
        <w:rPr>
          <w:rFonts w:ascii="Arial Narrow" w:hAnsi="Arial Narrow"/>
          <w:b/>
          <w:sz w:val="24"/>
        </w:rPr>
      </w:pPr>
      <w:r w:rsidRPr="00455C1E">
        <w:rPr>
          <w:rFonts w:ascii="Arial Narrow" w:hAnsi="Arial Narrow"/>
          <w:b/>
          <w:sz w:val="24"/>
        </w:rPr>
        <w:lastRenderedPageBreak/>
        <w:t>1.1.11.</w:t>
      </w:r>
      <w:r w:rsidRPr="00455C1E">
        <w:rPr>
          <w:rFonts w:ascii="Arial Narrow" w:hAnsi="Arial Narrow"/>
          <w:b/>
          <w:sz w:val="24"/>
        </w:rPr>
        <w:tab/>
        <w:t>Количество проверок, выполненных Министерством здравоохранения Новосибирской области в отношении организаций, осуществляющих фармацевтическую деятельность, согласно утверждаемому годовому плану на предмет наличия лицензии, единиц</w:t>
      </w:r>
    </w:p>
    <w:p w:rsidR="00BF6DC4" w:rsidRDefault="00BF6DC4" w:rsidP="00103148">
      <w:pPr>
        <w:spacing w:after="0"/>
        <w:jc w:val="both"/>
        <w:rPr>
          <w:rFonts w:ascii="Arial Narrow" w:hAnsi="Arial Narrow"/>
          <w:bCs/>
          <w:sz w:val="24"/>
          <w:szCs w:val="24"/>
        </w:rPr>
      </w:pPr>
    </w:p>
    <w:p w:rsidR="00A64028" w:rsidRPr="00E82802" w:rsidRDefault="00A64028" w:rsidP="00E82802">
      <w:pPr>
        <w:spacing w:after="0"/>
        <w:rPr>
          <w:rFonts w:ascii="Arial Narrow" w:hAnsi="Arial Narrow"/>
          <w:bCs/>
          <w:sz w:val="24"/>
          <w:szCs w:val="24"/>
        </w:rPr>
      </w:pPr>
      <w:r w:rsidRPr="00E82802">
        <w:rPr>
          <w:rFonts w:ascii="Arial Narrow" w:hAnsi="Arial Narrow"/>
          <w:bCs/>
          <w:sz w:val="24"/>
          <w:szCs w:val="24"/>
        </w:rPr>
        <w:t>Таблица</w:t>
      </w:r>
      <w:r w:rsidR="00262F71" w:rsidRPr="00E82802">
        <w:rPr>
          <w:rFonts w:ascii="Arial Narrow" w:hAnsi="Arial Narrow"/>
          <w:bCs/>
          <w:sz w:val="24"/>
          <w:szCs w:val="24"/>
        </w:rPr>
        <w:t xml:space="preserve"> 7.12.</w:t>
      </w:r>
      <w:r w:rsidRPr="00E82802">
        <w:rPr>
          <w:rFonts w:ascii="Arial Narrow" w:hAnsi="Arial Narrow"/>
          <w:bCs/>
          <w:sz w:val="24"/>
          <w:szCs w:val="24"/>
        </w:rPr>
        <w:t xml:space="preserve"> – </w:t>
      </w:r>
      <w:r w:rsidRPr="00E82802">
        <w:rPr>
          <w:rFonts w:ascii="Arial Narrow" w:hAnsi="Arial Narrow"/>
          <w:b/>
          <w:sz w:val="24"/>
          <w:szCs w:val="24"/>
        </w:rPr>
        <w:t>Количество проверок, выполненных Министерством здравоохранения Новосибирской области в отношении организаций, осуществляющих фармацевтическую деятельность, согласно утверждаемому годовому плану на предмет наличия лицензии, единиц</w:t>
      </w:r>
    </w:p>
    <w:tbl>
      <w:tblPr>
        <w:tblW w:w="10065" w:type="dxa"/>
        <w:tblInd w:w="-279" w:type="dxa"/>
        <w:tblLayout w:type="fixed"/>
        <w:tblCellMar>
          <w:left w:w="0" w:type="dxa"/>
          <w:right w:w="0" w:type="dxa"/>
        </w:tblCellMar>
        <w:tblLook w:val="04A0"/>
      </w:tblPr>
      <w:tblGrid>
        <w:gridCol w:w="601"/>
        <w:gridCol w:w="2366"/>
        <w:gridCol w:w="962"/>
        <w:gridCol w:w="992"/>
        <w:gridCol w:w="1134"/>
        <w:gridCol w:w="709"/>
        <w:gridCol w:w="709"/>
        <w:gridCol w:w="850"/>
        <w:gridCol w:w="1023"/>
        <w:gridCol w:w="719"/>
      </w:tblGrid>
      <w:tr w:rsidR="00A64028" w:rsidRPr="00B833A6" w:rsidTr="001820C5">
        <w:tc>
          <w:tcPr>
            <w:tcW w:w="601" w:type="dxa"/>
            <w:tcBorders>
              <w:top w:val="single" w:sz="4" w:space="0" w:color="auto"/>
              <w:left w:val="single" w:sz="4" w:space="0" w:color="auto"/>
              <w:bottom w:val="single" w:sz="4" w:space="0" w:color="auto"/>
              <w:right w:val="single" w:sz="4" w:space="0" w:color="auto"/>
            </w:tcBorders>
          </w:tcPr>
          <w:p w:rsidR="00A64028" w:rsidRPr="00B833A6" w:rsidRDefault="00A64028" w:rsidP="00103148">
            <w:pPr>
              <w:spacing w:after="0"/>
              <w:rPr>
                <w:rFonts w:ascii="Arial Narrow" w:hAnsi="Arial Narrow"/>
                <w:sz w:val="20"/>
                <w:szCs w:val="20"/>
              </w:rPr>
            </w:pPr>
          </w:p>
        </w:tc>
        <w:tc>
          <w:tcPr>
            <w:tcW w:w="23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64028" w:rsidRPr="00B833A6" w:rsidRDefault="00A64028" w:rsidP="00103148">
            <w:pPr>
              <w:spacing w:after="0"/>
              <w:rPr>
                <w:rFonts w:ascii="Arial Narrow" w:hAnsi="Arial Narrow"/>
                <w:sz w:val="20"/>
                <w:szCs w:val="20"/>
              </w:rPr>
            </w:pPr>
            <w:r w:rsidRPr="00B833A6">
              <w:rPr>
                <w:rFonts w:ascii="Arial Narrow" w:hAnsi="Arial Narrow"/>
                <w:sz w:val="20"/>
                <w:szCs w:val="20"/>
              </w:rPr>
              <w:t> </w:t>
            </w:r>
          </w:p>
        </w:tc>
        <w:tc>
          <w:tcPr>
            <w:tcW w:w="962" w:type="dxa"/>
            <w:tcBorders>
              <w:top w:val="single" w:sz="4" w:space="0" w:color="auto"/>
              <w:left w:val="nil"/>
              <w:bottom w:val="single" w:sz="4" w:space="0" w:color="auto"/>
              <w:right w:val="single" w:sz="4" w:space="0" w:color="auto"/>
            </w:tcBorders>
            <w:shd w:val="clear" w:color="auto" w:fill="auto"/>
            <w:noWrap/>
            <w:vAlign w:val="center"/>
            <w:hideMark/>
          </w:tcPr>
          <w:p w:rsidR="00A64028" w:rsidRPr="00B833A6" w:rsidRDefault="00A64028" w:rsidP="001820C5">
            <w:pPr>
              <w:spacing w:after="0"/>
              <w:jc w:val="center"/>
              <w:rPr>
                <w:rFonts w:ascii="Arial Narrow" w:hAnsi="Arial Narrow"/>
                <w:sz w:val="20"/>
                <w:szCs w:val="20"/>
              </w:rPr>
            </w:pPr>
            <w:r w:rsidRPr="00B833A6">
              <w:rPr>
                <w:rFonts w:ascii="Arial Narrow" w:hAnsi="Arial Narrow"/>
                <w:sz w:val="20"/>
                <w:szCs w:val="20"/>
              </w:rPr>
              <w:t>Нарушений не выявлено</w:t>
            </w:r>
          </w:p>
        </w:tc>
        <w:tc>
          <w:tcPr>
            <w:tcW w:w="992" w:type="dxa"/>
            <w:tcBorders>
              <w:top w:val="single" w:sz="4" w:space="0" w:color="auto"/>
              <w:left w:val="nil"/>
              <w:bottom w:val="single" w:sz="4" w:space="0" w:color="auto"/>
              <w:right w:val="single" w:sz="4" w:space="0" w:color="auto"/>
            </w:tcBorders>
            <w:shd w:val="clear" w:color="000000" w:fill="FFFFFF"/>
            <w:vAlign w:val="center"/>
            <w:hideMark/>
          </w:tcPr>
          <w:p w:rsidR="00A64028" w:rsidRPr="00B833A6" w:rsidRDefault="00A64028" w:rsidP="001820C5">
            <w:pPr>
              <w:spacing w:after="0"/>
              <w:jc w:val="center"/>
              <w:rPr>
                <w:rFonts w:ascii="Arial Narrow" w:hAnsi="Arial Narrow" w:cs="Arial"/>
                <w:sz w:val="20"/>
                <w:szCs w:val="20"/>
              </w:rPr>
            </w:pPr>
            <w:r w:rsidRPr="00B833A6">
              <w:rPr>
                <w:rFonts w:ascii="Arial Narrow" w:hAnsi="Arial Narrow" w:cs="Arial"/>
                <w:sz w:val="20"/>
                <w:szCs w:val="20"/>
              </w:rPr>
              <w:t>Нарушения условий хранения лекарственных препаратов</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64028" w:rsidRPr="00B833A6" w:rsidRDefault="00A64028" w:rsidP="001820C5">
            <w:pPr>
              <w:spacing w:after="0"/>
              <w:jc w:val="center"/>
              <w:rPr>
                <w:rFonts w:ascii="Arial Narrow" w:hAnsi="Arial Narrow" w:cs="Arial"/>
                <w:sz w:val="20"/>
                <w:szCs w:val="20"/>
              </w:rPr>
            </w:pPr>
            <w:r w:rsidRPr="00B833A6">
              <w:rPr>
                <w:rFonts w:ascii="Arial Narrow" w:hAnsi="Arial Narrow" w:cs="Arial"/>
                <w:sz w:val="20"/>
                <w:szCs w:val="20"/>
              </w:rPr>
              <w:t>Нарушения правил учета лекарственных препаратов, входящих в список ПКУ</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A64028" w:rsidRPr="00B833A6" w:rsidRDefault="00A64028" w:rsidP="001820C5">
            <w:pPr>
              <w:spacing w:after="0"/>
              <w:jc w:val="center"/>
              <w:rPr>
                <w:rFonts w:ascii="Arial Narrow" w:hAnsi="Arial Narrow"/>
                <w:sz w:val="20"/>
                <w:szCs w:val="20"/>
              </w:rPr>
            </w:pPr>
            <w:r w:rsidRPr="00B833A6">
              <w:rPr>
                <w:rFonts w:ascii="Arial Narrow" w:hAnsi="Arial Narrow"/>
                <w:sz w:val="20"/>
                <w:szCs w:val="20"/>
              </w:rPr>
              <w:t>Отсутствие деятельности на объекте</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A64028" w:rsidRPr="00B833A6" w:rsidRDefault="00A64028" w:rsidP="001820C5">
            <w:pPr>
              <w:spacing w:after="0"/>
              <w:jc w:val="center"/>
              <w:rPr>
                <w:rFonts w:ascii="Arial Narrow" w:hAnsi="Arial Narrow" w:cs="Arial"/>
                <w:sz w:val="20"/>
                <w:szCs w:val="20"/>
              </w:rPr>
            </w:pPr>
            <w:r w:rsidRPr="00B833A6">
              <w:rPr>
                <w:rFonts w:ascii="Arial Narrow" w:hAnsi="Arial Narrow" w:cs="Arial"/>
                <w:sz w:val="20"/>
                <w:szCs w:val="20"/>
              </w:rPr>
              <w:t>Нарушения ценообразования ЖНВЛП</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A64028" w:rsidRPr="00B833A6" w:rsidRDefault="00A64028" w:rsidP="001820C5">
            <w:pPr>
              <w:spacing w:after="0"/>
              <w:jc w:val="center"/>
              <w:rPr>
                <w:rFonts w:ascii="Arial Narrow" w:hAnsi="Arial Narrow"/>
                <w:sz w:val="20"/>
                <w:szCs w:val="20"/>
              </w:rPr>
            </w:pPr>
            <w:r w:rsidRPr="00B833A6">
              <w:rPr>
                <w:rFonts w:ascii="Arial Narrow" w:hAnsi="Arial Narrow"/>
                <w:sz w:val="20"/>
                <w:szCs w:val="20"/>
              </w:rPr>
              <w:t>Выдано предписание</w:t>
            </w:r>
          </w:p>
        </w:tc>
        <w:tc>
          <w:tcPr>
            <w:tcW w:w="1023" w:type="dxa"/>
            <w:tcBorders>
              <w:top w:val="single" w:sz="4" w:space="0" w:color="auto"/>
              <w:left w:val="nil"/>
              <w:bottom w:val="single" w:sz="4" w:space="0" w:color="auto"/>
              <w:right w:val="single" w:sz="4" w:space="0" w:color="auto"/>
            </w:tcBorders>
            <w:shd w:val="clear" w:color="auto" w:fill="auto"/>
            <w:vAlign w:val="center"/>
            <w:hideMark/>
          </w:tcPr>
          <w:p w:rsidR="00A64028" w:rsidRPr="00B833A6" w:rsidRDefault="00A64028" w:rsidP="001820C5">
            <w:pPr>
              <w:spacing w:after="0"/>
              <w:jc w:val="center"/>
              <w:rPr>
                <w:rFonts w:ascii="Arial Narrow" w:hAnsi="Arial Narrow"/>
                <w:sz w:val="20"/>
                <w:szCs w:val="20"/>
              </w:rPr>
            </w:pPr>
            <w:r w:rsidRPr="00B833A6">
              <w:rPr>
                <w:rFonts w:ascii="Arial Narrow" w:hAnsi="Arial Narrow"/>
                <w:sz w:val="20"/>
                <w:szCs w:val="20"/>
              </w:rPr>
              <w:t>Выдано предписание, составлен протокол об административном правонарушении</w:t>
            </w:r>
          </w:p>
        </w:tc>
        <w:tc>
          <w:tcPr>
            <w:tcW w:w="719" w:type="dxa"/>
            <w:tcBorders>
              <w:top w:val="single" w:sz="4" w:space="0" w:color="auto"/>
              <w:left w:val="nil"/>
              <w:bottom w:val="single" w:sz="4" w:space="0" w:color="auto"/>
              <w:right w:val="single" w:sz="4" w:space="0" w:color="auto"/>
            </w:tcBorders>
            <w:shd w:val="clear" w:color="auto" w:fill="auto"/>
            <w:noWrap/>
            <w:vAlign w:val="center"/>
            <w:hideMark/>
          </w:tcPr>
          <w:p w:rsidR="00A64028" w:rsidRPr="00B833A6" w:rsidRDefault="00A64028" w:rsidP="001820C5">
            <w:pPr>
              <w:spacing w:after="0"/>
              <w:jc w:val="center"/>
              <w:rPr>
                <w:rFonts w:ascii="Arial Narrow" w:hAnsi="Arial Narrow"/>
                <w:b/>
                <w:sz w:val="20"/>
                <w:szCs w:val="20"/>
              </w:rPr>
            </w:pPr>
            <w:r w:rsidRPr="00B833A6">
              <w:rPr>
                <w:rFonts w:ascii="Arial Narrow" w:hAnsi="Arial Narrow"/>
                <w:b/>
                <w:sz w:val="20"/>
                <w:szCs w:val="20"/>
              </w:rPr>
              <w:t>ВСЕГО</w:t>
            </w:r>
          </w:p>
        </w:tc>
      </w:tr>
      <w:tr w:rsidR="00A64028" w:rsidRPr="00B833A6" w:rsidTr="00754B4E">
        <w:tc>
          <w:tcPr>
            <w:tcW w:w="10065" w:type="dxa"/>
            <w:gridSpan w:val="10"/>
            <w:tcBorders>
              <w:top w:val="single" w:sz="4" w:space="0" w:color="auto"/>
              <w:left w:val="single" w:sz="4" w:space="0" w:color="auto"/>
              <w:bottom w:val="single" w:sz="4" w:space="0" w:color="auto"/>
              <w:right w:val="single" w:sz="4" w:space="0" w:color="auto"/>
            </w:tcBorders>
          </w:tcPr>
          <w:p w:rsidR="00A64028" w:rsidRPr="00B833A6" w:rsidRDefault="00A64028" w:rsidP="00E82802">
            <w:pPr>
              <w:spacing w:after="0"/>
              <w:ind w:left="142"/>
              <w:rPr>
                <w:rFonts w:ascii="Arial Narrow" w:hAnsi="Arial Narrow"/>
                <w:b/>
                <w:sz w:val="20"/>
                <w:szCs w:val="20"/>
              </w:rPr>
            </w:pPr>
            <w:r w:rsidRPr="00B833A6">
              <w:rPr>
                <w:rFonts w:ascii="Arial Narrow" w:hAnsi="Arial Narrow"/>
                <w:b/>
                <w:sz w:val="20"/>
                <w:szCs w:val="20"/>
              </w:rPr>
              <w:t>Количество проверок, выполненных Министерством здравоохранения Новосибирской области в отношении организаций, осуществляющих фармацевтическую деятельность, согласно утверждаемому годовому плану на предмет наличия лицензии, единиц</w:t>
            </w:r>
          </w:p>
        </w:tc>
      </w:tr>
      <w:tr w:rsidR="00A64028" w:rsidRPr="00B833A6" w:rsidTr="00754B4E">
        <w:trPr>
          <w:trHeight w:val="227"/>
        </w:trPr>
        <w:tc>
          <w:tcPr>
            <w:tcW w:w="601" w:type="dxa"/>
            <w:vMerge w:val="restart"/>
            <w:tcBorders>
              <w:top w:val="nil"/>
              <w:left w:val="single" w:sz="4" w:space="0" w:color="auto"/>
              <w:right w:val="single" w:sz="4" w:space="0" w:color="auto"/>
            </w:tcBorders>
          </w:tcPr>
          <w:p w:rsidR="00A64028" w:rsidRPr="00B833A6" w:rsidRDefault="00A64028" w:rsidP="00E82802">
            <w:pPr>
              <w:spacing w:after="0" w:line="240" w:lineRule="auto"/>
              <w:rPr>
                <w:rFonts w:ascii="Arial Narrow" w:hAnsi="Arial Narrow"/>
                <w:sz w:val="20"/>
                <w:szCs w:val="20"/>
              </w:rPr>
            </w:pPr>
            <w:r w:rsidRPr="00B833A6">
              <w:rPr>
                <w:rFonts w:ascii="Arial Narrow" w:hAnsi="Arial Narrow"/>
                <w:sz w:val="20"/>
                <w:szCs w:val="20"/>
              </w:rPr>
              <w:t>2015 г.</w:t>
            </w:r>
          </w:p>
        </w:tc>
        <w:tc>
          <w:tcPr>
            <w:tcW w:w="2366" w:type="dxa"/>
            <w:tcBorders>
              <w:top w:val="nil"/>
              <w:left w:val="single" w:sz="4" w:space="0" w:color="auto"/>
              <w:bottom w:val="single" w:sz="4" w:space="0" w:color="auto"/>
              <w:right w:val="single" w:sz="4" w:space="0" w:color="auto"/>
            </w:tcBorders>
            <w:shd w:val="clear" w:color="auto" w:fill="auto"/>
            <w:vAlign w:val="bottom"/>
            <w:hideMark/>
          </w:tcPr>
          <w:p w:rsidR="00A64028" w:rsidRPr="00B833A6" w:rsidRDefault="00A64028" w:rsidP="00E82802">
            <w:pPr>
              <w:spacing w:after="0" w:line="240" w:lineRule="auto"/>
              <w:ind w:left="142"/>
              <w:rPr>
                <w:rFonts w:ascii="Arial Narrow" w:hAnsi="Arial Narrow"/>
                <w:sz w:val="20"/>
                <w:szCs w:val="20"/>
              </w:rPr>
            </w:pPr>
            <w:r w:rsidRPr="00B833A6">
              <w:rPr>
                <w:rFonts w:ascii="Arial Narrow" w:hAnsi="Arial Narrow"/>
                <w:sz w:val="20"/>
                <w:szCs w:val="20"/>
              </w:rPr>
              <w:t>Внеплановая выездная проверка</w:t>
            </w:r>
          </w:p>
        </w:tc>
        <w:tc>
          <w:tcPr>
            <w:tcW w:w="962" w:type="dxa"/>
            <w:tcBorders>
              <w:top w:val="nil"/>
              <w:left w:val="nil"/>
              <w:bottom w:val="single" w:sz="4" w:space="0" w:color="auto"/>
              <w:right w:val="single" w:sz="4" w:space="0" w:color="auto"/>
            </w:tcBorders>
            <w:shd w:val="clear" w:color="auto" w:fill="auto"/>
            <w:noWrap/>
            <w:vAlign w:val="bottom"/>
            <w:hideMark/>
          </w:tcPr>
          <w:p w:rsidR="00A64028" w:rsidRPr="00B833A6" w:rsidRDefault="00A64028" w:rsidP="00103148">
            <w:pPr>
              <w:spacing w:after="0"/>
              <w:jc w:val="center"/>
              <w:rPr>
                <w:rFonts w:ascii="Arial Narrow" w:hAnsi="Arial Narrow"/>
                <w:sz w:val="20"/>
                <w:szCs w:val="20"/>
              </w:rPr>
            </w:pPr>
            <w:r w:rsidRPr="00B833A6">
              <w:rPr>
                <w:rFonts w:ascii="Arial Narrow" w:hAnsi="Arial Narrow"/>
                <w:sz w:val="20"/>
                <w:szCs w:val="20"/>
              </w:rPr>
              <w:t>13</w:t>
            </w:r>
          </w:p>
        </w:tc>
        <w:tc>
          <w:tcPr>
            <w:tcW w:w="992" w:type="dxa"/>
            <w:tcBorders>
              <w:top w:val="nil"/>
              <w:left w:val="nil"/>
              <w:bottom w:val="single" w:sz="4" w:space="0" w:color="auto"/>
              <w:right w:val="single" w:sz="4" w:space="0" w:color="auto"/>
            </w:tcBorders>
            <w:shd w:val="clear" w:color="auto" w:fill="auto"/>
            <w:noWrap/>
            <w:vAlign w:val="bottom"/>
            <w:hideMark/>
          </w:tcPr>
          <w:p w:rsidR="00A64028" w:rsidRPr="00B833A6" w:rsidRDefault="00A64028" w:rsidP="00103148">
            <w:pPr>
              <w:spacing w:after="0"/>
              <w:jc w:val="center"/>
              <w:rPr>
                <w:rFonts w:ascii="Arial Narrow" w:hAnsi="Arial Narrow"/>
                <w:sz w:val="20"/>
                <w:szCs w:val="20"/>
              </w:rPr>
            </w:pPr>
            <w:r w:rsidRPr="00B833A6">
              <w:rPr>
                <w:rFonts w:ascii="Arial Narrow" w:hAnsi="Arial Narrow"/>
                <w:sz w:val="20"/>
                <w:szCs w:val="20"/>
              </w:rPr>
              <w:t>0</w:t>
            </w:r>
          </w:p>
        </w:tc>
        <w:tc>
          <w:tcPr>
            <w:tcW w:w="1134" w:type="dxa"/>
            <w:tcBorders>
              <w:top w:val="nil"/>
              <w:left w:val="nil"/>
              <w:bottom w:val="single" w:sz="4" w:space="0" w:color="auto"/>
              <w:right w:val="single" w:sz="4" w:space="0" w:color="auto"/>
            </w:tcBorders>
            <w:shd w:val="clear" w:color="auto" w:fill="auto"/>
            <w:noWrap/>
            <w:vAlign w:val="bottom"/>
            <w:hideMark/>
          </w:tcPr>
          <w:p w:rsidR="00A64028" w:rsidRPr="00B833A6" w:rsidRDefault="00A64028" w:rsidP="00103148">
            <w:pPr>
              <w:spacing w:after="0"/>
              <w:jc w:val="center"/>
              <w:rPr>
                <w:rFonts w:ascii="Arial Narrow" w:hAnsi="Arial Narrow"/>
                <w:sz w:val="20"/>
                <w:szCs w:val="20"/>
              </w:rPr>
            </w:pPr>
            <w:r w:rsidRPr="00B833A6">
              <w:rPr>
                <w:rFonts w:ascii="Arial Narrow" w:hAnsi="Arial Narrow"/>
                <w:sz w:val="20"/>
                <w:szCs w:val="20"/>
              </w:rPr>
              <w:t>0</w:t>
            </w:r>
          </w:p>
        </w:tc>
        <w:tc>
          <w:tcPr>
            <w:tcW w:w="709" w:type="dxa"/>
            <w:tcBorders>
              <w:top w:val="nil"/>
              <w:left w:val="nil"/>
              <w:bottom w:val="single" w:sz="4" w:space="0" w:color="auto"/>
              <w:right w:val="single" w:sz="4" w:space="0" w:color="auto"/>
            </w:tcBorders>
            <w:shd w:val="clear" w:color="auto" w:fill="auto"/>
            <w:noWrap/>
            <w:vAlign w:val="bottom"/>
            <w:hideMark/>
          </w:tcPr>
          <w:p w:rsidR="00A64028" w:rsidRPr="00B833A6" w:rsidRDefault="00A64028" w:rsidP="00103148">
            <w:pPr>
              <w:spacing w:after="0"/>
              <w:jc w:val="center"/>
              <w:rPr>
                <w:rFonts w:ascii="Arial Narrow" w:hAnsi="Arial Narrow"/>
                <w:sz w:val="20"/>
                <w:szCs w:val="20"/>
              </w:rPr>
            </w:pPr>
            <w:r w:rsidRPr="00B833A6">
              <w:rPr>
                <w:rFonts w:ascii="Arial Narrow" w:hAnsi="Arial Narrow"/>
                <w:sz w:val="20"/>
                <w:szCs w:val="20"/>
              </w:rPr>
              <w:t>1</w:t>
            </w:r>
          </w:p>
        </w:tc>
        <w:tc>
          <w:tcPr>
            <w:tcW w:w="709" w:type="dxa"/>
            <w:tcBorders>
              <w:top w:val="nil"/>
              <w:left w:val="nil"/>
              <w:bottom w:val="single" w:sz="4" w:space="0" w:color="auto"/>
              <w:right w:val="single" w:sz="4" w:space="0" w:color="auto"/>
            </w:tcBorders>
            <w:shd w:val="clear" w:color="auto" w:fill="auto"/>
            <w:noWrap/>
            <w:vAlign w:val="bottom"/>
            <w:hideMark/>
          </w:tcPr>
          <w:p w:rsidR="00A64028" w:rsidRPr="00B833A6" w:rsidRDefault="00A64028" w:rsidP="00103148">
            <w:pPr>
              <w:spacing w:after="0"/>
              <w:jc w:val="center"/>
              <w:rPr>
                <w:rFonts w:ascii="Arial Narrow" w:hAnsi="Arial Narrow"/>
                <w:sz w:val="20"/>
                <w:szCs w:val="20"/>
              </w:rPr>
            </w:pPr>
            <w:r w:rsidRPr="00B833A6">
              <w:rPr>
                <w:rFonts w:ascii="Arial Narrow" w:hAnsi="Arial Narrow"/>
                <w:sz w:val="20"/>
                <w:szCs w:val="20"/>
              </w:rPr>
              <w:t> </w:t>
            </w:r>
          </w:p>
        </w:tc>
        <w:tc>
          <w:tcPr>
            <w:tcW w:w="850" w:type="dxa"/>
            <w:tcBorders>
              <w:top w:val="nil"/>
              <w:left w:val="nil"/>
              <w:bottom w:val="single" w:sz="4" w:space="0" w:color="auto"/>
              <w:right w:val="single" w:sz="4" w:space="0" w:color="auto"/>
            </w:tcBorders>
            <w:shd w:val="clear" w:color="auto" w:fill="auto"/>
            <w:noWrap/>
            <w:vAlign w:val="bottom"/>
            <w:hideMark/>
          </w:tcPr>
          <w:p w:rsidR="00A64028" w:rsidRPr="00B833A6" w:rsidRDefault="00A64028" w:rsidP="00103148">
            <w:pPr>
              <w:spacing w:after="0"/>
              <w:jc w:val="center"/>
              <w:rPr>
                <w:rFonts w:ascii="Arial Narrow" w:hAnsi="Arial Narrow"/>
                <w:sz w:val="20"/>
                <w:szCs w:val="20"/>
              </w:rPr>
            </w:pPr>
            <w:r w:rsidRPr="00B833A6">
              <w:rPr>
                <w:rFonts w:ascii="Arial Narrow" w:hAnsi="Arial Narrow"/>
                <w:sz w:val="20"/>
                <w:szCs w:val="20"/>
              </w:rPr>
              <w:t>0</w:t>
            </w:r>
          </w:p>
        </w:tc>
        <w:tc>
          <w:tcPr>
            <w:tcW w:w="1023" w:type="dxa"/>
            <w:tcBorders>
              <w:top w:val="nil"/>
              <w:left w:val="nil"/>
              <w:bottom w:val="single" w:sz="4" w:space="0" w:color="auto"/>
              <w:right w:val="single" w:sz="4" w:space="0" w:color="auto"/>
            </w:tcBorders>
            <w:shd w:val="clear" w:color="auto" w:fill="auto"/>
            <w:noWrap/>
            <w:vAlign w:val="bottom"/>
            <w:hideMark/>
          </w:tcPr>
          <w:p w:rsidR="00A64028" w:rsidRPr="00B833A6" w:rsidRDefault="00A64028" w:rsidP="00103148">
            <w:pPr>
              <w:spacing w:after="0"/>
              <w:jc w:val="center"/>
              <w:rPr>
                <w:rFonts w:ascii="Arial Narrow" w:hAnsi="Arial Narrow"/>
                <w:sz w:val="20"/>
                <w:szCs w:val="20"/>
              </w:rPr>
            </w:pPr>
            <w:r w:rsidRPr="00B833A6">
              <w:rPr>
                <w:rFonts w:ascii="Arial Narrow" w:hAnsi="Arial Narrow"/>
                <w:sz w:val="20"/>
                <w:szCs w:val="20"/>
              </w:rPr>
              <w:t>0</w:t>
            </w:r>
          </w:p>
        </w:tc>
        <w:tc>
          <w:tcPr>
            <w:tcW w:w="719" w:type="dxa"/>
            <w:tcBorders>
              <w:top w:val="nil"/>
              <w:left w:val="nil"/>
              <w:bottom w:val="single" w:sz="4" w:space="0" w:color="auto"/>
              <w:right w:val="single" w:sz="4" w:space="0" w:color="auto"/>
            </w:tcBorders>
            <w:shd w:val="clear" w:color="auto" w:fill="auto"/>
            <w:vAlign w:val="bottom"/>
            <w:hideMark/>
          </w:tcPr>
          <w:p w:rsidR="00A64028" w:rsidRPr="00B833A6" w:rsidRDefault="00A64028" w:rsidP="00103148">
            <w:pPr>
              <w:spacing w:after="0"/>
              <w:jc w:val="center"/>
              <w:rPr>
                <w:rFonts w:ascii="Arial Narrow" w:hAnsi="Arial Narrow" w:cs="Arial"/>
                <w:b/>
                <w:bCs/>
                <w:sz w:val="20"/>
                <w:szCs w:val="20"/>
              </w:rPr>
            </w:pPr>
            <w:r w:rsidRPr="00B833A6">
              <w:rPr>
                <w:rFonts w:ascii="Arial Narrow" w:hAnsi="Arial Narrow" w:cs="Arial"/>
                <w:b/>
                <w:bCs/>
                <w:sz w:val="20"/>
                <w:szCs w:val="20"/>
              </w:rPr>
              <w:t>14</w:t>
            </w:r>
          </w:p>
        </w:tc>
      </w:tr>
      <w:tr w:rsidR="00A64028" w:rsidRPr="00B833A6" w:rsidTr="00754B4E">
        <w:trPr>
          <w:trHeight w:val="227"/>
        </w:trPr>
        <w:tc>
          <w:tcPr>
            <w:tcW w:w="601" w:type="dxa"/>
            <w:vMerge/>
            <w:tcBorders>
              <w:left w:val="single" w:sz="4" w:space="0" w:color="auto"/>
              <w:bottom w:val="single" w:sz="4" w:space="0" w:color="auto"/>
              <w:right w:val="single" w:sz="4" w:space="0" w:color="auto"/>
            </w:tcBorders>
          </w:tcPr>
          <w:p w:rsidR="00A64028" w:rsidRPr="00B833A6" w:rsidRDefault="00A64028" w:rsidP="00E82802">
            <w:pPr>
              <w:spacing w:after="0" w:line="240" w:lineRule="auto"/>
              <w:rPr>
                <w:rFonts w:ascii="Arial Narrow" w:hAnsi="Arial Narrow"/>
                <w:sz w:val="20"/>
                <w:szCs w:val="20"/>
              </w:rPr>
            </w:pPr>
          </w:p>
        </w:tc>
        <w:tc>
          <w:tcPr>
            <w:tcW w:w="2366" w:type="dxa"/>
            <w:tcBorders>
              <w:top w:val="nil"/>
              <w:left w:val="single" w:sz="4" w:space="0" w:color="auto"/>
              <w:bottom w:val="single" w:sz="4" w:space="0" w:color="auto"/>
              <w:right w:val="single" w:sz="4" w:space="0" w:color="auto"/>
            </w:tcBorders>
            <w:shd w:val="clear" w:color="auto" w:fill="auto"/>
            <w:vAlign w:val="bottom"/>
            <w:hideMark/>
          </w:tcPr>
          <w:p w:rsidR="00A64028" w:rsidRPr="00B833A6" w:rsidRDefault="00A64028" w:rsidP="00E82802">
            <w:pPr>
              <w:spacing w:after="0" w:line="240" w:lineRule="auto"/>
              <w:ind w:left="142"/>
              <w:rPr>
                <w:rFonts w:ascii="Arial Narrow" w:hAnsi="Arial Narrow"/>
                <w:sz w:val="20"/>
                <w:szCs w:val="20"/>
              </w:rPr>
            </w:pPr>
            <w:r w:rsidRPr="00B833A6">
              <w:rPr>
                <w:rFonts w:ascii="Arial Narrow" w:hAnsi="Arial Narrow"/>
                <w:sz w:val="20"/>
                <w:szCs w:val="20"/>
              </w:rPr>
              <w:t>Плановая выездная проверка</w:t>
            </w:r>
          </w:p>
        </w:tc>
        <w:tc>
          <w:tcPr>
            <w:tcW w:w="962" w:type="dxa"/>
            <w:tcBorders>
              <w:top w:val="nil"/>
              <w:left w:val="nil"/>
              <w:bottom w:val="single" w:sz="4" w:space="0" w:color="auto"/>
              <w:right w:val="single" w:sz="4" w:space="0" w:color="auto"/>
            </w:tcBorders>
            <w:shd w:val="clear" w:color="auto" w:fill="auto"/>
            <w:noWrap/>
            <w:vAlign w:val="bottom"/>
            <w:hideMark/>
          </w:tcPr>
          <w:p w:rsidR="00A64028" w:rsidRPr="00B833A6" w:rsidRDefault="00A64028" w:rsidP="00103148">
            <w:pPr>
              <w:spacing w:after="0"/>
              <w:jc w:val="center"/>
              <w:rPr>
                <w:rFonts w:ascii="Arial Narrow" w:hAnsi="Arial Narrow" w:cs="Arial"/>
                <w:bCs/>
                <w:sz w:val="20"/>
                <w:szCs w:val="20"/>
              </w:rPr>
            </w:pPr>
            <w:r w:rsidRPr="00B833A6">
              <w:rPr>
                <w:rFonts w:ascii="Arial Narrow" w:hAnsi="Arial Narrow" w:cs="Arial"/>
                <w:bCs/>
                <w:sz w:val="20"/>
                <w:szCs w:val="20"/>
              </w:rPr>
              <w:t>9</w:t>
            </w:r>
          </w:p>
        </w:tc>
        <w:tc>
          <w:tcPr>
            <w:tcW w:w="992" w:type="dxa"/>
            <w:tcBorders>
              <w:top w:val="nil"/>
              <w:left w:val="nil"/>
              <w:bottom w:val="single" w:sz="4" w:space="0" w:color="auto"/>
              <w:right w:val="single" w:sz="4" w:space="0" w:color="auto"/>
            </w:tcBorders>
            <w:shd w:val="clear" w:color="auto" w:fill="auto"/>
            <w:noWrap/>
            <w:vAlign w:val="bottom"/>
            <w:hideMark/>
          </w:tcPr>
          <w:p w:rsidR="00A64028" w:rsidRPr="00B833A6" w:rsidRDefault="00A64028" w:rsidP="00103148">
            <w:pPr>
              <w:spacing w:after="0"/>
              <w:jc w:val="center"/>
              <w:rPr>
                <w:rFonts w:ascii="Arial Narrow" w:hAnsi="Arial Narrow" w:cs="Arial"/>
                <w:bCs/>
                <w:sz w:val="20"/>
                <w:szCs w:val="20"/>
              </w:rPr>
            </w:pPr>
            <w:r w:rsidRPr="00B833A6">
              <w:rPr>
                <w:rFonts w:ascii="Arial Narrow" w:hAnsi="Arial Narrow" w:cs="Arial"/>
                <w:bCs/>
                <w:sz w:val="20"/>
                <w:szCs w:val="20"/>
              </w:rPr>
              <w:t>0</w:t>
            </w:r>
          </w:p>
        </w:tc>
        <w:tc>
          <w:tcPr>
            <w:tcW w:w="1134" w:type="dxa"/>
            <w:tcBorders>
              <w:top w:val="nil"/>
              <w:left w:val="nil"/>
              <w:bottom w:val="single" w:sz="4" w:space="0" w:color="auto"/>
              <w:right w:val="single" w:sz="4" w:space="0" w:color="auto"/>
            </w:tcBorders>
            <w:shd w:val="clear" w:color="auto" w:fill="auto"/>
            <w:noWrap/>
            <w:vAlign w:val="bottom"/>
            <w:hideMark/>
          </w:tcPr>
          <w:p w:rsidR="00A64028" w:rsidRPr="00B833A6" w:rsidRDefault="00A64028" w:rsidP="00103148">
            <w:pPr>
              <w:spacing w:after="0"/>
              <w:jc w:val="center"/>
              <w:rPr>
                <w:rFonts w:ascii="Arial Narrow" w:hAnsi="Arial Narrow" w:cs="Arial"/>
                <w:bCs/>
                <w:sz w:val="20"/>
                <w:szCs w:val="20"/>
              </w:rPr>
            </w:pPr>
            <w:r w:rsidRPr="00B833A6">
              <w:rPr>
                <w:rFonts w:ascii="Arial Narrow" w:hAnsi="Arial Narrow" w:cs="Arial"/>
                <w:bCs/>
                <w:sz w:val="20"/>
                <w:szCs w:val="20"/>
              </w:rPr>
              <w:t>0</w:t>
            </w:r>
          </w:p>
        </w:tc>
        <w:tc>
          <w:tcPr>
            <w:tcW w:w="709" w:type="dxa"/>
            <w:tcBorders>
              <w:top w:val="nil"/>
              <w:left w:val="nil"/>
              <w:bottom w:val="single" w:sz="4" w:space="0" w:color="auto"/>
              <w:right w:val="single" w:sz="4" w:space="0" w:color="auto"/>
            </w:tcBorders>
            <w:shd w:val="clear" w:color="auto" w:fill="auto"/>
            <w:noWrap/>
            <w:vAlign w:val="bottom"/>
            <w:hideMark/>
          </w:tcPr>
          <w:p w:rsidR="00A64028" w:rsidRPr="00B833A6" w:rsidRDefault="00A64028" w:rsidP="00103148">
            <w:pPr>
              <w:spacing w:after="0"/>
              <w:jc w:val="center"/>
              <w:rPr>
                <w:rFonts w:ascii="Arial Narrow" w:hAnsi="Arial Narrow" w:cs="Arial"/>
                <w:bCs/>
                <w:sz w:val="20"/>
                <w:szCs w:val="20"/>
              </w:rPr>
            </w:pPr>
            <w:r w:rsidRPr="00B833A6">
              <w:rPr>
                <w:rFonts w:ascii="Arial Narrow" w:hAnsi="Arial Narrow" w:cs="Arial"/>
                <w:bCs/>
                <w:sz w:val="20"/>
                <w:szCs w:val="20"/>
              </w:rPr>
              <w:t>8</w:t>
            </w:r>
          </w:p>
        </w:tc>
        <w:tc>
          <w:tcPr>
            <w:tcW w:w="709" w:type="dxa"/>
            <w:tcBorders>
              <w:top w:val="nil"/>
              <w:left w:val="nil"/>
              <w:bottom w:val="single" w:sz="4" w:space="0" w:color="auto"/>
              <w:right w:val="single" w:sz="4" w:space="0" w:color="auto"/>
            </w:tcBorders>
            <w:shd w:val="clear" w:color="auto" w:fill="auto"/>
            <w:noWrap/>
            <w:vAlign w:val="bottom"/>
            <w:hideMark/>
          </w:tcPr>
          <w:p w:rsidR="00A64028" w:rsidRPr="00B833A6" w:rsidRDefault="00A64028" w:rsidP="00103148">
            <w:pPr>
              <w:spacing w:after="0"/>
              <w:jc w:val="center"/>
              <w:rPr>
                <w:rFonts w:ascii="Arial Narrow" w:hAnsi="Arial Narrow" w:cs="Arial"/>
                <w:bCs/>
                <w:sz w:val="20"/>
                <w:szCs w:val="20"/>
              </w:rPr>
            </w:pPr>
            <w:r w:rsidRPr="00B833A6">
              <w:rPr>
                <w:rFonts w:ascii="Arial Narrow" w:hAnsi="Arial Narrow" w:cs="Arial"/>
                <w:bCs/>
                <w:sz w:val="20"/>
                <w:szCs w:val="20"/>
              </w:rPr>
              <w:t> 0</w:t>
            </w:r>
          </w:p>
        </w:tc>
        <w:tc>
          <w:tcPr>
            <w:tcW w:w="850" w:type="dxa"/>
            <w:tcBorders>
              <w:top w:val="nil"/>
              <w:left w:val="nil"/>
              <w:bottom w:val="single" w:sz="4" w:space="0" w:color="auto"/>
              <w:right w:val="single" w:sz="4" w:space="0" w:color="auto"/>
            </w:tcBorders>
            <w:shd w:val="clear" w:color="auto" w:fill="auto"/>
            <w:noWrap/>
            <w:vAlign w:val="bottom"/>
            <w:hideMark/>
          </w:tcPr>
          <w:p w:rsidR="00A64028" w:rsidRPr="00B833A6" w:rsidRDefault="00A64028" w:rsidP="00103148">
            <w:pPr>
              <w:spacing w:after="0"/>
              <w:jc w:val="center"/>
              <w:rPr>
                <w:rFonts w:ascii="Arial Narrow" w:hAnsi="Arial Narrow"/>
                <w:sz w:val="20"/>
                <w:szCs w:val="20"/>
              </w:rPr>
            </w:pPr>
            <w:r w:rsidRPr="00B833A6">
              <w:rPr>
                <w:rFonts w:ascii="Arial Narrow" w:hAnsi="Arial Narrow"/>
                <w:sz w:val="20"/>
                <w:szCs w:val="20"/>
              </w:rPr>
              <w:t>4</w:t>
            </w:r>
          </w:p>
        </w:tc>
        <w:tc>
          <w:tcPr>
            <w:tcW w:w="1023" w:type="dxa"/>
            <w:tcBorders>
              <w:top w:val="nil"/>
              <w:left w:val="nil"/>
              <w:bottom w:val="single" w:sz="4" w:space="0" w:color="auto"/>
              <w:right w:val="single" w:sz="4" w:space="0" w:color="auto"/>
            </w:tcBorders>
            <w:shd w:val="clear" w:color="auto" w:fill="auto"/>
            <w:noWrap/>
            <w:vAlign w:val="bottom"/>
            <w:hideMark/>
          </w:tcPr>
          <w:p w:rsidR="00A64028" w:rsidRPr="00B833A6" w:rsidRDefault="00A64028" w:rsidP="00103148">
            <w:pPr>
              <w:spacing w:after="0"/>
              <w:jc w:val="center"/>
              <w:rPr>
                <w:rFonts w:ascii="Arial Narrow" w:hAnsi="Arial Narrow"/>
                <w:sz w:val="20"/>
                <w:szCs w:val="20"/>
              </w:rPr>
            </w:pPr>
            <w:r w:rsidRPr="00B833A6">
              <w:rPr>
                <w:rFonts w:ascii="Arial Narrow" w:hAnsi="Arial Narrow"/>
                <w:sz w:val="20"/>
                <w:szCs w:val="20"/>
              </w:rPr>
              <w:t>7</w:t>
            </w:r>
          </w:p>
        </w:tc>
        <w:tc>
          <w:tcPr>
            <w:tcW w:w="719" w:type="dxa"/>
            <w:tcBorders>
              <w:top w:val="nil"/>
              <w:left w:val="nil"/>
              <w:bottom w:val="single" w:sz="4" w:space="0" w:color="auto"/>
              <w:right w:val="single" w:sz="4" w:space="0" w:color="auto"/>
            </w:tcBorders>
            <w:shd w:val="clear" w:color="auto" w:fill="auto"/>
            <w:vAlign w:val="bottom"/>
            <w:hideMark/>
          </w:tcPr>
          <w:p w:rsidR="00A64028" w:rsidRPr="00B833A6" w:rsidRDefault="00A64028" w:rsidP="00103148">
            <w:pPr>
              <w:spacing w:after="0"/>
              <w:jc w:val="center"/>
              <w:rPr>
                <w:rFonts w:ascii="Arial Narrow" w:hAnsi="Arial Narrow" w:cs="Arial"/>
                <w:b/>
                <w:sz w:val="20"/>
                <w:szCs w:val="20"/>
              </w:rPr>
            </w:pPr>
            <w:r w:rsidRPr="00B833A6">
              <w:rPr>
                <w:rFonts w:ascii="Arial Narrow" w:hAnsi="Arial Narrow" w:cs="Arial"/>
                <w:b/>
                <w:sz w:val="20"/>
                <w:szCs w:val="20"/>
              </w:rPr>
              <w:t>28</w:t>
            </w:r>
          </w:p>
        </w:tc>
      </w:tr>
      <w:tr w:rsidR="00A64028" w:rsidRPr="00B833A6" w:rsidTr="00754B4E">
        <w:trPr>
          <w:trHeight w:val="227"/>
        </w:trPr>
        <w:tc>
          <w:tcPr>
            <w:tcW w:w="601" w:type="dxa"/>
            <w:vMerge w:val="restart"/>
            <w:tcBorders>
              <w:top w:val="nil"/>
              <w:left w:val="single" w:sz="4" w:space="0" w:color="auto"/>
              <w:right w:val="single" w:sz="4" w:space="0" w:color="auto"/>
            </w:tcBorders>
          </w:tcPr>
          <w:p w:rsidR="00A64028" w:rsidRPr="00B833A6" w:rsidRDefault="00A64028" w:rsidP="00E82802">
            <w:pPr>
              <w:spacing w:after="0" w:line="240" w:lineRule="auto"/>
              <w:rPr>
                <w:rFonts w:ascii="Arial Narrow" w:hAnsi="Arial Narrow"/>
                <w:sz w:val="20"/>
                <w:szCs w:val="20"/>
              </w:rPr>
            </w:pPr>
            <w:r w:rsidRPr="00B833A6">
              <w:rPr>
                <w:rFonts w:ascii="Arial Narrow" w:hAnsi="Arial Narrow"/>
                <w:sz w:val="20"/>
                <w:szCs w:val="20"/>
              </w:rPr>
              <w:t>2016 г.</w:t>
            </w:r>
          </w:p>
        </w:tc>
        <w:tc>
          <w:tcPr>
            <w:tcW w:w="2366" w:type="dxa"/>
            <w:tcBorders>
              <w:top w:val="nil"/>
              <w:left w:val="single" w:sz="4" w:space="0" w:color="auto"/>
              <w:bottom w:val="single" w:sz="4" w:space="0" w:color="auto"/>
              <w:right w:val="single" w:sz="4" w:space="0" w:color="auto"/>
            </w:tcBorders>
            <w:shd w:val="clear" w:color="auto" w:fill="auto"/>
            <w:vAlign w:val="bottom"/>
            <w:hideMark/>
          </w:tcPr>
          <w:p w:rsidR="00A64028" w:rsidRPr="00B833A6" w:rsidRDefault="00A64028" w:rsidP="00E82802">
            <w:pPr>
              <w:spacing w:after="0" w:line="240" w:lineRule="auto"/>
              <w:ind w:left="142"/>
              <w:rPr>
                <w:rFonts w:ascii="Arial Narrow" w:hAnsi="Arial Narrow"/>
                <w:sz w:val="20"/>
                <w:szCs w:val="20"/>
              </w:rPr>
            </w:pPr>
            <w:r w:rsidRPr="00B833A6">
              <w:rPr>
                <w:rFonts w:ascii="Arial Narrow" w:hAnsi="Arial Narrow"/>
                <w:sz w:val="20"/>
                <w:szCs w:val="20"/>
              </w:rPr>
              <w:t>Внеплановая выездная проверка</w:t>
            </w:r>
          </w:p>
        </w:tc>
        <w:tc>
          <w:tcPr>
            <w:tcW w:w="962" w:type="dxa"/>
            <w:tcBorders>
              <w:top w:val="nil"/>
              <w:left w:val="nil"/>
              <w:bottom w:val="single" w:sz="4" w:space="0" w:color="auto"/>
              <w:right w:val="single" w:sz="4" w:space="0" w:color="auto"/>
            </w:tcBorders>
            <w:shd w:val="clear" w:color="auto" w:fill="auto"/>
            <w:noWrap/>
            <w:vAlign w:val="bottom"/>
            <w:hideMark/>
          </w:tcPr>
          <w:p w:rsidR="00A64028" w:rsidRPr="00B833A6" w:rsidRDefault="00A64028" w:rsidP="00103148">
            <w:pPr>
              <w:spacing w:after="0"/>
              <w:jc w:val="center"/>
              <w:rPr>
                <w:rFonts w:ascii="Arial Narrow" w:hAnsi="Arial Narrow"/>
                <w:sz w:val="20"/>
                <w:szCs w:val="20"/>
              </w:rPr>
            </w:pPr>
            <w:r w:rsidRPr="00B833A6">
              <w:rPr>
                <w:rFonts w:ascii="Arial Narrow" w:hAnsi="Arial Narrow"/>
                <w:sz w:val="20"/>
                <w:szCs w:val="20"/>
              </w:rPr>
              <w:t>15</w:t>
            </w:r>
          </w:p>
        </w:tc>
        <w:tc>
          <w:tcPr>
            <w:tcW w:w="992" w:type="dxa"/>
            <w:tcBorders>
              <w:top w:val="nil"/>
              <w:left w:val="nil"/>
              <w:bottom w:val="single" w:sz="4" w:space="0" w:color="auto"/>
              <w:right w:val="single" w:sz="4" w:space="0" w:color="auto"/>
            </w:tcBorders>
            <w:shd w:val="clear" w:color="auto" w:fill="auto"/>
            <w:noWrap/>
            <w:vAlign w:val="bottom"/>
            <w:hideMark/>
          </w:tcPr>
          <w:p w:rsidR="00A64028" w:rsidRPr="00B833A6" w:rsidRDefault="00A64028" w:rsidP="00103148">
            <w:pPr>
              <w:spacing w:after="0"/>
              <w:jc w:val="center"/>
              <w:rPr>
                <w:rFonts w:ascii="Arial Narrow" w:hAnsi="Arial Narrow"/>
                <w:sz w:val="20"/>
                <w:szCs w:val="20"/>
              </w:rPr>
            </w:pPr>
            <w:r w:rsidRPr="00B833A6">
              <w:rPr>
                <w:rFonts w:ascii="Arial Narrow" w:hAnsi="Arial Narrow"/>
                <w:sz w:val="20"/>
                <w:szCs w:val="20"/>
              </w:rPr>
              <w:t>0</w:t>
            </w:r>
          </w:p>
        </w:tc>
        <w:tc>
          <w:tcPr>
            <w:tcW w:w="1134" w:type="dxa"/>
            <w:tcBorders>
              <w:top w:val="nil"/>
              <w:left w:val="nil"/>
              <w:bottom w:val="single" w:sz="4" w:space="0" w:color="auto"/>
              <w:right w:val="single" w:sz="4" w:space="0" w:color="auto"/>
            </w:tcBorders>
            <w:shd w:val="clear" w:color="auto" w:fill="auto"/>
            <w:noWrap/>
            <w:vAlign w:val="bottom"/>
            <w:hideMark/>
          </w:tcPr>
          <w:p w:rsidR="00A64028" w:rsidRPr="00B833A6" w:rsidRDefault="00A64028" w:rsidP="00103148">
            <w:pPr>
              <w:spacing w:after="0"/>
              <w:jc w:val="center"/>
              <w:rPr>
                <w:rFonts w:ascii="Arial Narrow" w:hAnsi="Arial Narrow"/>
                <w:sz w:val="20"/>
                <w:szCs w:val="20"/>
              </w:rPr>
            </w:pPr>
            <w:r w:rsidRPr="00B833A6">
              <w:rPr>
                <w:rFonts w:ascii="Arial Narrow" w:hAnsi="Arial Narrow"/>
                <w:sz w:val="20"/>
                <w:szCs w:val="20"/>
              </w:rPr>
              <w:t> 0</w:t>
            </w:r>
          </w:p>
        </w:tc>
        <w:tc>
          <w:tcPr>
            <w:tcW w:w="709" w:type="dxa"/>
            <w:tcBorders>
              <w:top w:val="nil"/>
              <w:left w:val="nil"/>
              <w:bottom w:val="single" w:sz="4" w:space="0" w:color="auto"/>
              <w:right w:val="single" w:sz="4" w:space="0" w:color="auto"/>
            </w:tcBorders>
            <w:shd w:val="clear" w:color="auto" w:fill="auto"/>
            <w:noWrap/>
            <w:vAlign w:val="bottom"/>
            <w:hideMark/>
          </w:tcPr>
          <w:p w:rsidR="00A64028" w:rsidRPr="00B833A6" w:rsidRDefault="00A64028" w:rsidP="00103148">
            <w:pPr>
              <w:spacing w:after="0"/>
              <w:jc w:val="center"/>
              <w:rPr>
                <w:rFonts w:ascii="Arial Narrow" w:hAnsi="Arial Narrow"/>
                <w:sz w:val="20"/>
                <w:szCs w:val="20"/>
              </w:rPr>
            </w:pPr>
            <w:r w:rsidRPr="00B833A6">
              <w:rPr>
                <w:rFonts w:ascii="Arial Narrow" w:hAnsi="Arial Narrow"/>
                <w:sz w:val="20"/>
                <w:szCs w:val="20"/>
              </w:rPr>
              <w:t> 0</w:t>
            </w:r>
          </w:p>
        </w:tc>
        <w:tc>
          <w:tcPr>
            <w:tcW w:w="709" w:type="dxa"/>
            <w:tcBorders>
              <w:top w:val="nil"/>
              <w:left w:val="nil"/>
              <w:bottom w:val="single" w:sz="4" w:space="0" w:color="auto"/>
              <w:right w:val="single" w:sz="4" w:space="0" w:color="auto"/>
            </w:tcBorders>
            <w:shd w:val="clear" w:color="auto" w:fill="auto"/>
            <w:noWrap/>
            <w:vAlign w:val="bottom"/>
            <w:hideMark/>
          </w:tcPr>
          <w:p w:rsidR="00A64028" w:rsidRPr="00B833A6" w:rsidRDefault="00A64028" w:rsidP="00103148">
            <w:pPr>
              <w:spacing w:after="0"/>
              <w:jc w:val="center"/>
              <w:rPr>
                <w:rFonts w:ascii="Arial Narrow" w:hAnsi="Arial Narrow"/>
                <w:sz w:val="20"/>
                <w:szCs w:val="20"/>
              </w:rPr>
            </w:pPr>
            <w:r w:rsidRPr="00B833A6">
              <w:rPr>
                <w:rFonts w:ascii="Arial Narrow" w:hAnsi="Arial Narrow"/>
                <w:sz w:val="20"/>
                <w:szCs w:val="20"/>
              </w:rPr>
              <w:t>1</w:t>
            </w:r>
          </w:p>
        </w:tc>
        <w:tc>
          <w:tcPr>
            <w:tcW w:w="850" w:type="dxa"/>
            <w:tcBorders>
              <w:top w:val="nil"/>
              <w:left w:val="nil"/>
              <w:bottom w:val="single" w:sz="4" w:space="0" w:color="auto"/>
              <w:right w:val="single" w:sz="4" w:space="0" w:color="auto"/>
            </w:tcBorders>
            <w:shd w:val="clear" w:color="auto" w:fill="auto"/>
            <w:noWrap/>
            <w:vAlign w:val="bottom"/>
            <w:hideMark/>
          </w:tcPr>
          <w:p w:rsidR="00A64028" w:rsidRPr="00B833A6" w:rsidRDefault="00A64028" w:rsidP="00103148">
            <w:pPr>
              <w:spacing w:after="0"/>
              <w:jc w:val="center"/>
              <w:rPr>
                <w:rFonts w:ascii="Arial Narrow" w:hAnsi="Arial Narrow"/>
                <w:sz w:val="20"/>
                <w:szCs w:val="20"/>
              </w:rPr>
            </w:pPr>
            <w:r w:rsidRPr="00B833A6">
              <w:rPr>
                <w:rFonts w:ascii="Arial Narrow" w:hAnsi="Arial Narrow"/>
                <w:sz w:val="20"/>
                <w:szCs w:val="20"/>
              </w:rPr>
              <w:t> 0</w:t>
            </w:r>
          </w:p>
        </w:tc>
        <w:tc>
          <w:tcPr>
            <w:tcW w:w="1023" w:type="dxa"/>
            <w:tcBorders>
              <w:top w:val="nil"/>
              <w:left w:val="nil"/>
              <w:bottom w:val="single" w:sz="4" w:space="0" w:color="auto"/>
              <w:right w:val="single" w:sz="4" w:space="0" w:color="auto"/>
            </w:tcBorders>
            <w:shd w:val="clear" w:color="auto" w:fill="auto"/>
            <w:noWrap/>
            <w:vAlign w:val="bottom"/>
            <w:hideMark/>
          </w:tcPr>
          <w:p w:rsidR="00A64028" w:rsidRPr="00B833A6" w:rsidRDefault="00A64028" w:rsidP="00103148">
            <w:pPr>
              <w:spacing w:after="0"/>
              <w:jc w:val="center"/>
              <w:rPr>
                <w:rFonts w:ascii="Arial Narrow" w:hAnsi="Arial Narrow"/>
                <w:sz w:val="20"/>
                <w:szCs w:val="20"/>
              </w:rPr>
            </w:pPr>
            <w:r w:rsidRPr="00B833A6">
              <w:rPr>
                <w:rFonts w:ascii="Arial Narrow" w:hAnsi="Arial Narrow"/>
                <w:sz w:val="20"/>
                <w:szCs w:val="20"/>
              </w:rPr>
              <w:t>0 </w:t>
            </w:r>
          </w:p>
        </w:tc>
        <w:tc>
          <w:tcPr>
            <w:tcW w:w="719" w:type="dxa"/>
            <w:tcBorders>
              <w:top w:val="nil"/>
              <w:left w:val="nil"/>
              <w:bottom w:val="single" w:sz="4" w:space="0" w:color="auto"/>
              <w:right w:val="single" w:sz="4" w:space="0" w:color="auto"/>
            </w:tcBorders>
            <w:shd w:val="clear" w:color="auto" w:fill="auto"/>
            <w:vAlign w:val="bottom"/>
            <w:hideMark/>
          </w:tcPr>
          <w:p w:rsidR="00A64028" w:rsidRPr="00B833A6" w:rsidRDefault="00A64028" w:rsidP="00103148">
            <w:pPr>
              <w:spacing w:after="0"/>
              <w:jc w:val="center"/>
              <w:rPr>
                <w:rFonts w:ascii="Arial Narrow" w:hAnsi="Arial Narrow" w:cs="Arial"/>
                <w:b/>
                <w:sz w:val="20"/>
                <w:szCs w:val="20"/>
              </w:rPr>
            </w:pPr>
            <w:r w:rsidRPr="00B833A6">
              <w:rPr>
                <w:rFonts w:ascii="Arial Narrow" w:hAnsi="Arial Narrow" w:cs="Arial"/>
                <w:b/>
                <w:sz w:val="20"/>
                <w:szCs w:val="20"/>
              </w:rPr>
              <w:t>16</w:t>
            </w:r>
          </w:p>
        </w:tc>
      </w:tr>
      <w:tr w:rsidR="00A64028" w:rsidRPr="00B833A6" w:rsidTr="00754B4E">
        <w:trPr>
          <w:trHeight w:val="227"/>
        </w:trPr>
        <w:tc>
          <w:tcPr>
            <w:tcW w:w="601" w:type="dxa"/>
            <w:vMerge/>
            <w:tcBorders>
              <w:left w:val="single" w:sz="4" w:space="0" w:color="auto"/>
              <w:right w:val="single" w:sz="4" w:space="0" w:color="auto"/>
            </w:tcBorders>
          </w:tcPr>
          <w:p w:rsidR="00A64028" w:rsidRPr="00B833A6" w:rsidRDefault="00A64028" w:rsidP="00E82802">
            <w:pPr>
              <w:spacing w:after="0" w:line="240" w:lineRule="auto"/>
              <w:rPr>
                <w:rFonts w:ascii="Arial Narrow" w:hAnsi="Arial Narrow"/>
                <w:sz w:val="20"/>
                <w:szCs w:val="20"/>
              </w:rPr>
            </w:pPr>
          </w:p>
        </w:tc>
        <w:tc>
          <w:tcPr>
            <w:tcW w:w="2366" w:type="dxa"/>
            <w:tcBorders>
              <w:top w:val="nil"/>
              <w:left w:val="single" w:sz="4" w:space="0" w:color="auto"/>
              <w:bottom w:val="single" w:sz="4" w:space="0" w:color="auto"/>
              <w:right w:val="single" w:sz="4" w:space="0" w:color="auto"/>
            </w:tcBorders>
            <w:shd w:val="clear" w:color="auto" w:fill="auto"/>
            <w:vAlign w:val="bottom"/>
            <w:hideMark/>
          </w:tcPr>
          <w:p w:rsidR="00A64028" w:rsidRPr="00B833A6" w:rsidRDefault="00A64028" w:rsidP="00E82802">
            <w:pPr>
              <w:spacing w:after="0" w:line="240" w:lineRule="auto"/>
              <w:ind w:left="142"/>
              <w:rPr>
                <w:rFonts w:ascii="Arial Narrow" w:hAnsi="Arial Narrow"/>
                <w:sz w:val="20"/>
                <w:szCs w:val="20"/>
              </w:rPr>
            </w:pPr>
            <w:r w:rsidRPr="00B833A6">
              <w:rPr>
                <w:rFonts w:ascii="Arial Narrow" w:hAnsi="Arial Narrow"/>
                <w:sz w:val="20"/>
                <w:szCs w:val="20"/>
              </w:rPr>
              <w:t>Внеплановая по исполнению предписания</w:t>
            </w:r>
          </w:p>
        </w:tc>
        <w:tc>
          <w:tcPr>
            <w:tcW w:w="962" w:type="dxa"/>
            <w:tcBorders>
              <w:top w:val="nil"/>
              <w:left w:val="nil"/>
              <w:bottom w:val="single" w:sz="4" w:space="0" w:color="auto"/>
              <w:right w:val="single" w:sz="4" w:space="0" w:color="auto"/>
            </w:tcBorders>
            <w:shd w:val="clear" w:color="auto" w:fill="auto"/>
            <w:noWrap/>
            <w:vAlign w:val="bottom"/>
            <w:hideMark/>
          </w:tcPr>
          <w:p w:rsidR="00A64028" w:rsidRPr="00B833A6" w:rsidRDefault="00A64028" w:rsidP="00103148">
            <w:pPr>
              <w:spacing w:after="0"/>
              <w:jc w:val="center"/>
              <w:rPr>
                <w:rFonts w:ascii="Arial Narrow" w:hAnsi="Arial Narrow"/>
                <w:sz w:val="20"/>
                <w:szCs w:val="20"/>
              </w:rPr>
            </w:pPr>
            <w:r w:rsidRPr="00B833A6">
              <w:rPr>
                <w:rFonts w:ascii="Arial Narrow" w:hAnsi="Arial Narrow"/>
                <w:sz w:val="20"/>
                <w:szCs w:val="20"/>
              </w:rPr>
              <w:t>4</w:t>
            </w:r>
          </w:p>
        </w:tc>
        <w:tc>
          <w:tcPr>
            <w:tcW w:w="992" w:type="dxa"/>
            <w:tcBorders>
              <w:top w:val="nil"/>
              <w:left w:val="nil"/>
              <w:bottom w:val="single" w:sz="4" w:space="0" w:color="auto"/>
              <w:right w:val="single" w:sz="4" w:space="0" w:color="auto"/>
            </w:tcBorders>
            <w:shd w:val="clear" w:color="auto" w:fill="auto"/>
            <w:noWrap/>
            <w:vAlign w:val="bottom"/>
            <w:hideMark/>
          </w:tcPr>
          <w:p w:rsidR="00A64028" w:rsidRPr="00B833A6" w:rsidRDefault="00A64028" w:rsidP="00103148">
            <w:pPr>
              <w:spacing w:after="0"/>
              <w:jc w:val="center"/>
              <w:rPr>
                <w:rFonts w:ascii="Arial Narrow" w:hAnsi="Arial Narrow"/>
                <w:sz w:val="20"/>
                <w:szCs w:val="20"/>
              </w:rPr>
            </w:pPr>
            <w:r w:rsidRPr="00B833A6">
              <w:rPr>
                <w:rFonts w:ascii="Arial Narrow" w:hAnsi="Arial Narrow"/>
                <w:sz w:val="20"/>
                <w:szCs w:val="20"/>
              </w:rPr>
              <w:t> 0</w:t>
            </w:r>
          </w:p>
        </w:tc>
        <w:tc>
          <w:tcPr>
            <w:tcW w:w="1134" w:type="dxa"/>
            <w:tcBorders>
              <w:top w:val="nil"/>
              <w:left w:val="nil"/>
              <w:bottom w:val="single" w:sz="4" w:space="0" w:color="auto"/>
              <w:right w:val="single" w:sz="4" w:space="0" w:color="auto"/>
            </w:tcBorders>
            <w:shd w:val="clear" w:color="auto" w:fill="auto"/>
            <w:noWrap/>
            <w:vAlign w:val="bottom"/>
            <w:hideMark/>
          </w:tcPr>
          <w:p w:rsidR="00A64028" w:rsidRPr="00B833A6" w:rsidRDefault="00A64028" w:rsidP="00103148">
            <w:pPr>
              <w:spacing w:after="0"/>
              <w:jc w:val="center"/>
              <w:rPr>
                <w:rFonts w:ascii="Arial Narrow" w:hAnsi="Arial Narrow"/>
                <w:sz w:val="20"/>
                <w:szCs w:val="20"/>
              </w:rPr>
            </w:pPr>
            <w:r w:rsidRPr="00B833A6">
              <w:rPr>
                <w:rFonts w:ascii="Arial Narrow" w:hAnsi="Arial Narrow"/>
                <w:sz w:val="20"/>
                <w:szCs w:val="20"/>
              </w:rPr>
              <w:t> 0</w:t>
            </w:r>
          </w:p>
        </w:tc>
        <w:tc>
          <w:tcPr>
            <w:tcW w:w="709" w:type="dxa"/>
            <w:tcBorders>
              <w:top w:val="nil"/>
              <w:left w:val="nil"/>
              <w:bottom w:val="single" w:sz="4" w:space="0" w:color="auto"/>
              <w:right w:val="single" w:sz="4" w:space="0" w:color="auto"/>
            </w:tcBorders>
            <w:shd w:val="clear" w:color="auto" w:fill="auto"/>
            <w:noWrap/>
            <w:vAlign w:val="bottom"/>
            <w:hideMark/>
          </w:tcPr>
          <w:p w:rsidR="00A64028" w:rsidRPr="00B833A6" w:rsidRDefault="00A64028" w:rsidP="00103148">
            <w:pPr>
              <w:spacing w:after="0"/>
              <w:jc w:val="center"/>
              <w:rPr>
                <w:rFonts w:ascii="Arial Narrow" w:hAnsi="Arial Narrow"/>
                <w:sz w:val="20"/>
                <w:szCs w:val="20"/>
              </w:rPr>
            </w:pPr>
            <w:r w:rsidRPr="00B833A6">
              <w:rPr>
                <w:rFonts w:ascii="Arial Narrow" w:hAnsi="Arial Narrow"/>
                <w:sz w:val="20"/>
                <w:szCs w:val="20"/>
              </w:rPr>
              <w:t> 0</w:t>
            </w:r>
          </w:p>
        </w:tc>
        <w:tc>
          <w:tcPr>
            <w:tcW w:w="709" w:type="dxa"/>
            <w:tcBorders>
              <w:top w:val="nil"/>
              <w:left w:val="nil"/>
              <w:bottom w:val="single" w:sz="4" w:space="0" w:color="auto"/>
              <w:right w:val="single" w:sz="4" w:space="0" w:color="auto"/>
            </w:tcBorders>
            <w:shd w:val="clear" w:color="auto" w:fill="auto"/>
            <w:noWrap/>
            <w:vAlign w:val="bottom"/>
            <w:hideMark/>
          </w:tcPr>
          <w:p w:rsidR="00A64028" w:rsidRPr="00B833A6" w:rsidRDefault="00A64028" w:rsidP="00103148">
            <w:pPr>
              <w:spacing w:after="0"/>
              <w:jc w:val="center"/>
              <w:rPr>
                <w:rFonts w:ascii="Arial Narrow" w:hAnsi="Arial Narrow"/>
                <w:sz w:val="20"/>
                <w:szCs w:val="20"/>
              </w:rPr>
            </w:pPr>
            <w:r w:rsidRPr="00B833A6">
              <w:rPr>
                <w:rFonts w:ascii="Arial Narrow" w:hAnsi="Arial Narrow"/>
                <w:sz w:val="20"/>
                <w:szCs w:val="20"/>
              </w:rPr>
              <w:t> 0</w:t>
            </w:r>
          </w:p>
        </w:tc>
        <w:tc>
          <w:tcPr>
            <w:tcW w:w="850" w:type="dxa"/>
            <w:tcBorders>
              <w:top w:val="nil"/>
              <w:left w:val="nil"/>
              <w:bottom w:val="single" w:sz="4" w:space="0" w:color="auto"/>
              <w:right w:val="single" w:sz="4" w:space="0" w:color="auto"/>
            </w:tcBorders>
            <w:shd w:val="clear" w:color="auto" w:fill="auto"/>
            <w:noWrap/>
            <w:vAlign w:val="bottom"/>
            <w:hideMark/>
          </w:tcPr>
          <w:p w:rsidR="00A64028" w:rsidRPr="00B833A6" w:rsidRDefault="00A64028" w:rsidP="00103148">
            <w:pPr>
              <w:spacing w:after="0"/>
              <w:jc w:val="center"/>
              <w:rPr>
                <w:rFonts w:ascii="Arial Narrow" w:hAnsi="Arial Narrow"/>
                <w:sz w:val="20"/>
                <w:szCs w:val="20"/>
              </w:rPr>
            </w:pPr>
            <w:r w:rsidRPr="00B833A6">
              <w:rPr>
                <w:rFonts w:ascii="Arial Narrow" w:hAnsi="Arial Narrow"/>
                <w:sz w:val="20"/>
                <w:szCs w:val="20"/>
              </w:rPr>
              <w:t> 0</w:t>
            </w:r>
          </w:p>
        </w:tc>
        <w:tc>
          <w:tcPr>
            <w:tcW w:w="1023" w:type="dxa"/>
            <w:tcBorders>
              <w:top w:val="nil"/>
              <w:left w:val="nil"/>
              <w:bottom w:val="single" w:sz="4" w:space="0" w:color="auto"/>
              <w:right w:val="single" w:sz="4" w:space="0" w:color="auto"/>
            </w:tcBorders>
            <w:shd w:val="clear" w:color="auto" w:fill="auto"/>
            <w:noWrap/>
            <w:vAlign w:val="bottom"/>
            <w:hideMark/>
          </w:tcPr>
          <w:p w:rsidR="00A64028" w:rsidRPr="00B833A6" w:rsidRDefault="00A64028" w:rsidP="00103148">
            <w:pPr>
              <w:spacing w:after="0"/>
              <w:jc w:val="center"/>
              <w:rPr>
                <w:rFonts w:ascii="Arial Narrow" w:hAnsi="Arial Narrow"/>
                <w:sz w:val="20"/>
                <w:szCs w:val="20"/>
              </w:rPr>
            </w:pPr>
            <w:r w:rsidRPr="00B833A6">
              <w:rPr>
                <w:rFonts w:ascii="Arial Narrow" w:hAnsi="Arial Narrow"/>
                <w:sz w:val="20"/>
                <w:szCs w:val="20"/>
              </w:rPr>
              <w:t>0 </w:t>
            </w:r>
          </w:p>
        </w:tc>
        <w:tc>
          <w:tcPr>
            <w:tcW w:w="719" w:type="dxa"/>
            <w:tcBorders>
              <w:top w:val="nil"/>
              <w:left w:val="nil"/>
              <w:bottom w:val="single" w:sz="4" w:space="0" w:color="auto"/>
              <w:right w:val="single" w:sz="4" w:space="0" w:color="auto"/>
            </w:tcBorders>
            <w:shd w:val="clear" w:color="auto" w:fill="auto"/>
            <w:vAlign w:val="bottom"/>
            <w:hideMark/>
          </w:tcPr>
          <w:p w:rsidR="00A64028" w:rsidRPr="00B833A6" w:rsidRDefault="00A64028" w:rsidP="00103148">
            <w:pPr>
              <w:spacing w:after="0"/>
              <w:jc w:val="center"/>
              <w:rPr>
                <w:rFonts w:ascii="Arial Narrow" w:hAnsi="Arial Narrow" w:cs="Arial"/>
                <w:b/>
                <w:sz w:val="20"/>
                <w:szCs w:val="20"/>
              </w:rPr>
            </w:pPr>
            <w:r w:rsidRPr="00B833A6">
              <w:rPr>
                <w:rFonts w:ascii="Arial Narrow" w:hAnsi="Arial Narrow" w:cs="Arial"/>
                <w:b/>
                <w:sz w:val="20"/>
                <w:szCs w:val="20"/>
              </w:rPr>
              <w:t>4</w:t>
            </w:r>
          </w:p>
        </w:tc>
      </w:tr>
      <w:tr w:rsidR="00A64028" w:rsidRPr="00B833A6" w:rsidTr="00754B4E">
        <w:trPr>
          <w:trHeight w:val="227"/>
        </w:trPr>
        <w:tc>
          <w:tcPr>
            <w:tcW w:w="601" w:type="dxa"/>
            <w:vMerge/>
            <w:tcBorders>
              <w:left w:val="single" w:sz="4" w:space="0" w:color="auto"/>
              <w:right w:val="single" w:sz="4" w:space="0" w:color="auto"/>
            </w:tcBorders>
          </w:tcPr>
          <w:p w:rsidR="00A64028" w:rsidRPr="00B833A6" w:rsidRDefault="00A64028" w:rsidP="00E82802">
            <w:pPr>
              <w:spacing w:after="0" w:line="240" w:lineRule="auto"/>
              <w:rPr>
                <w:rFonts w:ascii="Arial Narrow" w:hAnsi="Arial Narrow"/>
                <w:sz w:val="20"/>
                <w:szCs w:val="20"/>
              </w:rPr>
            </w:pPr>
          </w:p>
        </w:tc>
        <w:tc>
          <w:tcPr>
            <w:tcW w:w="2366" w:type="dxa"/>
            <w:tcBorders>
              <w:top w:val="nil"/>
              <w:left w:val="single" w:sz="4" w:space="0" w:color="auto"/>
              <w:bottom w:val="single" w:sz="4" w:space="0" w:color="auto"/>
              <w:right w:val="single" w:sz="4" w:space="0" w:color="auto"/>
            </w:tcBorders>
            <w:shd w:val="clear" w:color="auto" w:fill="auto"/>
            <w:vAlign w:val="bottom"/>
            <w:hideMark/>
          </w:tcPr>
          <w:p w:rsidR="00A64028" w:rsidRPr="00B833A6" w:rsidRDefault="00A64028" w:rsidP="00E82802">
            <w:pPr>
              <w:spacing w:after="0" w:line="240" w:lineRule="auto"/>
              <w:ind w:left="142"/>
              <w:rPr>
                <w:rFonts w:ascii="Arial Narrow" w:hAnsi="Arial Narrow"/>
                <w:sz w:val="20"/>
                <w:szCs w:val="20"/>
              </w:rPr>
            </w:pPr>
            <w:r w:rsidRPr="00B833A6">
              <w:rPr>
                <w:rFonts w:ascii="Arial Narrow" w:hAnsi="Arial Narrow"/>
                <w:sz w:val="20"/>
                <w:szCs w:val="20"/>
              </w:rPr>
              <w:t>Внеплановая по поручению Президента, Правительства</w:t>
            </w:r>
          </w:p>
        </w:tc>
        <w:tc>
          <w:tcPr>
            <w:tcW w:w="962" w:type="dxa"/>
            <w:tcBorders>
              <w:top w:val="nil"/>
              <w:left w:val="nil"/>
              <w:bottom w:val="single" w:sz="4" w:space="0" w:color="auto"/>
              <w:right w:val="single" w:sz="4" w:space="0" w:color="auto"/>
            </w:tcBorders>
            <w:shd w:val="clear" w:color="auto" w:fill="auto"/>
            <w:noWrap/>
            <w:vAlign w:val="bottom"/>
            <w:hideMark/>
          </w:tcPr>
          <w:p w:rsidR="00A64028" w:rsidRPr="00B833A6" w:rsidRDefault="00A64028" w:rsidP="00103148">
            <w:pPr>
              <w:spacing w:after="0"/>
              <w:jc w:val="center"/>
              <w:rPr>
                <w:rFonts w:ascii="Arial Narrow" w:hAnsi="Arial Narrow"/>
                <w:sz w:val="20"/>
                <w:szCs w:val="20"/>
              </w:rPr>
            </w:pPr>
            <w:r w:rsidRPr="00B833A6">
              <w:rPr>
                <w:rFonts w:ascii="Arial Narrow" w:hAnsi="Arial Narrow"/>
                <w:sz w:val="20"/>
                <w:szCs w:val="20"/>
              </w:rPr>
              <w:t>11</w:t>
            </w:r>
          </w:p>
        </w:tc>
        <w:tc>
          <w:tcPr>
            <w:tcW w:w="992" w:type="dxa"/>
            <w:tcBorders>
              <w:top w:val="nil"/>
              <w:left w:val="nil"/>
              <w:bottom w:val="single" w:sz="4" w:space="0" w:color="auto"/>
              <w:right w:val="single" w:sz="4" w:space="0" w:color="auto"/>
            </w:tcBorders>
            <w:shd w:val="clear" w:color="auto" w:fill="auto"/>
            <w:noWrap/>
            <w:vAlign w:val="bottom"/>
            <w:hideMark/>
          </w:tcPr>
          <w:p w:rsidR="00A64028" w:rsidRPr="00B833A6" w:rsidRDefault="00A64028" w:rsidP="00103148">
            <w:pPr>
              <w:spacing w:after="0"/>
              <w:jc w:val="center"/>
              <w:rPr>
                <w:rFonts w:ascii="Arial Narrow" w:hAnsi="Arial Narrow"/>
                <w:sz w:val="20"/>
                <w:szCs w:val="20"/>
              </w:rPr>
            </w:pPr>
            <w:r w:rsidRPr="00B833A6">
              <w:rPr>
                <w:rFonts w:ascii="Arial Narrow" w:hAnsi="Arial Narrow"/>
                <w:sz w:val="20"/>
                <w:szCs w:val="20"/>
              </w:rPr>
              <w:t> 0</w:t>
            </w:r>
          </w:p>
        </w:tc>
        <w:tc>
          <w:tcPr>
            <w:tcW w:w="1134" w:type="dxa"/>
            <w:tcBorders>
              <w:top w:val="nil"/>
              <w:left w:val="nil"/>
              <w:bottom w:val="single" w:sz="4" w:space="0" w:color="auto"/>
              <w:right w:val="single" w:sz="4" w:space="0" w:color="auto"/>
            </w:tcBorders>
            <w:shd w:val="clear" w:color="auto" w:fill="auto"/>
            <w:noWrap/>
            <w:vAlign w:val="bottom"/>
            <w:hideMark/>
          </w:tcPr>
          <w:p w:rsidR="00A64028" w:rsidRPr="00B833A6" w:rsidRDefault="00A64028" w:rsidP="00103148">
            <w:pPr>
              <w:spacing w:after="0"/>
              <w:jc w:val="center"/>
              <w:rPr>
                <w:rFonts w:ascii="Arial Narrow" w:hAnsi="Arial Narrow"/>
                <w:sz w:val="20"/>
                <w:szCs w:val="20"/>
              </w:rPr>
            </w:pPr>
            <w:r w:rsidRPr="00B833A6">
              <w:rPr>
                <w:rFonts w:ascii="Arial Narrow" w:hAnsi="Arial Narrow"/>
                <w:sz w:val="20"/>
                <w:szCs w:val="20"/>
              </w:rPr>
              <w:t> 0</w:t>
            </w:r>
          </w:p>
        </w:tc>
        <w:tc>
          <w:tcPr>
            <w:tcW w:w="709" w:type="dxa"/>
            <w:tcBorders>
              <w:top w:val="nil"/>
              <w:left w:val="nil"/>
              <w:bottom w:val="single" w:sz="4" w:space="0" w:color="auto"/>
              <w:right w:val="single" w:sz="4" w:space="0" w:color="auto"/>
            </w:tcBorders>
            <w:shd w:val="clear" w:color="auto" w:fill="auto"/>
            <w:noWrap/>
            <w:vAlign w:val="bottom"/>
            <w:hideMark/>
          </w:tcPr>
          <w:p w:rsidR="00A64028" w:rsidRPr="00B833A6" w:rsidRDefault="00A64028" w:rsidP="00103148">
            <w:pPr>
              <w:spacing w:after="0"/>
              <w:jc w:val="center"/>
              <w:rPr>
                <w:rFonts w:ascii="Arial Narrow" w:hAnsi="Arial Narrow"/>
                <w:sz w:val="20"/>
                <w:szCs w:val="20"/>
              </w:rPr>
            </w:pPr>
            <w:r w:rsidRPr="00B833A6">
              <w:rPr>
                <w:rFonts w:ascii="Arial Narrow" w:hAnsi="Arial Narrow"/>
                <w:sz w:val="20"/>
                <w:szCs w:val="20"/>
              </w:rPr>
              <w:t> 0</w:t>
            </w:r>
          </w:p>
        </w:tc>
        <w:tc>
          <w:tcPr>
            <w:tcW w:w="709" w:type="dxa"/>
            <w:tcBorders>
              <w:top w:val="nil"/>
              <w:left w:val="nil"/>
              <w:bottom w:val="single" w:sz="4" w:space="0" w:color="auto"/>
              <w:right w:val="single" w:sz="4" w:space="0" w:color="auto"/>
            </w:tcBorders>
            <w:shd w:val="clear" w:color="auto" w:fill="auto"/>
            <w:noWrap/>
            <w:vAlign w:val="bottom"/>
            <w:hideMark/>
          </w:tcPr>
          <w:p w:rsidR="00A64028" w:rsidRPr="00B833A6" w:rsidRDefault="00A64028" w:rsidP="00103148">
            <w:pPr>
              <w:spacing w:after="0"/>
              <w:jc w:val="center"/>
              <w:rPr>
                <w:rFonts w:ascii="Arial Narrow" w:hAnsi="Arial Narrow"/>
                <w:sz w:val="20"/>
                <w:szCs w:val="20"/>
              </w:rPr>
            </w:pPr>
            <w:r w:rsidRPr="00B833A6">
              <w:rPr>
                <w:rFonts w:ascii="Arial Narrow" w:hAnsi="Arial Narrow"/>
                <w:sz w:val="20"/>
                <w:szCs w:val="20"/>
              </w:rPr>
              <w:t>1</w:t>
            </w:r>
          </w:p>
        </w:tc>
        <w:tc>
          <w:tcPr>
            <w:tcW w:w="850" w:type="dxa"/>
            <w:tcBorders>
              <w:top w:val="nil"/>
              <w:left w:val="nil"/>
              <w:bottom w:val="single" w:sz="4" w:space="0" w:color="auto"/>
              <w:right w:val="single" w:sz="4" w:space="0" w:color="auto"/>
            </w:tcBorders>
            <w:shd w:val="clear" w:color="auto" w:fill="auto"/>
            <w:noWrap/>
            <w:vAlign w:val="bottom"/>
            <w:hideMark/>
          </w:tcPr>
          <w:p w:rsidR="00A64028" w:rsidRPr="00B833A6" w:rsidRDefault="00A64028" w:rsidP="00103148">
            <w:pPr>
              <w:spacing w:after="0"/>
              <w:jc w:val="center"/>
              <w:rPr>
                <w:rFonts w:ascii="Arial Narrow" w:hAnsi="Arial Narrow"/>
                <w:sz w:val="20"/>
                <w:szCs w:val="20"/>
              </w:rPr>
            </w:pPr>
            <w:r w:rsidRPr="00B833A6">
              <w:rPr>
                <w:rFonts w:ascii="Arial Narrow" w:hAnsi="Arial Narrow"/>
                <w:sz w:val="20"/>
                <w:szCs w:val="20"/>
              </w:rPr>
              <w:t> 0</w:t>
            </w:r>
          </w:p>
        </w:tc>
        <w:tc>
          <w:tcPr>
            <w:tcW w:w="1023" w:type="dxa"/>
            <w:tcBorders>
              <w:top w:val="nil"/>
              <w:left w:val="nil"/>
              <w:bottom w:val="single" w:sz="4" w:space="0" w:color="auto"/>
              <w:right w:val="single" w:sz="4" w:space="0" w:color="auto"/>
            </w:tcBorders>
            <w:shd w:val="clear" w:color="auto" w:fill="auto"/>
            <w:noWrap/>
            <w:vAlign w:val="bottom"/>
            <w:hideMark/>
          </w:tcPr>
          <w:p w:rsidR="00A64028" w:rsidRPr="00B833A6" w:rsidRDefault="00A64028" w:rsidP="00103148">
            <w:pPr>
              <w:spacing w:after="0"/>
              <w:jc w:val="center"/>
              <w:rPr>
                <w:rFonts w:ascii="Arial Narrow" w:hAnsi="Arial Narrow"/>
                <w:sz w:val="20"/>
                <w:szCs w:val="20"/>
              </w:rPr>
            </w:pPr>
            <w:r w:rsidRPr="00B833A6">
              <w:rPr>
                <w:rFonts w:ascii="Arial Narrow" w:hAnsi="Arial Narrow"/>
                <w:sz w:val="20"/>
                <w:szCs w:val="20"/>
              </w:rPr>
              <w:t>0 </w:t>
            </w:r>
          </w:p>
        </w:tc>
        <w:tc>
          <w:tcPr>
            <w:tcW w:w="719" w:type="dxa"/>
            <w:tcBorders>
              <w:top w:val="nil"/>
              <w:left w:val="nil"/>
              <w:bottom w:val="single" w:sz="4" w:space="0" w:color="auto"/>
              <w:right w:val="single" w:sz="4" w:space="0" w:color="auto"/>
            </w:tcBorders>
            <w:shd w:val="clear" w:color="auto" w:fill="auto"/>
            <w:vAlign w:val="bottom"/>
            <w:hideMark/>
          </w:tcPr>
          <w:p w:rsidR="00A64028" w:rsidRPr="00B833A6" w:rsidRDefault="00A64028" w:rsidP="00103148">
            <w:pPr>
              <w:spacing w:after="0"/>
              <w:jc w:val="center"/>
              <w:rPr>
                <w:rFonts w:ascii="Arial Narrow" w:hAnsi="Arial Narrow" w:cs="Arial"/>
                <w:b/>
                <w:sz w:val="20"/>
                <w:szCs w:val="20"/>
              </w:rPr>
            </w:pPr>
            <w:r w:rsidRPr="00B833A6">
              <w:rPr>
                <w:rFonts w:ascii="Arial Narrow" w:hAnsi="Arial Narrow" w:cs="Arial"/>
                <w:b/>
                <w:sz w:val="20"/>
                <w:szCs w:val="20"/>
              </w:rPr>
              <w:t>12</w:t>
            </w:r>
          </w:p>
        </w:tc>
      </w:tr>
      <w:tr w:rsidR="00A64028" w:rsidRPr="00B833A6" w:rsidTr="00754B4E">
        <w:trPr>
          <w:trHeight w:val="227"/>
        </w:trPr>
        <w:tc>
          <w:tcPr>
            <w:tcW w:w="601" w:type="dxa"/>
            <w:vMerge/>
            <w:tcBorders>
              <w:left w:val="single" w:sz="4" w:space="0" w:color="auto"/>
              <w:bottom w:val="single" w:sz="4" w:space="0" w:color="auto"/>
              <w:right w:val="single" w:sz="4" w:space="0" w:color="auto"/>
            </w:tcBorders>
          </w:tcPr>
          <w:p w:rsidR="00A64028" w:rsidRPr="00B833A6" w:rsidRDefault="00A64028" w:rsidP="00E82802">
            <w:pPr>
              <w:spacing w:after="0" w:line="240" w:lineRule="auto"/>
              <w:rPr>
                <w:rFonts w:ascii="Arial Narrow" w:hAnsi="Arial Narrow"/>
                <w:sz w:val="20"/>
                <w:szCs w:val="20"/>
              </w:rPr>
            </w:pPr>
          </w:p>
        </w:tc>
        <w:tc>
          <w:tcPr>
            <w:tcW w:w="2366" w:type="dxa"/>
            <w:tcBorders>
              <w:top w:val="nil"/>
              <w:left w:val="single" w:sz="4" w:space="0" w:color="auto"/>
              <w:bottom w:val="single" w:sz="4" w:space="0" w:color="auto"/>
              <w:right w:val="single" w:sz="4" w:space="0" w:color="auto"/>
            </w:tcBorders>
            <w:shd w:val="clear" w:color="auto" w:fill="auto"/>
            <w:vAlign w:val="bottom"/>
            <w:hideMark/>
          </w:tcPr>
          <w:p w:rsidR="00A64028" w:rsidRPr="00B833A6" w:rsidRDefault="00A64028" w:rsidP="00E82802">
            <w:pPr>
              <w:spacing w:after="0" w:line="240" w:lineRule="auto"/>
              <w:ind w:left="142"/>
              <w:rPr>
                <w:rFonts w:ascii="Arial Narrow" w:hAnsi="Arial Narrow"/>
                <w:sz w:val="20"/>
                <w:szCs w:val="20"/>
              </w:rPr>
            </w:pPr>
            <w:r w:rsidRPr="00B833A6">
              <w:rPr>
                <w:rFonts w:ascii="Arial Narrow" w:hAnsi="Arial Narrow"/>
                <w:sz w:val="20"/>
                <w:szCs w:val="20"/>
              </w:rPr>
              <w:t>Плановая выездная проверка</w:t>
            </w:r>
          </w:p>
        </w:tc>
        <w:tc>
          <w:tcPr>
            <w:tcW w:w="962" w:type="dxa"/>
            <w:tcBorders>
              <w:top w:val="nil"/>
              <w:left w:val="nil"/>
              <w:bottom w:val="single" w:sz="4" w:space="0" w:color="auto"/>
              <w:right w:val="single" w:sz="4" w:space="0" w:color="auto"/>
            </w:tcBorders>
            <w:shd w:val="clear" w:color="auto" w:fill="auto"/>
            <w:noWrap/>
            <w:vAlign w:val="bottom"/>
            <w:hideMark/>
          </w:tcPr>
          <w:p w:rsidR="00A64028" w:rsidRPr="00B833A6" w:rsidRDefault="00A64028" w:rsidP="00103148">
            <w:pPr>
              <w:spacing w:after="0"/>
              <w:jc w:val="center"/>
              <w:rPr>
                <w:rFonts w:ascii="Arial Narrow" w:hAnsi="Arial Narrow"/>
                <w:sz w:val="20"/>
                <w:szCs w:val="20"/>
              </w:rPr>
            </w:pPr>
            <w:r w:rsidRPr="00B833A6">
              <w:rPr>
                <w:rFonts w:ascii="Arial Narrow" w:hAnsi="Arial Narrow"/>
                <w:sz w:val="20"/>
                <w:szCs w:val="20"/>
              </w:rPr>
              <w:t>18</w:t>
            </w:r>
          </w:p>
        </w:tc>
        <w:tc>
          <w:tcPr>
            <w:tcW w:w="992" w:type="dxa"/>
            <w:tcBorders>
              <w:top w:val="nil"/>
              <w:left w:val="nil"/>
              <w:bottom w:val="single" w:sz="4" w:space="0" w:color="auto"/>
              <w:right w:val="single" w:sz="4" w:space="0" w:color="auto"/>
            </w:tcBorders>
            <w:shd w:val="clear" w:color="auto" w:fill="auto"/>
            <w:noWrap/>
            <w:vAlign w:val="bottom"/>
            <w:hideMark/>
          </w:tcPr>
          <w:p w:rsidR="00A64028" w:rsidRPr="00B833A6" w:rsidRDefault="00A64028" w:rsidP="00103148">
            <w:pPr>
              <w:spacing w:after="0"/>
              <w:jc w:val="center"/>
              <w:rPr>
                <w:rFonts w:ascii="Arial Narrow" w:hAnsi="Arial Narrow"/>
                <w:sz w:val="20"/>
                <w:szCs w:val="20"/>
              </w:rPr>
            </w:pPr>
            <w:r w:rsidRPr="00B833A6">
              <w:rPr>
                <w:rFonts w:ascii="Arial Narrow" w:hAnsi="Arial Narrow"/>
                <w:sz w:val="20"/>
                <w:szCs w:val="20"/>
              </w:rPr>
              <w:t>1</w:t>
            </w:r>
          </w:p>
        </w:tc>
        <w:tc>
          <w:tcPr>
            <w:tcW w:w="1134" w:type="dxa"/>
            <w:tcBorders>
              <w:top w:val="nil"/>
              <w:left w:val="nil"/>
              <w:bottom w:val="single" w:sz="4" w:space="0" w:color="auto"/>
              <w:right w:val="single" w:sz="4" w:space="0" w:color="auto"/>
            </w:tcBorders>
            <w:shd w:val="clear" w:color="auto" w:fill="auto"/>
            <w:noWrap/>
            <w:vAlign w:val="bottom"/>
            <w:hideMark/>
          </w:tcPr>
          <w:p w:rsidR="00A64028" w:rsidRPr="00B833A6" w:rsidRDefault="00A64028" w:rsidP="00103148">
            <w:pPr>
              <w:spacing w:after="0"/>
              <w:jc w:val="center"/>
              <w:rPr>
                <w:rFonts w:ascii="Arial Narrow" w:hAnsi="Arial Narrow"/>
                <w:sz w:val="20"/>
                <w:szCs w:val="20"/>
              </w:rPr>
            </w:pPr>
            <w:r w:rsidRPr="00B833A6">
              <w:rPr>
                <w:rFonts w:ascii="Arial Narrow" w:hAnsi="Arial Narrow"/>
                <w:sz w:val="20"/>
                <w:szCs w:val="20"/>
              </w:rPr>
              <w:t>1</w:t>
            </w:r>
          </w:p>
        </w:tc>
        <w:tc>
          <w:tcPr>
            <w:tcW w:w="709" w:type="dxa"/>
            <w:tcBorders>
              <w:top w:val="nil"/>
              <w:left w:val="nil"/>
              <w:bottom w:val="single" w:sz="4" w:space="0" w:color="auto"/>
              <w:right w:val="single" w:sz="4" w:space="0" w:color="auto"/>
            </w:tcBorders>
            <w:shd w:val="clear" w:color="auto" w:fill="auto"/>
            <w:noWrap/>
            <w:vAlign w:val="bottom"/>
            <w:hideMark/>
          </w:tcPr>
          <w:p w:rsidR="00A64028" w:rsidRPr="00B833A6" w:rsidRDefault="00A64028" w:rsidP="00103148">
            <w:pPr>
              <w:spacing w:after="0"/>
              <w:jc w:val="center"/>
              <w:rPr>
                <w:rFonts w:ascii="Arial Narrow" w:hAnsi="Arial Narrow"/>
                <w:sz w:val="20"/>
                <w:szCs w:val="20"/>
              </w:rPr>
            </w:pPr>
            <w:r w:rsidRPr="00B833A6">
              <w:rPr>
                <w:rFonts w:ascii="Arial Narrow" w:hAnsi="Arial Narrow"/>
                <w:sz w:val="20"/>
                <w:szCs w:val="20"/>
              </w:rPr>
              <w:t> 0</w:t>
            </w:r>
          </w:p>
        </w:tc>
        <w:tc>
          <w:tcPr>
            <w:tcW w:w="709" w:type="dxa"/>
            <w:tcBorders>
              <w:top w:val="nil"/>
              <w:left w:val="nil"/>
              <w:bottom w:val="single" w:sz="4" w:space="0" w:color="auto"/>
              <w:right w:val="single" w:sz="4" w:space="0" w:color="auto"/>
            </w:tcBorders>
            <w:shd w:val="clear" w:color="auto" w:fill="auto"/>
            <w:noWrap/>
            <w:vAlign w:val="bottom"/>
            <w:hideMark/>
          </w:tcPr>
          <w:p w:rsidR="00A64028" w:rsidRPr="00B833A6" w:rsidRDefault="00A64028" w:rsidP="00103148">
            <w:pPr>
              <w:spacing w:after="0"/>
              <w:jc w:val="center"/>
              <w:rPr>
                <w:rFonts w:ascii="Arial Narrow" w:hAnsi="Arial Narrow"/>
                <w:sz w:val="20"/>
                <w:szCs w:val="20"/>
              </w:rPr>
            </w:pPr>
            <w:r w:rsidRPr="00B833A6">
              <w:rPr>
                <w:rFonts w:ascii="Arial Narrow" w:hAnsi="Arial Narrow"/>
                <w:sz w:val="20"/>
                <w:szCs w:val="20"/>
              </w:rPr>
              <w:t> </w:t>
            </w:r>
          </w:p>
        </w:tc>
        <w:tc>
          <w:tcPr>
            <w:tcW w:w="850" w:type="dxa"/>
            <w:tcBorders>
              <w:top w:val="nil"/>
              <w:left w:val="nil"/>
              <w:bottom w:val="single" w:sz="4" w:space="0" w:color="auto"/>
              <w:right w:val="single" w:sz="4" w:space="0" w:color="auto"/>
            </w:tcBorders>
            <w:shd w:val="clear" w:color="auto" w:fill="auto"/>
            <w:noWrap/>
            <w:vAlign w:val="bottom"/>
            <w:hideMark/>
          </w:tcPr>
          <w:p w:rsidR="00A64028" w:rsidRPr="00B833A6" w:rsidRDefault="00A64028" w:rsidP="00103148">
            <w:pPr>
              <w:spacing w:after="0"/>
              <w:jc w:val="center"/>
              <w:rPr>
                <w:rFonts w:ascii="Arial Narrow" w:hAnsi="Arial Narrow"/>
                <w:sz w:val="20"/>
                <w:szCs w:val="20"/>
              </w:rPr>
            </w:pPr>
            <w:r w:rsidRPr="00B833A6">
              <w:rPr>
                <w:rFonts w:ascii="Arial Narrow" w:hAnsi="Arial Narrow"/>
                <w:sz w:val="20"/>
                <w:szCs w:val="20"/>
              </w:rPr>
              <w:t> 0</w:t>
            </w:r>
          </w:p>
        </w:tc>
        <w:tc>
          <w:tcPr>
            <w:tcW w:w="1023" w:type="dxa"/>
            <w:tcBorders>
              <w:top w:val="nil"/>
              <w:left w:val="nil"/>
              <w:bottom w:val="single" w:sz="4" w:space="0" w:color="auto"/>
              <w:right w:val="single" w:sz="4" w:space="0" w:color="auto"/>
            </w:tcBorders>
            <w:shd w:val="clear" w:color="auto" w:fill="auto"/>
            <w:noWrap/>
            <w:vAlign w:val="bottom"/>
            <w:hideMark/>
          </w:tcPr>
          <w:p w:rsidR="00A64028" w:rsidRPr="00B833A6" w:rsidRDefault="00A64028" w:rsidP="00103148">
            <w:pPr>
              <w:spacing w:after="0"/>
              <w:jc w:val="center"/>
              <w:rPr>
                <w:rFonts w:ascii="Arial Narrow" w:hAnsi="Arial Narrow"/>
                <w:sz w:val="20"/>
                <w:szCs w:val="20"/>
              </w:rPr>
            </w:pPr>
            <w:r w:rsidRPr="00B833A6">
              <w:rPr>
                <w:rFonts w:ascii="Arial Narrow" w:hAnsi="Arial Narrow"/>
                <w:sz w:val="20"/>
                <w:szCs w:val="20"/>
              </w:rPr>
              <w:t>0 </w:t>
            </w:r>
          </w:p>
        </w:tc>
        <w:tc>
          <w:tcPr>
            <w:tcW w:w="719" w:type="dxa"/>
            <w:tcBorders>
              <w:top w:val="nil"/>
              <w:left w:val="nil"/>
              <w:bottom w:val="single" w:sz="4" w:space="0" w:color="auto"/>
              <w:right w:val="single" w:sz="4" w:space="0" w:color="auto"/>
            </w:tcBorders>
            <w:shd w:val="clear" w:color="auto" w:fill="auto"/>
            <w:vAlign w:val="bottom"/>
            <w:hideMark/>
          </w:tcPr>
          <w:p w:rsidR="00A64028" w:rsidRPr="00B833A6" w:rsidRDefault="00A64028" w:rsidP="00103148">
            <w:pPr>
              <w:spacing w:after="0"/>
              <w:jc w:val="center"/>
              <w:rPr>
                <w:rFonts w:ascii="Arial Narrow" w:hAnsi="Arial Narrow" w:cs="Arial"/>
                <w:b/>
                <w:sz w:val="20"/>
                <w:szCs w:val="20"/>
              </w:rPr>
            </w:pPr>
            <w:r w:rsidRPr="00B833A6">
              <w:rPr>
                <w:rFonts w:ascii="Arial Narrow" w:hAnsi="Arial Narrow" w:cs="Arial"/>
                <w:b/>
                <w:sz w:val="20"/>
                <w:szCs w:val="20"/>
              </w:rPr>
              <w:t>20</w:t>
            </w:r>
          </w:p>
        </w:tc>
      </w:tr>
    </w:tbl>
    <w:p w:rsidR="00A64028" w:rsidRPr="00CA4BDF" w:rsidRDefault="00A64028" w:rsidP="00103148">
      <w:pPr>
        <w:spacing w:after="0"/>
        <w:rPr>
          <w:rFonts w:ascii="Arial Narrow" w:hAnsi="Arial Narrow"/>
          <w:b/>
          <w:sz w:val="24"/>
        </w:rPr>
      </w:pPr>
    </w:p>
    <w:p w:rsidR="00ED3C71" w:rsidRDefault="00ED3C71">
      <w:pPr>
        <w:rPr>
          <w:rFonts w:ascii="Arial Narrow" w:eastAsia="Times New Roman" w:hAnsi="Arial Narrow" w:cs="Times New Roman"/>
          <w:b/>
          <w:bCs/>
          <w:color w:val="000000"/>
          <w:sz w:val="32"/>
          <w:szCs w:val="32"/>
          <w:lang w:eastAsia="ru-RU"/>
        </w:rPr>
      </w:pPr>
      <w:bookmarkStart w:id="79" w:name="_Toc473725867"/>
      <w:r>
        <w:rPr>
          <w:rFonts w:ascii="Arial Narrow" w:hAnsi="Arial Narrow"/>
        </w:rPr>
        <w:br w:type="page"/>
      </w:r>
    </w:p>
    <w:p w:rsidR="00A64028" w:rsidRPr="00B71ACD" w:rsidRDefault="00A64028" w:rsidP="00E82802">
      <w:pPr>
        <w:pStyle w:val="1"/>
        <w:jc w:val="both"/>
        <w:rPr>
          <w:rFonts w:ascii="Arial Narrow" w:hAnsi="Arial Narrow"/>
        </w:rPr>
      </w:pPr>
      <w:r>
        <w:rPr>
          <w:rFonts w:ascii="Arial Narrow" w:hAnsi="Arial Narrow"/>
        </w:rPr>
        <w:lastRenderedPageBreak/>
        <w:t>2</w:t>
      </w:r>
      <w:r w:rsidRPr="00B71ACD">
        <w:rPr>
          <w:rFonts w:ascii="Arial Narrow" w:hAnsi="Arial Narrow"/>
        </w:rPr>
        <w:t>. Анализ субъектов предпринимательской деятельности</w:t>
      </w:r>
      <w:bookmarkEnd w:id="79"/>
    </w:p>
    <w:p w:rsidR="00E82802" w:rsidRDefault="00E82802" w:rsidP="00E82802">
      <w:pPr>
        <w:pStyle w:val="2"/>
        <w:jc w:val="both"/>
        <w:rPr>
          <w:rFonts w:ascii="Arial Narrow" w:hAnsi="Arial Narrow"/>
        </w:rPr>
      </w:pPr>
      <w:bookmarkStart w:id="80" w:name="_Toc469663905"/>
      <w:bookmarkStart w:id="81" w:name="_Toc473725868"/>
    </w:p>
    <w:p w:rsidR="00A64028" w:rsidRPr="0030560B" w:rsidRDefault="00A64028" w:rsidP="00ED3C71">
      <w:pPr>
        <w:pStyle w:val="2"/>
        <w:jc w:val="both"/>
        <w:rPr>
          <w:rFonts w:ascii="Arial Narrow" w:hAnsi="Arial Narrow"/>
        </w:rPr>
      </w:pPr>
      <w:r>
        <w:rPr>
          <w:rFonts w:ascii="Arial Narrow" w:hAnsi="Arial Narrow"/>
        </w:rPr>
        <w:t>2</w:t>
      </w:r>
      <w:r w:rsidRPr="0030560B">
        <w:rPr>
          <w:rFonts w:ascii="Arial Narrow" w:hAnsi="Arial Narrow"/>
        </w:rPr>
        <w:t>.1. Определение доли субъектов предпринимательской деятельности, на основании оценок которых проводился Мониторинг, в общем числе субъектов предпринимательской деятельности Новосибирской области</w:t>
      </w:r>
      <w:bookmarkEnd w:id="80"/>
      <w:bookmarkEnd w:id="81"/>
    </w:p>
    <w:p w:rsidR="00ED3C71" w:rsidRDefault="00ED3C71" w:rsidP="00ED3C71">
      <w:pPr>
        <w:spacing w:after="0" w:line="360" w:lineRule="auto"/>
        <w:ind w:firstLine="284"/>
        <w:jc w:val="both"/>
        <w:rPr>
          <w:rFonts w:ascii="Arial Narrow" w:hAnsi="Arial Narrow"/>
          <w:sz w:val="24"/>
          <w:szCs w:val="24"/>
        </w:rPr>
      </w:pPr>
    </w:p>
    <w:p w:rsidR="00A64028" w:rsidRPr="00404E66" w:rsidRDefault="00A64028" w:rsidP="00ED3C71">
      <w:pPr>
        <w:spacing w:after="0" w:line="360" w:lineRule="auto"/>
        <w:ind w:firstLine="284"/>
        <w:jc w:val="both"/>
        <w:rPr>
          <w:rFonts w:ascii="Arial Narrow" w:hAnsi="Arial Narrow"/>
          <w:sz w:val="24"/>
          <w:szCs w:val="24"/>
        </w:rPr>
      </w:pPr>
      <w:r w:rsidRPr="00404E66">
        <w:rPr>
          <w:rFonts w:ascii="Arial Narrow" w:hAnsi="Arial Narrow"/>
          <w:sz w:val="24"/>
          <w:szCs w:val="24"/>
        </w:rPr>
        <w:t>Мониторинг проведен на основании опроса представителей предпринимательства, ведущих деятельность на социально значимых и приоритетных рынках, а также на других рынках, не являющихся социально значимыми и приоритетными.</w:t>
      </w:r>
    </w:p>
    <w:p w:rsidR="00A64028" w:rsidRPr="0030560B" w:rsidRDefault="00A64028" w:rsidP="00ED3C71">
      <w:pPr>
        <w:spacing w:after="0" w:line="360" w:lineRule="auto"/>
        <w:ind w:firstLine="284"/>
        <w:jc w:val="both"/>
        <w:rPr>
          <w:rFonts w:ascii="Arial Narrow" w:hAnsi="Arial Narrow"/>
          <w:sz w:val="24"/>
          <w:szCs w:val="24"/>
        </w:rPr>
      </w:pPr>
      <w:r w:rsidRPr="00404E66">
        <w:rPr>
          <w:rFonts w:ascii="Arial Narrow" w:hAnsi="Arial Narrow"/>
          <w:sz w:val="24"/>
          <w:szCs w:val="24"/>
        </w:rPr>
        <w:t>Доля опрошенных представителей бизнеса для каждого рынка составляет 1,17% от численности его участников.</w:t>
      </w:r>
    </w:p>
    <w:p w:rsidR="00A64028" w:rsidRPr="0030560B" w:rsidRDefault="00A64028" w:rsidP="00ED3C71">
      <w:pPr>
        <w:spacing w:after="0" w:line="360" w:lineRule="auto"/>
        <w:jc w:val="both"/>
        <w:rPr>
          <w:rFonts w:ascii="Arial Narrow" w:hAnsi="Arial Narrow"/>
        </w:rPr>
      </w:pPr>
    </w:p>
    <w:p w:rsidR="00A64028" w:rsidRPr="0030560B" w:rsidRDefault="00A64028" w:rsidP="00ED3C71">
      <w:pPr>
        <w:pStyle w:val="2"/>
        <w:jc w:val="both"/>
        <w:rPr>
          <w:rFonts w:ascii="Arial Narrow" w:hAnsi="Arial Narrow"/>
        </w:rPr>
      </w:pPr>
      <w:bookmarkStart w:id="82" w:name="_Toc469663906"/>
      <w:bookmarkStart w:id="83" w:name="_Toc473725869"/>
      <w:r w:rsidRPr="0030560B">
        <w:rPr>
          <w:rFonts w:ascii="Arial Narrow" w:hAnsi="Arial Narrow"/>
        </w:rPr>
        <w:t>2.</w:t>
      </w:r>
      <w:r>
        <w:rPr>
          <w:rFonts w:ascii="Arial Narrow" w:hAnsi="Arial Narrow"/>
        </w:rPr>
        <w:t>2</w:t>
      </w:r>
      <w:r w:rsidRPr="0030560B">
        <w:rPr>
          <w:rFonts w:ascii="Arial Narrow" w:hAnsi="Arial Narrow"/>
        </w:rPr>
        <w:t>. Структура субъектов предпринимательской деятельности, на основании оценок которых проводился Мониторинг, по видам экономической деятельности</w:t>
      </w:r>
      <w:bookmarkEnd w:id="82"/>
      <w:bookmarkEnd w:id="83"/>
    </w:p>
    <w:p w:rsidR="00ED3C71" w:rsidRDefault="00ED3C71" w:rsidP="00ED3C71">
      <w:pPr>
        <w:spacing w:after="0" w:line="360" w:lineRule="auto"/>
        <w:ind w:firstLine="284"/>
        <w:jc w:val="both"/>
        <w:rPr>
          <w:rFonts w:ascii="Arial Narrow" w:hAnsi="Arial Narrow"/>
          <w:sz w:val="24"/>
          <w:szCs w:val="24"/>
        </w:rPr>
      </w:pPr>
    </w:p>
    <w:p w:rsidR="00A64028" w:rsidRPr="00404E66" w:rsidRDefault="00A64028" w:rsidP="00ED3C71">
      <w:pPr>
        <w:spacing w:after="0" w:line="360" w:lineRule="auto"/>
        <w:ind w:firstLine="284"/>
        <w:jc w:val="both"/>
        <w:rPr>
          <w:rFonts w:ascii="Arial Narrow" w:hAnsi="Arial Narrow"/>
          <w:sz w:val="24"/>
          <w:szCs w:val="24"/>
        </w:rPr>
      </w:pPr>
      <w:r w:rsidRPr="00404E66">
        <w:rPr>
          <w:rFonts w:ascii="Arial Narrow" w:hAnsi="Arial Narrow"/>
          <w:sz w:val="24"/>
          <w:szCs w:val="24"/>
        </w:rPr>
        <w:t>Структура опрошенных субъектов предпринимат</w:t>
      </w:r>
      <w:r w:rsidR="00ED3C71">
        <w:rPr>
          <w:rFonts w:ascii="Arial Narrow" w:hAnsi="Arial Narrow"/>
          <w:sz w:val="24"/>
          <w:szCs w:val="24"/>
        </w:rPr>
        <w:t>ельства представлена в Таблице 7.13</w:t>
      </w:r>
      <w:r w:rsidRPr="00404E66">
        <w:rPr>
          <w:rFonts w:ascii="Arial Narrow" w:hAnsi="Arial Narrow"/>
          <w:sz w:val="24"/>
          <w:szCs w:val="24"/>
        </w:rPr>
        <w:t>.</w:t>
      </w:r>
    </w:p>
    <w:p w:rsidR="00A64028" w:rsidRPr="0030560B" w:rsidRDefault="00A64028" w:rsidP="00ED3C71">
      <w:pPr>
        <w:spacing w:after="0" w:line="360" w:lineRule="auto"/>
        <w:ind w:firstLine="284"/>
        <w:jc w:val="both"/>
        <w:rPr>
          <w:rFonts w:ascii="Arial Narrow" w:hAnsi="Arial Narrow"/>
          <w:sz w:val="24"/>
          <w:szCs w:val="24"/>
        </w:rPr>
      </w:pPr>
      <w:r w:rsidRPr="00404E66">
        <w:rPr>
          <w:rFonts w:ascii="Arial Narrow" w:hAnsi="Arial Narrow"/>
          <w:sz w:val="24"/>
          <w:szCs w:val="24"/>
        </w:rPr>
        <w:t>Продуктовые границы рынков представлены также в данной таблице, с указанием ОКВЭД, которыми должны обладать предприятия, подлежащие опросу для каждого из выделенных рынков.</w:t>
      </w:r>
    </w:p>
    <w:p w:rsidR="00A64028" w:rsidRPr="0030560B" w:rsidRDefault="00A64028" w:rsidP="00103148">
      <w:pPr>
        <w:spacing w:after="0"/>
        <w:rPr>
          <w:rFonts w:ascii="Arial Narrow" w:hAnsi="Arial Narrow"/>
        </w:rPr>
      </w:pPr>
    </w:p>
    <w:p w:rsidR="00A64028" w:rsidRPr="0030560B" w:rsidRDefault="00A64028" w:rsidP="00103148">
      <w:pPr>
        <w:spacing w:after="0"/>
        <w:rPr>
          <w:rFonts w:ascii="Arial Narrow" w:hAnsi="Arial Narrow"/>
        </w:rPr>
        <w:sectPr w:rsidR="00A64028" w:rsidRPr="0030560B" w:rsidSect="000F6109">
          <w:headerReference w:type="even" r:id="rId100"/>
          <w:headerReference w:type="default" r:id="rId101"/>
          <w:footerReference w:type="default" r:id="rId102"/>
          <w:headerReference w:type="first" r:id="rId103"/>
          <w:footerReference w:type="first" r:id="rId104"/>
          <w:pgSz w:w="11905" w:h="16837"/>
          <w:pgMar w:top="1134" w:right="567" w:bottom="1134" w:left="1701" w:header="858" w:footer="703" w:gutter="0"/>
          <w:cols w:space="720"/>
          <w:noEndnote/>
          <w:titlePg/>
          <w:docGrid w:linePitch="245"/>
        </w:sectPr>
      </w:pPr>
    </w:p>
    <w:p w:rsidR="00A64028" w:rsidRPr="00143E61" w:rsidRDefault="00A64028" w:rsidP="00E82802">
      <w:pPr>
        <w:spacing w:after="0"/>
        <w:rPr>
          <w:rFonts w:ascii="Arial Narrow" w:hAnsi="Arial Narrow"/>
          <w:bCs/>
          <w:sz w:val="24"/>
          <w:szCs w:val="24"/>
        </w:rPr>
      </w:pPr>
      <w:r w:rsidRPr="00143E61">
        <w:rPr>
          <w:rFonts w:ascii="Arial Narrow" w:hAnsi="Arial Narrow"/>
          <w:sz w:val="24"/>
          <w:szCs w:val="24"/>
        </w:rPr>
        <w:lastRenderedPageBreak/>
        <w:t xml:space="preserve">Таблица </w:t>
      </w:r>
      <w:r w:rsidR="00262F71">
        <w:rPr>
          <w:rFonts w:ascii="Arial Narrow" w:hAnsi="Arial Narrow"/>
          <w:sz w:val="24"/>
          <w:szCs w:val="24"/>
        </w:rPr>
        <w:t>7.13. -</w:t>
      </w:r>
      <w:r w:rsidRPr="00143E61">
        <w:rPr>
          <w:rFonts w:ascii="Arial Narrow" w:hAnsi="Arial Narrow"/>
          <w:iCs/>
          <w:sz w:val="24"/>
          <w:szCs w:val="24"/>
        </w:rPr>
        <w:t xml:space="preserve"> </w:t>
      </w:r>
      <w:r w:rsidRPr="00E82802">
        <w:rPr>
          <w:rFonts w:ascii="Arial Narrow" w:hAnsi="Arial Narrow"/>
          <w:b/>
          <w:bCs/>
          <w:sz w:val="24"/>
          <w:szCs w:val="24"/>
        </w:rPr>
        <w:t>Структура опрошенных представителей социально значимых и приоритетных рынков, других рынков</w:t>
      </w:r>
      <w:r w:rsidRPr="00143E61">
        <w:rPr>
          <w:rFonts w:ascii="Arial Narrow" w:hAnsi="Arial Narrow"/>
          <w:bCs/>
          <w:sz w:val="24"/>
          <w:szCs w:val="24"/>
        </w:rPr>
        <w:t xml:space="preserve"> </w:t>
      </w:r>
    </w:p>
    <w:tbl>
      <w:tblPr>
        <w:tblW w:w="16018" w:type="dxa"/>
        <w:tblInd w:w="-1129" w:type="dxa"/>
        <w:tblLayout w:type="fixed"/>
        <w:tblCellMar>
          <w:left w:w="0" w:type="dxa"/>
          <w:right w:w="0" w:type="dxa"/>
        </w:tblCellMar>
        <w:tblLook w:val="04A0"/>
      </w:tblPr>
      <w:tblGrid>
        <w:gridCol w:w="356"/>
        <w:gridCol w:w="5314"/>
        <w:gridCol w:w="849"/>
        <w:gridCol w:w="709"/>
        <w:gridCol w:w="709"/>
        <w:gridCol w:w="709"/>
        <w:gridCol w:w="992"/>
        <w:gridCol w:w="709"/>
        <w:gridCol w:w="708"/>
        <w:gridCol w:w="709"/>
        <w:gridCol w:w="996"/>
        <w:gridCol w:w="709"/>
        <w:gridCol w:w="709"/>
        <w:gridCol w:w="709"/>
        <w:gridCol w:w="1131"/>
      </w:tblGrid>
      <w:tr w:rsidR="00A64028" w:rsidRPr="0030560B" w:rsidTr="00A45259">
        <w:tc>
          <w:tcPr>
            <w:tcW w:w="35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w:t>
            </w:r>
          </w:p>
        </w:tc>
        <w:tc>
          <w:tcPr>
            <w:tcW w:w="531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jc w:val="center"/>
              <w:rPr>
                <w:rFonts w:ascii="Arial Narrow" w:hAnsi="Arial Narrow"/>
                <w:sz w:val="20"/>
                <w:szCs w:val="20"/>
              </w:rPr>
            </w:pPr>
            <w:r w:rsidRPr="0030560B">
              <w:rPr>
                <w:rFonts w:ascii="Arial Narrow" w:hAnsi="Arial Narrow"/>
                <w:sz w:val="20"/>
                <w:szCs w:val="20"/>
              </w:rPr>
              <w:t>Наименование рынков и продуктовые границы согласно ОКВЭД</w:t>
            </w:r>
          </w:p>
        </w:tc>
        <w:tc>
          <w:tcPr>
            <w:tcW w:w="849"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64028" w:rsidRPr="0030560B" w:rsidRDefault="00A64028" w:rsidP="00ED3C71">
            <w:pPr>
              <w:spacing w:after="0" w:line="240" w:lineRule="auto"/>
              <w:jc w:val="center"/>
              <w:rPr>
                <w:rFonts w:ascii="Arial Narrow" w:hAnsi="Arial Narrow"/>
                <w:sz w:val="20"/>
                <w:szCs w:val="20"/>
              </w:rPr>
            </w:pPr>
            <w:r w:rsidRPr="0030560B">
              <w:rPr>
                <w:rFonts w:ascii="Arial Narrow" w:hAnsi="Arial Narrow"/>
                <w:sz w:val="20"/>
                <w:szCs w:val="20"/>
              </w:rPr>
              <w:t>Общий объем выборки</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D3C71">
            <w:pPr>
              <w:spacing w:after="0" w:line="240" w:lineRule="auto"/>
              <w:jc w:val="center"/>
              <w:rPr>
                <w:rFonts w:ascii="Arial Narrow" w:hAnsi="Arial Narrow"/>
                <w:sz w:val="20"/>
                <w:szCs w:val="20"/>
              </w:rPr>
            </w:pPr>
            <w:r w:rsidRPr="0030560B">
              <w:rPr>
                <w:rFonts w:ascii="Arial Narrow" w:hAnsi="Arial Narrow"/>
                <w:sz w:val="20"/>
                <w:szCs w:val="20"/>
              </w:rPr>
              <w:t>Микропредприятия</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D3C71">
            <w:pPr>
              <w:spacing w:after="0" w:line="240" w:lineRule="auto"/>
              <w:jc w:val="center"/>
              <w:rPr>
                <w:rFonts w:ascii="Arial Narrow" w:hAnsi="Arial Narrow"/>
                <w:sz w:val="20"/>
                <w:szCs w:val="20"/>
              </w:rPr>
            </w:pPr>
            <w:r w:rsidRPr="0030560B">
              <w:rPr>
                <w:rFonts w:ascii="Arial Narrow" w:hAnsi="Arial Narrow"/>
                <w:sz w:val="20"/>
                <w:szCs w:val="20"/>
              </w:rPr>
              <w:t>Малые предприятия</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D3C71">
            <w:pPr>
              <w:spacing w:after="0" w:line="240" w:lineRule="auto"/>
              <w:jc w:val="center"/>
              <w:rPr>
                <w:rFonts w:ascii="Arial Narrow" w:hAnsi="Arial Narrow"/>
                <w:sz w:val="20"/>
                <w:szCs w:val="20"/>
              </w:rPr>
            </w:pPr>
            <w:r w:rsidRPr="0030560B">
              <w:rPr>
                <w:rFonts w:ascii="Arial Narrow" w:hAnsi="Arial Narrow"/>
                <w:sz w:val="20"/>
                <w:szCs w:val="20"/>
              </w:rPr>
              <w:t>Средние предприятия</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D3C71">
            <w:pPr>
              <w:spacing w:after="0" w:line="240" w:lineRule="auto"/>
              <w:jc w:val="center"/>
              <w:rPr>
                <w:rFonts w:ascii="Arial Narrow" w:hAnsi="Arial Narrow"/>
                <w:sz w:val="20"/>
                <w:szCs w:val="20"/>
              </w:rPr>
            </w:pPr>
            <w:r w:rsidRPr="0030560B">
              <w:rPr>
                <w:rFonts w:ascii="Arial Narrow" w:hAnsi="Arial Narrow"/>
                <w:sz w:val="20"/>
                <w:szCs w:val="20"/>
              </w:rPr>
              <w:t>Крупные предприятия (экспертно)</w:t>
            </w:r>
          </w:p>
        </w:tc>
        <w:tc>
          <w:tcPr>
            <w:tcW w:w="3122" w:type="dxa"/>
            <w:gridSpan w:val="4"/>
            <w:tcBorders>
              <w:top w:val="single" w:sz="4" w:space="0" w:color="auto"/>
              <w:left w:val="nil"/>
              <w:bottom w:val="single" w:sz="4" w:space="0" w:color="auto"/>
              <w:right w:val="single" w:sz="4" w:space="0" w:color="auto"/>
            </w:tcBorders>
            <w:shd w:val="clear" w:color="auto" w:fill="auto"/>
            <w:vAlign w:val="center"/>
            <w:hideMark/>
          </w:tcPr>
          <w:p w:rsidR="00A64028" w:rsidRPr="0030560B" w:rsidRDefault="00A64028" w:rsidP="00ED3C71">
            <w:pPr>
              <w:spacing w:after="0" w:line="240" w:lineRule="auto"/>
              <w:jc w:val="center"/>
              <w:rPr>
                <w:rFonts w:ascii="Arial Narrow" w:hAnsi="Arial Narrow"/>
                <w:sz w:val="20"/>
                <w:szCs w:val="20"/>
              </w:rPr>
            </w:pPr>
            <w:r w:rsidRPr="0030560B">
              <w:rPr>
                <w:rFonts w:ascii="Arial Narrow" w:hAnsi="Arial Narrow"/>
                <w:sz w:val="20"/>
                <w:szCs w:val="20"/>
              </w:rPr>
              <w:t>Г. Новосибирск</w:t>
            </w:r>
          </w:p>
        </w:tc>
        <w:tc>
          <w:tcPr>
            <w:tcW w:w="3258" w:type="dxa"/>
            <w:gridSpan w:val="4"/>
            <w:tcBorders>
              <w:top w:val="single" w:sz="4" w:space="0" w:color="auto"/>
              <w:left w:val="nil"/>
              <w:bottom w:val="single" w:sz="4" w:space="0" w:color="auto"/>
              <w:right w:val="single" w:sz="4" w:space="0" w:color="auto"/>
            </w:tcBorders>
            <w:shd w:val="clear" w:color="auto" w:fill="auto"/>
            <w:vAlign w:val="center"/>
            <w:hideMark/>
          </w:tcPr>
          <w:p w:rsidR="00A64028" w:rsidRPr="0030560B" w:rsidRDefault="00A45259" w:rsidP="00ED3C71">
            <w:pPr>
              <w:spacing w:after="0" w:line="240" w:lineRule="auto"/>
              <w:jc w:val="center"/>
              <w:rPr>
                <w:rFonts w:ascii="Arial Narrow" w:hAnsi="Arial Narrow"/>
                <w:sz w:val="20"/>
                <w:szCs w:val="20"/>
              </w:rPr>
            </w:pPr>
            <w:r>
              <w:rPr>
                <w:rFonts w:ascii="Arial Narrow" w:hAnsi="Arial Narrow"/>
                <w:sz w:val="20"/>
                <w:szCs w:val="20"/>
              </w:rPr>
              <w:t>МР</w:t>
            </w:r>
            <w:r w:rsidR="00A64028" w:rsidRPr="0030560B">
              <w:rPr>
                <w:rFonts w:ascii="Arial Narrow" w:hAnsi="Arial Narrow"/>
                <w:sz w:val="20"/>
                <w:szCs w:val="20"/>
              </w:rPr>
              <w:t xml:space="preserve"> и городские округа</w:t>
            </w:r>
          </w:p>
        </w:tc>
      </w:tr>
      <w:tr w:rsidR="00A64028" w:rsidRPr="0030560B" w:rsidTr="00A45259">
        <w:trPr>
          <w:trHeight w:val="408"/>
        </w:trPr>
        <w:tc>
          <w:tcPr>
            <w:tcW w:w="35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531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D3C71">
            <w:pPr>
              <w:spacing w:after="0" w:line="240" w:lineRule="auto"/>
              <w:jc w:val="center"/>
              <w:rPr>
                <w:rFonts w:ascii="Arial Narrow" w:hAnsi="Arial Narrow"/>
                <w:sz w:val="20"/>
                <w:szCs w:val="20"/>
              </w:rPr>
            </w:pPr>
          </w:p>
        </w:tc>
        <w:tc>
          <w:tcPr>
            <w:tcW w:w="84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D3C71">
            <w:pPr>
              <w:spacing w:after="0" w:line="240" w:lineRule="auto"/>
              <w:jc w:val="center"/>
              <w:rPr>
                <w:rFonts w:ascii="Arial Narrow" w:hAnsi="Arial Narrow"/>
                <w:sz w:val="20"/>
                <w:szCs w:val="20"/>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D3C71">
            <w:pPr>
              <w:spacing w:after="0" w:line="240" w:lineRule="auto"/>
              <w:jc w:val="center"/>
              <w:rPr>
                <w:rFonts w:ascii="Arial Narrow" w:hAnsi="Arial Narrow"/>
                <w:sz w:val="20"/>
                <w:szCs w:val="20"/>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D3C71">
            <w:pPr>
              <w:spacing w:after="0" w:line="240" w:lineRule="auto"/>
              <w:jc w:val="center"/>
              <w:rPr>
                <w:rFonts w:ascii="Arial Narrow" w:hAnsi="Arial Narrow"/>
                <w:sz w:val="20"/>
                <w:szCs w:val="20"/>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D3C71">
            <w:pPr>
              <w:spacing w:after="0" w:line="240" w:lineRule="auto"/>
              <w:jc w:val="center"/>
              <w:rPr>
                <w:rFonts w:ascii="Arial Narrow" w:hAnsi="Arial Narrow"/>
                <w:sz w:val="20"/>
                <w:szCs w:val="20"/>
              </w:rPr>
            </w:pPr>
          </w:p>
        </w:tc>
        <w:tc>
          <w:tcPr>
            <w:tcW w:w="99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D3C71">
            <w:pPr>
              <w:spacing w:after="0" w:line="240" w:lineRule="auto"/>
              <w:jc w:val="center"/>
              <w:rPr>
                <w:rFonts w:ascii="Arial Narrow" w:hAnsi="Arial Narrow"/>
                <w:sz w:val="20"/>
                <w:szCs w:val="20"/>
              </w:rPr>
            </w:pP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D3C71">
            <w:pPr>
              <w:spacing w:after="0" w:line="240" w:lineRule="auto"/>
              <w:jc w:val="center"/>
              <w:rPr>
                <w:rFonts w:ascii="Arial Narrow" w:hAnsi="Arial Narrow"/>
                <w:sz w:val="20"/>
                <w:szCs w:val="20"/>
              </w:rPr>
            </w:pPr>
            <w:r w:rsidRPr="0030560B">
              <w:rPr>
                <w:rFonts w:ascii="Arial Narrow" w:hAnsi="Arial Narrow"/>
                <w:sz w:val="20"/>
                <w:szCs w:val="20"/>
              </w:rPr>
              <w:t>Микропредприятия</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D3C71">
            <w:pPr>
              <w:spacing w:after="0" w:line="240" w:lineRule="auto"/>
              <w:jc w:val="center"/>
              <w:rPr>
                <w:rFonts w:ascii="Arial Narrow" w:hAnsi="Arial Narrow"/>
                <w:sz w:val="20"/>
                <w:szCs w:val="20"/>
              </w:rPr>
            </w:pPr>
            <w:r w:rsidRPr="0030560B">
              <w:rPr>
                <w:rFonts w:ascii="Arial Narrow" w:hAnsi="Arial Narrow"/>
                <w:sz w:val="20"/>
                <w:szCs w:val="20"/>
              </w:rPr>
              <w:t>Малые предприятия</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D3C71">
            <w:pPr>
              <w:spacing w:after="0" w:line="240" w:lineRule="auto"/>
              <w:jc w:val="center"/>
              <w:rPr>
                <w:rFonts w:ascii="Arial Narrow" w:hAnsi="Arial Narrow"/>
                <w:sz w:val="20"/>
                <w:szCs w:val="20"/>
              </w:rPr>
            </w:pPr>
            <w:r w:rsidRPr="0030560B">
              <w:rPr>
                <w:rFonts w:ascii="Arial Narrow" w:hAnsi="Arial Narrow"/>
                <w:sz w:val="20"/>
                <w:szCs w:val="20"/>
              </w:rPr>
              <w:t>Средние предприятия</w:t>
            </w:r>
          </w:p>
        </w:tc>
        <w:tc>
          <w:tcPr>
            <w:tcW w:w="996"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D3C71">
            <w:pPr>
              <w:spacing w:after="0" w:line="240" w:lineRule="auto"/>
              <w:jc w:val="center"/>
              <w:rPr>
                <w:rFonts w:ascii="Arial Narrow" w:hAnsi="Arial Narrow"/>
                <w:sz w:val="20"/>
                <w:szCs w:val="20"/>
              </w:rPr>
            </w:pPr>
            <w:r w:rsidRPr="0030560B">
              <w:rPr>
                <w:rFonts w:ascii="Arial Narrow" w:hAnsi="Arial Narrow"/>
                <w:sz w:val="20"/>
                <w:szCs w:val="20"/>
              </w:rPr>
              <w:t>Крупные предприятия (экспертно)</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D3C71">
            <w:pPr>
              <w:spacing w:after="0" w:line="240" w:lineRule="auto"/>
              <w:jc w:val="center"/>
              <w:rPr>
                <w:rFonts w:ascii="Arial Narrow" w:hAnsi="Arial Narrow"/>
                <w:sz w:val="20"/>
                <w:szCs w:val="20"/>
              </w:rPr>
            </w:pPr>
            <w:r w:rsidRPr="0030560B">
              <w:rPr>
                <w:rFonts w:ascii="Arial Narrow" w:hAnsi="Arial Narrow"/>
                <w:sz w:val="20"/>
                <w:szCs w:val="20"/>
              </w:rPr>
              <w:t>Микропредприятия</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D3C71">
            <w:pPr>
              <w:spacing w:after="0" w:line="240" w:lineRule="auto"/>
              <w:jc w:val="center"/>
              <w:rPr>
                <w:rFonts w:ascii="Arial Narrow" w:hAnsi="Arial Narrow"/>
                <w:sz w:val="20"/>
                <w:szCs w:val="20"/>
              </w:rPr>
            </w:pPr>
            <w:r w:rsidRPr="0030560B">
              <w:rPr>
                <w:rFonts w:ascii="Arial Narrow" w:hAnsi="Arial Narrow"/>
                <w:sz w:val="20"/>
                <w:szCs w:val="20"/>
              </w:rPr>
              <w:t>Малые предприятия</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D3C71">
            <w:pPr>
              <w:spacing w:after="0" w:line="240" w:lineRule="auto"/>
              <w:jc w:val="center"/>
              <w:rPr>
                <w:rFonts w:ascii="Arial Narrow" w:hAnsi="Arial Narrow"/>
                <w:sz w:val="20"/>
                <w:szCs w:val="20"/>
              </w:rPr>
            </w:pPr>
            <w:r w:rsidRPr="0030560B">
              <w:rPr>
                <w:rFonts w:ascii="Arial Narrow" w:hAnsi="Arial Narrow"/>
                <w:sz w:val="20"/>
                <w:szCs w:val="20"/>
              </w:rPr>
              <w:t>Средние предприятия</w:t>
            </w:r>
          </w:p>
        </w:tc>
        <w:tc>
          <w:tcPr>
            <w:tcW w:w="1131"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D3C71">
            <w:pPr>
              <w:spacing w:after="0" w:line="240" w:lineRule="auto"/>
              <w:jc w:val="center"/>
              <w:rPr>
                <w:rFonts w:ascii="Arial Narrow" w:hAnsi="Arial Narrow"/>
                <w:sz w:val="20"/>
                <w:szCs w:val="20"/>
              </w:rPr>
            </w:pPr>
            <w:r w:rsidRPr="0030560B">
              <w:rPr>
                <w:rFonts w:ascii="Arial Narrow" w:hAnsi="Arial Narrow"/>
                <w:sz w:val="20"/>
                <w:szCs w:val="20"/>
              </w:rPr>
              <w:t>Крупные предприятия (экспертно)</w:t>
            </w:r>
          </w:p>
        </w:tc>
      </w:tr>
      <w:tr w:rsidR="00A64028" w:rsidRPr="0030560B" w:rsidTr="00A45259">
        <w:trPr>
          <w:trHeight w:val="408"/>
        </w:trPr>
        <w:tc>
          <w:tcPr>
            <w:tcW w:w="35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531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84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1131"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r>
      <w:tr w:rsidR="00A64028" w:rsidRPr="0030560B" w:rsidTr="00A45259">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5314"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rPr>
                <w:rFonts w:ascii="Arial Narrow" w:hAnsi="Arial Narrow"/>
                <w:b/>
                <w:bCs/>
                <w:sz w:val="20"/>
                <w:szCs w:val="20"/>
              </w:rPr>
            </w:pPr>
            <w:r w:rsidRPr="0030560B">
              <w:rPr>
                <w:rFonts w:ascii="Arial Narrow" w:hAnsi="Arial Narrow"/>
                <w:b/>
                <w:bCs/>
                <w:sz w:val="20"/>
                <w:szCs w:val="20"/>
              </w:rPr>
              <w:t>Социально значимые рынки</w:t>
            </w:r>
          </w:p>
        </w:tc>
        <w:tc>
          <w:tcPr>
            <w:tcW w:w="849" w:type="dxa"/>
            <w:tcBorders>
              <w:top w:val="nil"/>
              <w:left w:val="nil"/>
              <w:bottom w:val="nil"/>
              <w:right w:val="nil"/>
            </w:tcBorders>
            <w:shd w:val="clear" w:color="auto" w:fill="auto"/>
            <w:noWrap/>
            <w:vAlign w:val="bottom"/>
            <w:hideMark/>
          </w:tcPr>
          <w:p w:rsidR="00A64028" w:rsidRPr="0030560B" w:rsidRDefault="00A64028" w:rsidP="00E82802">
            <w:pPr>
              <w:spacing w:after="0" w:line="240" w:lineRule="auto"/>
              <w:rPr>
                <w:rFonts w:ascii="Arial Narrow" w:hAnsi="Arial Narrow"/>
                <w:b/>
                <w:bCs/>
                <w:sz w:val="20"/>
                <w:szCs w:val="20"/>
              </w:rPr>
            </w:pPr>
          </w:p>
        </w:tc>
        <w:tc>
          <w:tcPr>
            <w:tcW w:w="709" w:type="dxa"/>
            <w:tcBorders>
              <w:top w:val="nil"/>
              <w:left w:val="nil"/>
              <w:bottom w:val="nil"/>
              <w:right w:val="nil"/>
            </w:tcBorders>
            <w:shd w:val="clear" w:color="auto" w:fill="auto"/>
            <w:noWrap/>
            <w:vAlign w:val="bottom"/>
            <w:hideMark/>
          </w:tcPr>
          <w:p w:rsidR="00A64028" w:rsidRPr="0030560B" w:rsidRDefault="00A64028" w:rsidP="00E82802">
            <w:pPr>
              <w:spacing w:after="0" w:line="240" w:lineRule="auto"/>
              <w:rPr>
                <w:rFonts w:ascii="Arial Narrow" w:hAnsi="Arial Narrow"/>
                <w:sz w:val="20"/>
                <w:szCs w:val="20"/>
              </w:rPr>
            </w:pPr>
          </w:p>
        </w:tc>
        <w:tc>
          <w:tcPr>
            <w:tcW w:w="709" w:type="dxa"/>
            <w:tcBorders>
              <w:top w:val="nil"/>
              <w:left w:val="nil"/>
              <w:bottom w:val="nil"/>
              <w:right w:val="nil"/>
            </w:tcBorders>
            <w:shd w:val="clear" w:color="auto" w:fill="auto"/>
            <w:noWrap/>
            <w:vAlign w:val="bottom"/>
            <w:hideMark/>
          </w:tcPr>
          <w:p w:rsidR="00A64028" w:rsidRPr="0030560B" w:rsidRDefault="00A64028" w:rsidP="00E82802">
            <w:pPr>
              <w:spacing w:after="0" w:line="240" w:lineRule="auto"/>
              <w:rPr>
                <w:rFonts w:ascii="Arial Narrow" w:hAnsi="Arial Narrow"/>
                <w:sz w:val="20"/>
                <w:szCs w:val="20"/>
              </w:rPr>
            </w:pPr>
          </w:p>
        </w:tc>
        <w:tc>
          <w:tcPr>
            <w:tcW w:w="709" w:type="dxa"/>
            <w:tcBorders>
              <w:top w:val="nil"/>
              <w:left w:val="nil"/>
              <w:bottom w:val="nil"/>
              <w:right w:val="nil"/>
            </w:tcBorders>
            <w:shd w:val="clear" w:color="auto" w:fill="auto"/>
            <w:noWrap/>
            <w:vAlign w:val="bottom"/>
            <w:hideMark/>
          </w:tcPr>
          <w:p w:rsidR="00A64028" w:rsidRPr="0030560B" w:rsidRDefault="00A64028" w:rsidP="00E82802">
            <w:pPr>
              <w:spacing w:after="0" w:line="240" w:lineRule="auto"/>
              <w:rPr>
                <w:rFonts w:ascii="Arial Narrow" w:hAnsi="Arial Narrow"/>
                <w:sz w:val="20"/>
                <w:szCs w:val="20"/>
              </w:rPr>
            </w:pPr>
          </w:p>
        </w:tc>
        <w:tc>
          <w:tcPr>
            <w:tcW w:w="992" w:type="dxa"/>
            <w:tcBorders>
              <w:top w:val="nil"/>
              <w:left w:val="nil"/>
              <w:bottom w:val="nil"/>
              <w:right w:val="nil"/>
            </w:tcBorders>
            <w:shd w:val="clear" w:color="auto" w:fill="auto"/>
            <w:noWrap/>
            <w:vAlign w:val="bottom"/>
            <w:hideMark/>
          </w:tcPr>
          <w:p w:rsidR="00A64028" w:rsidRPr="0030560B" w:rsidRDefault="00A64028" w:rsidP="00E82802">
            <w:pPr>
              <w:spacing w:after="0" w:line="240" w:lineRule="auto"/>
              <w:rPr>
                <w:rFonts w:ascii="Arial Narrow" w:hAnsi="Arial Narrow"/>
                <w:sz w:val="20"/>
                <w:szCs w:val="20"/>
              </w:rPr>
            </w:pPr>
          </w:p>
        </w:tc>
        <w:tc>
          <w:tcPr>
            <w:tcW w:w="709" w:type="dxa"/>
            <w:tcBorders>
              <w:top w:val="nil"/>
              <w:left w:val="nil"/>
              <w:bottom w:val="nil"/>
              <w:right w:val="nil"/>
            </w:tcBorders>
            <w:shd w:val="clear" w:color="auto" w:fill="auto"/>
            <w:noWrap/>
            <w:vAlign w:val="bottom"/>
            <w:hideMark/>
          </w:tcPr>
          <w:p w:rsidR="00A64028" w:rsidRPr="0030560B" w:rsidRDefault="00A64028" w:rsidP="00E82802">
            <w:pPr>
              <w:spacing w:after="0" w:line="240" w:lineRule="auto"/>
              <w:rPr>
                <w:rFonts w:ascii="Arial Narrow" w:hAnsi="Arial Narrow"/>
                <w:sz w:val="20"/>
                <w:szCs w:val="20"/>
              </w:rPr>
            </w:pPr>
          </w:p>
        </w:tc>
        <w:tc>
          <w:tcPr>
            <w:tcW w:w="708" w:type="dxa"/>
            <w:tcBorders>
              <w:top w:val="nil"/>
              <w:left w:val="nil"/>
              <w:bottom w:val="nil"/>
              <w:right w:val="nil"/>
            </w:tcBorders>
            <w:shd w:val="clear" w:color="auto" w:fill="auto"/>
            <w:noWrap/>
            <w:vAlign w:val="bottom"/>
            <w:hideMark/>
          </w:tcPr>
          <w:p w:rsidR="00A64028" w:rsidRPr="0030560B" w:rsidRDefault="00A64028" w:rsidP="00E82802">
            <w:pPr>
              <w:spacing w:after="0" w:line="240" w:lineRule="auto"/>
              <w:rPr>
                <w:rFonts w:ascii="Arial Narrow" w:hAnsi="Arial Narrow"/>
                <w:sz w:val="20"/>
                <w:szCs w:val="20"/>
              </w:rPr>
            </w:pPr>
          </w:p>
        </w:tc>
        <w:tc>
          <w:tcPr>
            <w:tcW w:w="709" w:type="dxa"/>
            <w:tcBorders>
              <w:top w:val="nil"/>
              <w:left w:val="nil"/>
              <w:bottom w:val="nil"/>
              <w:right w:val="nil"/>
            </w:tcBorders>
            <w:shd w:val="clear" w:color="auto" w:fill="auto"/>
            <w:noWrap/>
            <w:vAlign w:val="bottom"/>
            <w:hideMark/>
          </w:tcPr>
          <w:p w:rsidR="00A64028" w:rsidRPr="0030560B" w:rsidRDefault="00A64028" w:rsidP="00E82802">
            <w:pPr>
              <w:spacing w:after="0" w:line="240" w:lineRule="auto"/>
              <w:rPr>
                <w:rFonts w:ascii="Arial Narrow" w:hAnsi="Arial Narrow"/>
                <w:sz w:val="20"/>
                <w:szCs w:val="20"/>
              </w:rPr>
            </w:pPr>
          </w:p>
        </w:tc>
        <w:tc>
          <w:tcPr>
            <w:tcW w:w="996" w:type="dxa"/>
            <w:tcBorders>
              <w:top w:val="nil"/>
              <w:left w:val="nil"/>
              <w:bottom w:val="nil"/>
              <w:right w:val="nil"/>
            </w:tcBorders>
            <w:shd w:val="clear" w:color="auto" w:fill="auto"/>
            <w:noWrap/>
            <w:vAlign w:val="bottom"/>
            <w:hideMark/>
          </w:tcPr>
          <w:p w:rsidR="00A64028" w:rsidRPr="0030560B" w:rsidRDefault="00A64028" w:rsidP="00E82802">
            <w:pPr>
              <w:spacing w:after="0" w:line="240" w:lineRule="auto"/>
              <w:rPr>
                <w:rFonts w:ascii="Arial Narrow" w:hAnsi="Arial Narrow"/>
                <w:sz w:val="20"/>
                <w:szCs w:val="20"/>
              </w:rPr>
            </w:pPr>
          </w:p>
        </w:tc>
        <w:tc>
          <w:tcPr>
            <w:tcW w:w="709" w:type="dxa"/>
            <w:tcBorders>
              <w:top w:val="nil"/>
              <w:left w:val="nil"/>
              <w:bottom w:val="nil"/>
              <w:right w:val="nil"/>
            </w:tcBorders>
            <w:shd w:val="clear" w:color="auto" w:fill="auto"/>
            <w:noWrap/>
            <w:vAlign w:val="bottom"/>
            <w:hideMark/>
          </w:tcPr>
          <w:p w:rsidR="00A64028" w:rsidRPr="0030560B" w:rsidRDefault="00A64028" w:rsidP="00E82802">
            <w:pPr>
              <w:spacing w:after="0" w:line="240" w:lineRule="auto"/>
              <w:rPr>
                <w:rFonts w:ascii="Arial Narrow" w:hAnsi="Arial Narrow"/>
                <w:sz w:val="20"/>
                <w:szCs w:val="20"/>
              </w:rPr>
            </w:pPr>
          </w:p>
        </w:tc>
        <w:tc>
          <w:tcPr>
            <w:tcW w:w="709" w:type="dxa"/>
            <w:tcBorders>
              <w:top w:val="nil"/>
              <w:left w:val="nil"/>
              <w:bottom w:val="nil"/>
              <w:right w:val="nil"/>
            </w:tcBorders>
            <w:shd w:val="clear" w:color="auto" w:fill="auto"/>
            <w:noWrap/>
            <w:vAlign w:val="bottom"/>
            <w:hideMark/>
          </w:tcPr>
          <w:p w:rsidR="00A64028" w:rsidRPr="0030560B" w:rsidRDefault="00A64028" w:rsidP="00E82802">
            <w:pPr>
              <w:spacing w:after="0" w:line="240" w:lineRule="auto"/>
              <w:rPr>
                <w:rFonts w:ascii="Arial Narrow" w:hAnsi="Arial Narrow"/>
                <w:sz w:val="20"/>
                <w:szCs w:val="20"/>
              </w:rPr>
            </w:pPr>
          </w:p>
        </w:tc>
        <w:tc>
          <w:tcPr>
            <w:tcW w:w="709" w:type="dxa"/>
            <w:tcBorders>
              <w:top w:val="nil"/>
              <w:left w:val="nil"/>
              <w:bottom w:val="nil"/>
              <w:right w:val="nil"/>
            </w:tcBorders>
            <w:shd w:val="clear" w:color="auto" w:fill="auto"/>
            <w:noWrap/>
            <w:vAlign w:val="bottom"/>
            <w:hideMark/>
          </w:tcPr>
          <w:p w:rsidR="00A64028" w:rsidRPr="0030560B" w:rsidRDefault="00A64028" w:rsidP="00E82802">
            <w:pPr>
              <w:spacing w:after="0" w:line="240" w:lineRule="auto"/>
              <w:rPr>
                <w:rFonts w:ascii="Arial Narrow" w:hAnsi="Arial Narrow"/>
                <w:sz w:val="20"/>
                <w:szCs w:val="20"/>
              </w:rPr>
            </w:pPr>
          </w:p>
        </w:tc>
        <w:tc>
          <w:tcPr>
            <w:tcW w:w="1131" w:type="dxa"/>
            <w:tcBorders>
              <w:top w:val="nil"/>
              <w:left w:val="nil"/>
              <w:bottom w:val="nil"/>
              <w:right w:val="nil"/>
            </w:tcBorders>
            <w:shd w:val="clear" w:color="auto" w:fill="auto"/>
            <w:noWrap/>
            <w:vAlign w:val="bottom"/>
            <w:hideMark/>
          </w:tcPr>
          <w:p w:rsidR="00A64028" w:rsidRPr="0030560B" w:rsidRDefault="00A64028" w:rsidP="00E82802">
            <w:pPr>
              <w:spacing w:after="0" w:line="240" w:lineRule="auto"/>
              <w:rPr>
                <w:rFonts w:ascii="Arial Narrow" w:hAnsi="Arial Narrow"/>
                <w:sz w:val="20"/>
                <w:szCs w:val="20"/>
              </w:rPr>
            </w:pPr>
          </w:p>
        </w:tc>
      </w:tr>
      <w:tr w:rsidR="00A64028" w:rsidRPr="0030560B" w:rsidTr="00A45259">
        <w:tc>
          <w:tcPr>
            <w:tcW w:w="35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1</w:t>
            </w:r>
          </w:p>
        </w:tc>
        <w:tc>
          <w:tcPr>
            <w:tcW w:w="5314"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rPr>
                <w:rFonts w:ascii="Arial Narrow" w:hAnsi="Arial Narrow"/>
                <w:sz w:val="20"/>
                <w:szCs w:val="20"/>
              </w:rPr>
            </w:pPr>
            <w:r w:rsidRPr="0030560B">
              <w:rPr>
                <w:rFonts w:ascii="Arial Narrow" w:hAnsi="Arial Narrow"/>
                <w:sz w:val="20"/>
                <w:szCs w:val="20"/>
              </w:rPr>
              <w:t>Рынок услуг дошкольного образования (коммерческие детские сады и учреждения пребывания неполного дня)</w:t>
            </w:r>
          </w:p>
        </w:tc>
        <w:tc>
          <w:tcPr>
            <w:tcW w:w="84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10</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10</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8</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9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2</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113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r>
      <w:tr w:rsidR="00A64028" w:rsidRPr="0030560B" w:rsidTr="00A45259">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5314" w:type="dxa"/>
            <w:tcBorders>
              <w:top w:val="nil"/>
              <w:left w:val="nil"/>
              <w:bottom w:val="single" w:sz="4" w:space="0" w:color="auto"/>
              <w:right w:val="single" w:sz="4" w:space="0" w:color="auto"/>
            </w:tcBorders>
            <w:shd w:val="clear" w:color="auto" w:fill="auto"/>
            <w:noWrap/>
            <w:vAlign w:val="center"/>
            <w:hideMark/>
          </w:tcPr>
          <w:p w:rsidR="00A64028" w:rsidRPr="00A45259" w:rsidRDefault="00A64028" w:rsidP="00ED3C71">
            <w:pPr>
              <w:spacing w:after="0" w:line="240" w:lineRule="auto"/>
              <w:ind w:left="69"/>
              <w:rPr>
                <w:rFonts w:ascii="Arial Narrow" w:hAnsi="Arial Narrow"/>
                <w:sz w:val="16"/>
                <w:szCs w:val="16"/>
              </w:rPr>
            </w:pPr>
            <w:r w:rsidRPr="0030560B">
              <w:rPr>
                <w:rFonts w:ascii="Arial Narrow" w:hAnsi="Arial Narrow"/>
                <w:sz w:val="20"/>
                <w:szCs w:val="20"/>
              </w:rPr>
              <w:t> </w:t>
            </w:r>
          </w:p>
        </w:tc>
        <w:tc>
          <w:tcPr>
            <w:tcW w:w="84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11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r>
      <w:tr w:rsidR="00A64028" w:rsidRPr="0030560B" w:rsidTr="00A45259">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5314"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rPr>
                <w:rFonts w:ascii="Arial Narrow" w:hAnsi="Arial Narrow"/>
                <w:sz w:val="20"/>
                <w:szCs w:val="20"/>
              </w:rPr>
            </w:pPr>
            <w:r w:rsidRPr="0030560B">
              <w:rPr>
                <w:rFonts w:ascii="Arial Narrow" w:hAnsi="Arial Narrow"/>
                <w:sz w:val="20"/>
                <w:szCs w:val="20"/>
              </w:rPr>
              <w:t>85.11 - Услуги в области дошкольного образования</w:t>
            </w:r>
          </w:p>
        </w:tc>
        <w:tc>
          <w:tcPr>
            <w:tcW w:w="84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11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r>
      <w:tr w:rsidR="00A64028" w:rsidRPr="0030560B" w:rsidTr="00A45259">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5314"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rPr>
                <w:rFonts w:ascii="Arial Narrow" w:hAnsi="Arial Narrow"/>
                <w:sz w:val="20"/>
                <w:szCs w:val="20"/>
              </w:rPr>
            </w:pPr>
            <w:r w:rsidRPr="0030560B">
              <w:rPr>
                <w:rFonts w:ascii="Arial Narrow" w:hAnsi="Arial Narrow"/>
                <w:sz w:val="20"/>
                <w:szCs w:val="20"/>
              </w:rPr>
              <w:t>88.91. - Услуги по дневному уходу за детьми, кроме дневного ухода за детьми с физическими или умственными недостатками</w:t>
            </w:r>
          </w:p>
        </w:tc>
        <w:tc>
          <w:tcPr>
            <w:tcW w:w="84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11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r>
      <w:tr w:rsidR="00A64028" w:rsidRPr="0030560B" w:rsidTr="00A45259">
        <w:tc>
          <w:tcPr>
            <w:tcW w:w="35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2</w:t>
            </w:r>
          </w:p>
        </w:tc>
        <w:tc>
          <w:tcPr>
            <w:tcW w:w="5314"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rPr>
                <w:rFonts w:ascii="Arial Narrow" w:hAnsi="Arial Narrow"/>
                <w:sz w:val="20"/>
                <w:szCs w:val="20"/>
              </w:rPr>
            </w:pPr>
            <w:r w:rsidRPr="0030560B">
              <w:rPr>
                <w:rFonts w:ascii="Arial Narrow" w:hAnsi="Arial Narrow"/>
                <w:sz w:val="20"/>
                <w:szCs w:val="20"/>
              </w:rPr>
              <w:t>Рынок услуг детского отдыха и оздоровления</w:t>
            </w:r>
          </w:p>
        </w:tc>
        <w:tc>
          <w:tcPr>
            <w:tcW w:w="84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5</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3</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1</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1</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3</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1</w:t>
            </w:r>
          </w:p>
        </w:tc>
        <w:tc>
          <w:tcPr>
            <w:tcW w:w="996"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1</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1131"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r>
      <w:tr w:rsidR="00A64028" w:rsidRPr="0030560B" w:rsidTr="00A45259">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5314"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rPr>
                <w:rFonts w:ascii="Arial Narrow" w:hAnsi="Arial Narrow"/>
                <w:sz w:val="20"/>
                <w:szCs w:val="20"/>
              </w:rPr>
            </w:pPr>
            <w:r w:rsidRPr="0030560B">
              <w:rPr>
                <w:rFonts w:ascii="Arial Narrow" w:hAnsi="Arial Narrow"/>
                <w:sz w:val="20"/>
                <w:szCs w:val="20"/>
              </w:rPr>
              <w:t> </w:t>
            </w:r>
          </w:p>
        </w:tc>
        <w:tc>
          <w:tcPr>
            <w:tcW w:w="84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2"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1131"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r>
      <w:tr w:rsidR="00A64028" w:rsidRPr="0030560B" w:rsidTr="00A45259">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5314"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rPr>
                <w:rFonts w:ascii="Arial Narrow" w:hAnsi="Arial Narrow"/>
                <w:sz w:val="20"/>
                <w:szCs w:val="20"/>
              </w:rPr>
            </w:pPr>
            <w:r w:rsidRPr="0030560B">
              <w:rPr>
                <w:rFonts w:ascii="Arial Narrow" w:hAnsi="Arial Narrow"/>
                <w:sz w:val="20"/>
                <w:szCs w:val="20"/>
              </w:rPr>
              <w:t>86.90.4 Деятельность санаторно-курортных организаций</w:t>
            </w:r>
          </w:p>
        </w:tc>
        <w:tc>
          <w:tcPr>
            <w:tcW w:w="84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2"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1131"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r>
      <w:tr w:rsidR="00A64028" w:rsidRPr="0030560B" w:rsidTr="00A45259">
        <w:tc>
          <w:tcPr>
            <w:tcW w:w="35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3</w:t>
            </w:r>
          </w:p>
        </w:tc>
        <w:tc>
          <w:tcPr>
            <w:tcW w:w="5314"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rPr>
                <w:rFonts w:ascii="Arial Narrow" w:hAnsi="Arial Narrow"/>
                <w:sz w:val="20"/>
                <w:szCs w:val="20"/>
              </w:rPr>
            </w:pPr>
            <w:r w:rsidRPr="0030560B">
              <w:rPr>
                <w:rFonts w:ascii="Arial Narrow" w:hAnsi="Arial Narrow"/>
                <w:sz w:val="20"/>
                <w:szCs w:val="20"/>
              </w:rPr>
              <w:t>Рынок дополнительного образования детей</w:t>
            </w:r>
          </w:p>
        </w:tc>
        <w:tc>
          <w:tcPr>
            <w:tcW w:w="84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25</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25</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20</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996"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5</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1131"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r>
      <w:tr w:rsidR="00A64028" w:rsidRPr="0030560B" w:rsidTr="00A45259">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5314"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rPr>
                <w:rFonts w:ascii="Arial Narrow" w:hAnsi="Arial Narrow"/>
                <w:sz w:val="20"/>
                <w:szCs w:val="20"/>
              </w:rPr>
            </w:pPr>
            <w:r w:rsidRPr="0030560B">
              <w:rPr>
                <w:rFonts w:ascii="Arial Narrow" w:hAnsi="Arial Narrow"/>
                <w:sz w:val="20"/>
                <w:szCs w:val="20"/>
              </w:rPr>
              <w:t> </w:t>
            </w:r>
          </w:p>
        </w:tc>
        <w:tc>
          <w:tcPr>
            <w:tcW w:w="84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2"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1131"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r>
      <w:tr w:rsidR="00A64028" w:rsidRPr="0030560B" w:rsidTr="00A45259">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5314"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rPr>
                <w:rFonts w:ascii="Arial Narrow" w:hAnsi="Arial Narrow"/>
                <w:sz w:val="20"/>
                <w:szCs w:val="20"/>
              </w:rPr>
            </w:pPr>
            <w:r w:rsidRPr="0030560B">
              <w:rPr>
                <w:rFonts w:ascii="Arial Narrow" w:hAnsi="Arial Narrow"/>
                <w:sz w:val="20"/>
                <w:szCs w:val="20"/>
              </w:rPr>
              <w:t>85.41 Образование дополнительное детей и взрослых</w:t>
            </w:r>
          </w:p>
        </w:tc>
        <w:tc>
          <w:tcPr>
            <w:tcW w:w="84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2"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1131"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r>
      <w:tr w:rsidR="00A64028" w:rsidRPr="0030560B" w:rsidTr="00A45259">
        <w:tc>
          <w:tcPr>
            <w:tcW w:w="35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4</w:t>
            </w:r>
          </w:p>
        </w:tc>
        <w:tc>
          <w:tcPr>
            <w:tcW w:w="5314"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rPr>
                <w:rFonts w:ascii="Arial Narrow" w:hAnsi="Arial Narrow"/>
                <w:sz w:val="20"/>
                <w:szCs w:val="20"/>
              </w:rPr>
            </w:pPr>
            <w:r w:rsidRPr="0030560B">
              <w:rPr>
                <w:rFonts w:ascii="Arial Narrow" w:hAnsi="Arial Narrow"/>
                <w:sz w:val="20"/>
                <w:szCs w:val="20"/>
              </w:rPr>
              <w:t>Рынок медицинских услуг</w:t>
            </w:r>
          </w:p>
        </w:tc>
        <w:tc>
          <w:tcPr>
            <w:tcW w:w="84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70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63</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7</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51</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6</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996"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12</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1</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1131"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r>
      <w:tr w:rsidR="00A64028" w:rsidRPr="0030560B" w:rsidTr="00A45259">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5314"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rPr>
                <w:rFonts w:ascii="Arial Narrow" w:hAnsi="Arial Narrow"/>
                <w:sz w:val="20"/>
                <w:szCs w:val="20"/>
              </w:rPr>
            </w:pPr>
            <w:r w:rsidRPr="0030560B">
              <w:rPr>
                <w:rFonts w:ascii="Arial Narrow" w:hAnsi="Arial Narrow"/>
                <w:sz w:val="20"/>
                <w:szCs w:val="20"/>
              </w:rPr>
              <w:t> </w:t>
            </w:r>
          </w:p>
        </w:tc>
        <w:tc>
          <w:tcPr>
            <w:tcW w:w="84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2"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1131"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r>
      <w:tr w:rsidR="00A64028" w:rsidRPr="0030560B" w:rsidTr="00A45259">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5314"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rPr>
                <w:rFonts w:ascii="Arial Narrow" w:hAnsi="Arial Narrow"/>
                <w:sz w:val="20"/>
                <w:szCs w:val="20"/>
              </w:rPr>
            </w:pPr>
            <w:r w:rsidRPr="0030560B">
              <w:rPr>
                <w:rFonts w:ascii="Arial Narrow" w:hAnsi="Arial Narrow"/>
                <w:sz w:val="20"/>
                <w:szCs w:val="20"/>
              </w:rPr>
              <w:t>86 - Деятельность в области здравоохранения</w:t>
            </w:r>
          </w:p>
        </w:tc>
        <w:tc>
          <w:tcPr>
            <w:tcW w:w="84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2"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1131"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r>
      <w:tr w:rsidR="00A64028" w:rsidRPr="0030560B" w:rsidTr="00A45259">
        <w:tc>
          <w:tcPr>
            <w:tcW w:w="35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5</w:t>
            </w:r>
          </w:p>
        </w:tc>
        <w:tc>
          <w:tcPr>
            <w:tcW w:w="5314"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rPr>
                <w:rFonts w:ascii="Arial Narrow" w:hAnsi="Arial Narrow"/>
                <w:sz w:val="20"/>
                <w:szCs w:val="20"/>
              </w:rPr>
            </w:pPr>
            <w:r w:rsidRPr="0030560B">
              <w:rPr>
                <w:rFonts w:ascii="Arial Narrow" w:hAnsi="Arial Narrow"/>
                <w:sz w:val="20"/>
                <w:szCs w:val="20"/>
              </w:rPr>
              <w:t>Рынок услуг психолого-педагогического сопровождения детей с ограниченными возможностями здоровья</w:t>
            </w:r>
          </w:p>
        </w:tc>
        <w:tc>
          <w:tcPr>
            <w:tcW w:w="84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25</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23</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2</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18</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2</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996"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5</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1131"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r>
      <w:tr w:rsidR="00A64028" w:rsidRPr="0030560B" w:rsidTr="00A45259">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5314"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rPr>
                <w:rFonts w:ascii="Arial Narrow" w:hAnsi="Arial Narrow"/>
                <w:sz w:val="20"/>
                <w:szCs w:val="20"/>
              </w:rPr>
            </w:pPr>
            <w:r w:rsidRPr="0030560B">
              <w:rPr>
                <w:rFonts w:ascii="Arial Narrow" w:hAnsi="Arial Narrow"/>
                <w:sz w:val="20"/>
                <w:szCs w:val="20"/>
              </w:rPr>
              <w:t> </w:t>
            </w:r>
          </w:p>
        </w:tc>
        <w:tc>
          <w:tcPr>
            <w:tcW w:w="84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2"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1131"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r>
      <w:tr w:rsidR="00A64028" w:rsidRPr="0030560B" w:rsidTr="00A45259">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5314"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rPr>
                <w:rFonts w:ascii="Arial Narrow" w:hAnsi="Arial Narrow"/>
                <w:sz w:val="20"/>
                <w:szCs w:val="20"/>
              </w:rPr>
            </w:pPr>
            <w:r w:rsidRPr="0030560B">
              <w:rPr>
                <w:rFonts w:ascii="Arial Narrow" w:hAnsi="Arial Narrow"/>
                <w:sz w:val="20"/>
                <w:szCs w:val="20"/>
              </w:rPr>
              <w:t>86.90.9 - Деятельность в области медицины прочая, не включенная в другие группировки</w:t>
            </w:r>
          </w:p>
        </w:tc>
        <w:tc>
          <w:tcPr>
            <w:tcW w:w="84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2"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1131"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r>
      <w:tr w:rsidR="00A64028" w:rsidRPr="0030560B" w:rsidTr="00A45259">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5314"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rPr>
                <w:rFonts w:ascii="Arial Narrow" w:hAnsi="Arial Narrow"/>
                <w:sz w:val="20"/>
                <w:szCs w:val="20"/>
              </w:rPr>
            </w:pPr>
            <w:r w:rsidRPr="0030560B">
              <w:rPr>
                <w:rFonts w:ascii="Arial Narrow" w:hAnsi="Arial Narrow"/>
                <w:sz w:val="20"/>
                <w:szCs w:val="20"/>
              </w:rPr>
              <w:t>88.9 - Предоставление прочих социальных услуг без обеспечения проживания</w:t>
            </w:r>
          </w:p>
        </w:tc>
        <w:tc>
          <w:tcPr>
            <w:tcW w:w="84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2"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1131"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r>
      <w:tr w:rsidR="00A64028" w:rsidRPr="0030560B" w:rsidTr="00A45259">
        <w:tc>
          <w:tcPr>
            <w:tcW w:w="35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6</w:t>
            </w:r>
          </w:p>
        </w:tc>
        <w:tc>
          <w:tcPr>
            <w:tcW w:w="5314"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rPr>
                <w:rFonts w:ascii="Arial Narrow" w:hAnsi="Arial Narrow"/>
                <w:sz w:val="20"/>
                <w:szCs w:val="20"/>
              </w:rPr>
            </w:pPr>
            <w:r w:rsidRPr="0030560B">
              <w:rPr>
                <w:rFonts w:ascii="Arial Narrow" w:hAnsi="Arial Narrow"/>
                <w:sz w:val="20"/>
                <w:szCs w:val="20"/>
              </w:rPr>
              <w:t>Рынок услуг в сфере культуры</w:t>
            </w:r>
          </w:p>
        </w:tc>
        <w:tc>
          <w:tcPr>
            <w:tcW w:w="84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25</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25</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21</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996"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4</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1131"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r>
      <w:tr w:rsidR="00A64028" w:rsidRPr="0030560B" w:rsidTr="00A45259">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5314"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rPr>
                <w:rFonts w:ascii="Arial Narrow" w:hAnsi="Arial Narrow"/>
                <w:sz w:val="20"/>
                <w:szCs w:val="20"/>
              </w:rPr>
            </w:pPr>
            <w:r w:rsidRPr="0030560B">
              <w:rPr>
                <w:rFonts w:ascii="Arial Narrow" w:hAnsi="Arial Narrow"/>
                <w:sz w:val="20"/>
                <w:szCs w:val="20"/>
              </w:rPr>
              <w:t> </w:t>
            </w:r>
          </w:p>
        </w:tc>
        <w:tc>
          <w:tcPr>
            <w:tcW w:w="84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2"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1131"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r>
      <w:tr w:rsidR="00A64028" w:rsidRPr="0030560B" w:rsidTr="00A45259">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5314"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rPr>
                <w:rFonts w:ascii="Arial Narrow" w:hAnsi="Arial Narrow"/>
                <w:sz w:val="20"/>
                <w:szCs w:val="20"/>
              </w:rPr>
            </w:pPr>
            <w:r w:rsidRPr="0030560B">
              <w:rPr>
                <w:rFonts w:ascii="Arial Narrow" w:hAnsi="Arial Narrow"/>
                <w:sz w:val="20"/>
                <w:szCs w:val="20"/>
              </w:rPr>
              <w:t>90 - Деятельность творческая, деятельность в области искусства и организации развлечений</w:t>
            </w:r>
          </w:p>
        </w:tc>
        <w:tc>
          <w:tcPr>
            <w:tcW w:w="84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2"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1131"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r>
      <w:tr w:rsidR="00A64028" w:rsidRPr="0030560B" w:rsidTr="00A45259">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5314"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rPr>
                <w:rFonts w:ascii="Arial Narrow" w:hAnsi="Arial Narrow"/>
                <w:sz w:val="20"/>
                <w:szCs w:val="20"/>
              </w:rPr>
            </w:pPr>
            <w:r w:rsidRPr="0030560B">
              <w:rPr>
                <w:rFonts w:ascii="Arial Narrow" w:hAnsi="Arial Narrow"/>
                <w:sz w:val="20"/>
                <w:szCs w:val="20"/>
              </w:rPr>
              <w:t>91 - Деятельность библиотек, архивов, музеев и прочих объектов культуры</w:t>
            </w:r>
          </w:p>
        </w:tc>
        <w:tc>
          <w:tcPr>
            <w:tcW w:w="84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2"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1131"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r>
      <w:tr w:rsidR="00A64028" w:rsidRPr="0030560B" w:rsidTr="00E82802">
        <w:tc>
          <w:tcPr>
            <w:tcW w:w="35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7</w:t>
            </w:r>
          </w:p>
        </w:tc>
        <w:tc>
          <w:tcPr>
            <w:tcW w:w="5314" w:type="dxa"/>
            <w:tcBorders>
              <w:top w:val="single" w:sz="4" w:space="0" w:color="auto"/>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rPr>
                <w:rFonts w:ascii="Arial Narrow" w:hAnsi="Arial Narrow"/>
                <w:sz w:val="20"/>
                <w:szCs w:val="20"/>
              </w:rPr>
            </w:pPr>
            <w:r w:rsidRPr="0030560B">
              <w:rPr>
                <w:rFonts w:ascii="Arial Narrow" w:hAnsi="Arial Narrow"/>
                <w:sz w:val="20"/>
                <w:szCs w:val="20"/>
              </w:rPr>
              <w:t xml:space="preserve">Рынок услуг </w:t>
            </w:r>
            <w:r w:rsidR="00A45259">
              <w:rPr>
                <w:rFonts w:ascii="Arial Narrow" w:hAnsi="Arial Narrow"/>
                <w:sz w:val="20"/>
                <w:szCs w:val="20"/>
              </w:rPr>
              <w:t>ЖКХ</w:t>
            </w:r>
            <w:r w:rsidRPr="0030560B">
              <w:rPr>
                <w:rFonts w:ascii="Arial Narrow" w:hAnsi="Arial Narrow"/>
                <w:sz w:val="20"/>
                <w:szCs w:val="20"/>
              </w:rPr>
              <w:t xml:space="preserve"> (управляющие компании)</w:t>
            </w:r>
          </w:p>
        </w:tc>
        <w:tc>
          <w:tcPr>
            <w:tcW w:w="84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70</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60</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10</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47</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8</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9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13</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2</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113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r>
      <w:tr w:rsidR="00A64028" w:rsidRPr="0030560B" w:rsidTr="00A45259">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5314"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rPr>
                <w:rFonts w:ascii="Arial Narrow" w:hAnsi="Arial Narrow"/>
                <w:sz w:val="20"/>
                <w:szCs w:val="20"/>
              </w:rPr>
            </w:pPr>
            <w:r w:rsidRPr="0030560B">
              <w:rPr>
                <w:rFonts w:ascii="Arial Narrow" w:hAnsi="Arial Narrow"/>
                <w:sz w:val="20"/>
                <w:szCs w:val="20"/>
              </w:rPr>
              <w:t> </w:t>
            </w:r>
          </w:p>
        </w:tc>
        <w:tc>
          <w:tcPr>
            <w:tcW w:w="84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2"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1131"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r>
    </w:tbl>
    <w:p w:rsidR="00ED3C71" w:rsidRDefault="00ED3C71"/>
    <w:p w:rsidR="00ED3C71" w:rsidRPr="00ED3C71" w:rsidRDefault="00ED3C71" w:rsidP="00ED3C71">
      <w:pPr>
        <w:spacing w:after="0" w:line="240" w:lineRule="auto"/>
        <w:jc w:val="right"/>
        <w:rPr>
          <w:rFonts w:ascii="Arial Narrow" w:hAnsi="Arial Narrow"/>
          <w:sz w:val="24"/>
          <w:szCs w:val="24"/>
        </w:rPr>
      </w:pPr>
      <w:r w:rsidRPr="00BF6DC4">
        <w:rPr>
          <w:rFonts w:ascii="Arial Narrow" w:hAnsi="Arial Narrow"/>
          <w:sz w:val="24"/>
          <w:szCs w:val="24"/>
        </w:rPr>
        <w:lastRenderedPageBreak/>
        <w:t xml:space="preserve">Продолжение Таблицы </w:t>
      </w:r>
      <w:r>
        <w:rPr>
          <w:rFonts w:ascii="Arial Narrow" w:hAnsi="Arial Narrow"/>
          <w:sz w:val="24"/>
          <w:szCs w:val="24"/>
        </w:rPr>
        <w:t>7.13</w:t>
      </w:r>
    </w:p>
    <w:tbl>
      <w:tblPr>
        <w:tblW w:w="16018" w:type="dxa"/>
        <w:tblInd w:w="-1129" w:type="dxa"/>
        <w:tblLayout w:type="fixed"/>
        <w:tblCellMar>
          <w:left w:w="0" w:type="dxa"/>
          <w:right w:w="0" w:type="dxa"/>
        </w:tblCellMar>
        <w:tblLook w:val="04A0"/>
      </w:tblPr>
      <w:tblGrid>
        <w:gridCol w:w="356"/>
        <w:gridCol w:w="5314"/>
        <w:gridCol w:w="849"/>
        <w:gridCol w:w="709"/>
        <w:gridCol w:w="709"/>
        <w:gridCol w:w="709"/>
        <w:gridCol w:w="992"/>
        <w:gridCol w:w="709"/>
        <w:gridCol w:w="708"/>
        <w:gridCol w:w="709"/>
        <w:gridCol w:w="996"/>
        <w:gridCol w:w="709"/>
        <w:gridCol w:w="709"/>
        <w:gridCol w:w="709"/>
        <w:gridCol w:w="1131"/>
      </w:tblGrid>
      <w:tr w:rsidR="00A64028" w:rsidRPr="0030560B" w:rsidTr="00ED3C71">
        <w:tc>
          <w:tcPr>
            <w:tcW w:w="3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5314" w:type="dxa"/>
            <w:tcBorders>
              <w:top w:val="single" w:sz="4" w:space="0" w:color="auto"/>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rPr>
                <w:rFonts w:ascii="Arial Narrow" w:hAnsi="Arial Narrow"/>
                <w:sz w:val="20"/>
                <w:szCs w:val="20"/>
              </w:rPr>
            </w:pPr>
            <w:r w:rsidRPr="0030560B">
              <w:rPr>
                <w:rFonts w:ascii="Arial Narrow" w:hAnsi="Arial Narrow"/>
                <w:sz w:val="20"/>
                <w:szCs w:val="20"/>
              </w:rPr>
              <w:t>68.32 - Управление недвижимым имуществом за вознаграждение или на договорной основе</w:t>
            </w:r>
          </w:p>
        </w:tc>
        <w:tc>
          <w:tcPr>
            <w:tcW w:w="8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r>
      <w:tr w:rsidR="00A64028" w:rsidRPr="0030560B" w:rsidTr="00A45259">
        <w:tc>
          <w:tcPr>
            <w:tcW w:w="35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8</w:t>
            </w:r>
          </w:p>
        </w:tc>
        <w:tc>
          <w:tcPr>
            <w:tcW w:w="5314"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rPr>
                <w:rFonts w:ascii="Arial Narrow" w:hAnsi="Arial Narrow"/>
                <w:sz w:val="20"/>
                <w:szCs w:val="20"/>
              </w:rPr>
            </w:pPr>
            <w:r w:rsidRPr="0030560B">
              <w:rPr>
                <w:rFonts w:ascii="Arial Narrow" w:hAnsi="Arial Narrow"/>
                <w:sz w:val="20"/>
                <w:szCs w:val="20"/>
              </w:rPr>
              <w:t>Розничная торговля (продажа продуктов питания и непродовольственных товаров)</w:t>
            </w:r>
          </w:p>
        </w:tc>
        <w:tc>
          <w:tcPr>
            <w:tcW w:w="84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150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146</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4</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91</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3</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996"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55</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1</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1131"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r>
      <w:tr w:rsidR="00A64028" w:rsidRPr="0030560B" w:rsidTr="00A45259">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5314" w:type="dxa"/>
            <w:tcBorders>
              <w:top w:val="nil"/>
              <w:left w:val="nil"/>
              <w:bottom w:val="single" w:sz="4" w:space="0" w:color="auto"/>
              <w:right w:val="single" w:sz="4" w:space="0" w:color="auto"/>
            </w:tcBorders>
            <w:shd w:val="clear" w:color="auto" w:fill="auto"/>
            <w:noWrap/>
            <w:vAlign w:val="center"/>
            <w:hideMark/>
          </w:tcPr>
          <w:p w:rsidR="00A64028" w:rsidRPr="00A45259" w:rsidRDefault="00A64028" w:rsidP="00ED3C71">
            <w:pPr>
              <w:spacing w:after="0" w:line="240" w:lineRule="auto"/>
              <w:ind w:left="69"/>
              <w:rPr>
                <w:rFonts w:ascii="Arial Narrow" w:hAnsi="Arial Narrow"/>
                <w:sz w:val="6"/>
                <w:szCs w:val="6"/>
              </w:rPr>
            </w:pPr>
            <w:r w:rsidRPr="00A45259">
              <w:rPr>
                <w:rFonts w:ascii="Arial Narrow" w:hAnsi="Arial Narrow"/>
                <w:sz w:val="6"/>
                <w:szCs w:val="6"/>
              </w:rPr>
              <w:t> </w:t>
            </w:r>
          </w:p>
        </w:tc>
        <w:tc>
          <w:tcPr>
            <w:tcW w:w="84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2"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1131"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r>
      <w:tr w:rsidR="00A64028" w:rsidRPr="0030560B" w:rsidTr="00A45259">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5314"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rPr>
                <w:rFonts w:ascii="Arial Narrow" w:hAnsi="Arial Narrow"/>
                <w:sz w:val="20"/>
                <w:szCs w:val="20"/>
              </w:rPr>
            </w:pPr>
            <w:r w:rsidRPr="0030560B">
              <w:rPr>
                <w:rFonts w:ascii="Arial Narrow" w:hAnsi="Arial Narrow"/>
                <w:sz w:val="20"/>
                <w:szCs w:val="20"/>
              </w:rPr>
              <w:t>45.11.2 - Торговля розничная легковыми автомобилями и легкими автотранспортными средствами в специализированных магазинах</w:t>
            </w:r>
          </w:p>
        </w:tc>
        <w:tc>
          <w:tcPr>
            <w:tcW w:w="84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2"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1131"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r>
      <w:tr w:rsidR="00A64028" w:rsidRPr="0030560B" w:rsidTr="00A45259">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5314"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rPr>
                <w:rFonts w:ascii="Arial Narrow" w:hAnsi="Arial Narrow"/>
                <w:sz w:val="20"/>
                <w:szCs w:val="20"/>
              </w:rPr>
            </w:pPr>
            <w:r w:rsidRPr="0030560B">
              <w:rPr>
                <w:rFonts w:ascii="Arial Narrow" w:hAnsi="Arial Narrow"/>
                <w:sz w:val="20"/>
                <w:szCs w:val="20"/>
              </w:rPr>
              <w:t>45.11.3 - Торговля розничная легковыми автомобилями и легкими автотранспортными средствами прочая</w:t>
            </w:r>
          </w:p>
        </w:tc>
        <w:tc>
          <w:tcPr>
            <w:tcW w:w="84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2"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1131"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r>
      <w:tr w:rsidR="00A64028" w:rsidRPr="0030560B" w:rsidTr="00A45259">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5314"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rPr>
                <w:rFonts w:ascii="Arial Narrow" w:hAnsi="Arial Narrow"/>
                <w:sz w:val="20"/>
                <w:szCs w:val="20"/>
              </w:rPr>
            </w:pPr>
            <w:r w:rsidRPr="0030560B">
              <w:rPr>
                <w:rFonts w:ascii="Arial Narrow" w:hAnsi="Arial Narrow"/>
                <w:sz w:val="20"/>
                <w:szCs w:val="20"/>
              </w:rPr>
              <w:t>47 - Торговля розничная, кроме торговли автотранспортными средствами и мотоциклами</w:t>
            </w:r>
          </w:p>
        </w:tc>
        <w:tc>
          <w:tcPr>
            <w:tcW w:w="84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2"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1131"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r>
      <w:tr w:rsidR="00A64028" w:rsidRPr="0030560B" w:rsidTr="00A45259">
        <w:tc>
          <w:tcPr>
            <w:tcW w:w="35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9</w:t>
            </w:r>
          </w:p>
        </w:tc>
        <w:tc>
          <w:tcPr>
            <w:tcW w:w="5314"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rPr>
                <w:rFonts w:ascii="Arial Narrow" w:hAnsi="Arial Narrow"/>
                <w:sz w:val="20"/>
                <w:szCs w:val="20"/>
              </w:rPr>
            </w:pPr>
            <w:r w:rsidRPr="0030560B">
              <w:rPr>
                <w:rFonts w:ascii="Arial Narrow" w:hAnsi="Arial Narrow"/>
                <w:sz w:val="20"/>
                <w:szCs w:val="20"/>
              </w:rPr>
              <w:t>Рынок услуг перевозок пассажиров наземным транспортом (автобусные перевозки и такси)</w:t>
            </w:r>
          </w:p>
        </w:tc>
        <w:tc>
          <w:tcPr>
            <w:tcW w:w="84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60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59</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1</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34</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1</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996"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25</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1131"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r>
      <w:tr w:rsidR="00A64028" w:rsidRPr="0030560B" w:rsidTr="00A45259">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5314" w:type="dxa"/>
            <w:tcBorders>
              <w:top w:val="nil"/>
              <w:left w:val="nil"/>
              <w:bottom w:val="single" w:sz="4" w:space="0" w:color="auto"/>
              <w:right w:val="single" w:sz="4" w:space="0" w:color="auto"/>
            </w:tcBorders>
            <w:shd w:val="clear" w:color="auto" w:fill="auto"/>
            <w:noWrap/>
            <w:vAlign w:val="center"/>
            <w:hideMark/>
          </w:tcPr>
          <w:p w:rsidR="00A64028" w:rsidRPr="00A45259" w:rsidRDefault="00A64028" w:rsidP="00ED3C71">
            <w:pPr>
              <w:spacing w:after="0" w:line="240" w:lineRule="auto"/>
              <w:ind w:left="69"/>
              <w:rPr>
                <w:rFonts w:ascii="Arial Narrow" w:hAnsi="Arial Narrow"/>
                <w:sz w:val="6"/>
                <w:szCs w:val="6"/>
              </w:rPr>
            </w:pPr>
            <w:r w:rsidRPr="0030560B">
              <w:rPr>
                <w:rFonts w:ascii="Arial Narrow" w:hAnsi="Arial Narrow"/>
                <w:sz w:val="20"/>
                <w:szCs w:val="20"/>
              </w:rPr>
              <w:t> </w:t>
            </w:r>
          </w:p>
        </w:tc>
        <w:tc>
          <w:tcPr>
            <w:tcW w:w="84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2"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1131"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r>
      <w:tr w:rsidR="00A64028" w:rsidRPr="0030560B" w:rsidTr="00A45259">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5314"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rPr>
                <w:rFonts w:ascii="Arial Narrow" w:hAnsi="Arial Narrow"/>
                <w:sz w:val="20"/>
                <w:szCs w:val="20"/>
              </w:rPr>
            </w:pPr>
            <w:r w:rsidRPr="0030560B">
              <w:rPr>
                <w:rFonts w:ascii="Arial Narrow" w:hAnsi="Arial Narrow"/>
                <w:sz w:val="20"/>
                <w:szCs w:val="20"/>
              </w:rPr>
              <w:t>49.31.21 - Деятельность автобусного транспорта по регулярным внутригородским и пригородным пассажирским перевозкам</w:t>
            </w:r>
          </w:p>
        </w:tc>
        <w:tc>
          <w:tcPr>
            <w:tcW w:w="84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2"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1131"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r>
      <w:tr w:rsidR="00A64028" w:rsidRPr="0030560B" w:rsidTr="00A45259">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5314"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rPr>
                <w:rFonts w:ascii="Arial Narrow" w:hAnsi="Arial Narrow"/>
                <w:sz w:val="20"/>
                <w:szCs w:val="20"/>
              </w:rPr>
            </w:pPr>
            <w:r w:rsidRPr="0030560B">
              <w:rPr>
                <w:rFonts w:ascii="Arial Narrow" w:hAnsi="Arial Narrow"/>
                <w:sz w:val="20"/>
                <w:szCs w:val="20"/>
              </w:rPr>
              <w:t>49.32 - Деятельность такси</w:t>
            </w:r>
          </w:p>
        </w:tc>
        <w:tc>
          <w:tcPr>
            <w:tcW w:w="84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2"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1131"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r>
      <w:tr w:rsidR="00A64028" w:rsidRPr="0030560B" w:rsidTr="00A45259">
        <w:tc>
          <w:tcPr>
            <w:tcW w:w="35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10</w:t>
            </w:r>
          </w:p>
        </w:tc>
        <w:tc>
          <w:tcPr>
            <w:tcW w:w="5314"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rPr>
                <w:rFonts w:ascii="Arial Narrow" w:hAnsi="Arial Narrow"/>
                <w:sz w:val="20"/>
                <w:szCs w:val="20"/>
              </w:rPr>
            </w:pPr>
            <w:r w:rsidRPr="0030560B">
              <w:rPr>
                <w:rFonts w:ascii="Arial Narrow" w:hAnsi="Arial Narrow"/>
                <w:sz w:val="20"/>
                <w:szCs w:val="20"/>
              </w:rPr>
              <w:t>Рынок услуг связи</w:t>
            </w:r>
          </w:p>
        </w:tc>
        <w:tc>
          <w:tcPr>
            <w:tcW w:w="84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25</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24</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1</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21</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1</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996"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3</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1131"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r>
      <w:tr w:rsidR="00A64028" w:rsidRPr="0030560B" w:rsidTr="00A45259">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5314"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rPr>
                <w:rFonts w:ascii="Arial Narrow" w:hAnsi="Arial Narrow"/>
                <w:sz w:val="20"/>
                <w:szCs w:val="20"/>
              </w:rPr>
            </w:pPr>
            <w:r w:rsidRPr="0030560B">
              <w:rPr>
                <w:rFonts w:ascii="Arial Narrow" w:hAnsi="Arial Narrow"/>
                <w:sz w:val="20"/>
                <w:szCs w:val="20"/>
              </w:rPr>
              <w:t> </w:t>
            </w:r>
          </w:p>
        </w:tc>
        <w:tc>
          <w:tcPr>
            <w:tcW w:w="84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2"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1131"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r>
      <w:tr w:rsidR="00A64028" w:rsidRPr="0030560B" w:rsidTr="00A45259">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5314"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rPr>
                <w:rFonts w:ascii="Arial Narrow" w:hAnsi="Arial Narrow"/>
                <w:sz w:val="20"/>
                <w:szCs w:val="20"/>
              </w:rPr>
            </w:pPr>
            <w:r w:rsidRPr="0030560B">
              <w:rPr>
                <w:rFonts w:ascii="Arial Narrow" w:hAnsi="Arial Narrow"/>
                <w:sz w:val="20"/>
                <w:szCs w:val="20"/>
              </w:rPr>
              <w:t>61.1 Деятельность в области связи на базе проводных технологий</w:t>
            </w:r>
          </w:p>
        </w:tc>
        <w:tc>
          <w:tcPr>
            <w:tcW w:w="84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2"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1131"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r>
      <w:tr w:rsidR="00A64028" w:rsidRPr="0030560B" w:rsidTr="00A45259">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5314"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rPr>
                <w:rFonts w:ascii="Arial Narrow" w:hAnsi="Arial Narrow"/>
                <w:sz w:val="20"/>
                <w:szCs w:val="20"/>
              </w:rPr>
            </w:pPr>
            <w:r w:rsidRPr="0030560B">
              <w:rPr>
                <w:rFonts w:ascii="Arial Narrow" w:hAnsi="Arial Narrow"/>
                <w:sz w:val="20"/>
                <w:szCs w:val="20"/>
              </w:rPr>
              <w:t>61.20 Деятельность в области связи на базе беспроводных технологий</w:t>
            </w:r>
          </w:p>
        </w:tc>
        <w:tc>
          <w:tcPr>
            <w:tcW w:w="84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2"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1131"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r>
      <w:tr w:rsidR="00A64028" w:rsidRPr="0030560B" w:rsidTr="00A45259">
        <w:tc>
          <w:tcPr>
            <w:tcW w:w="35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11</w:t>
            </w:r>
          </w:p>
        </w:tc>
        <w:tc>
          <w:tcPr>
            <w:tcW w:w="5314"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rPr>
                <w:rFonts w:ascii="Arial Narrow" w:hAnsi="Arial Narrow"/>
                <w:sz w:val="20"/>
                <w:szCs w:val="20"/>
              </w:rPr>
            </w:pPr>
            <w:r w:rsidRPr="0030560B">
              <w:rPr>
                <w:rFonts w:ascii="Arial Narrow" w:hAnsi="Arial Narrow"/>
                <w:sz w:val="20"/>
                <w:szCs w:val="20"/>
              </w:rPr>
              <w:t>Рынок услуг социального обслуживания населения</w:t>
            </w:r>
          </w:p>
        </w:tc>
        <w:tc>
          <w:tcPr>
            <w:tcW w:w="84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25</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25</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21</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996"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4</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1131"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r>
      <w:tr w:rsidR="00A64028" w:rsidRPr="0030560B" w:rsidTr="00A45259">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5314"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rPr>
                <w:rFonts w:ascii="Arial Narrow" w:hAnsi="Arial Narrow"/>
                <w:sz w:val="20"/>
                <w:szCs w:val="20"/>
              </w:rPr>
            </w:pPr>
            <w:r w:rsidRPr="0030560B">
              <w:rPr>
                <w:rFonts w:ascii="Arial Narrow" w:hAnsi="Arial Narrow"/>
                <w:sz w:val="20"/>
                <w:szCs w:val="20"/>
              </w:rPr>
              <w:t> </w:t>
            </w:r>
          </w:p>
        </w:tc>
        <w:tc>
          <w:tcPr>
            <w:tcW w:w="84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2"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1131"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r>
      <w:tr w:rsidR="00A64028" w:rsidRPr="0030560B" w:rsidTr="00A45259">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5314"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rPr>
                <w:rFonts w:ascii="Arial Narrow" w:hAnsi="Arial Narrow"/>
                <w:sz w:val="20"/>
                <w:szCs w:val="20"/>
              </w:rPr>
            </w:pPr>
            <w:r w:rsidRPr="0030560B">
              <w:rPr>
                <w:rFonts w:ascii="Arial Narrow" w:hAnsi="Arial Narrow"/>
                <w:sz w:val="20"/>
                <w:szCs w:val="20"/>
              </w:rPr>
              <w:t>87 - Деятельность по уходу с обеспечением проживания</w:t>
            </w:r>
          </w:p>
        </w:tc>
        <w:tc>
          <w:tcPr>
            <w:tcW w:w="84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2"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1131"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r>
      <w:tr w:rsidR="00A64028" w:rsidRPr="0030560B" w:rsidTr="00A45259">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5314"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rPr>
                <w:rFonts w:ascii="Arial Narrow" w:hAnsi="Arial Narrow"/>
                <w:sz w:val="20"/>
                <w:szCs w:val="20"/>
              </w:rPr>
            </w:pPr>
            <w:r w:rsidRPr="0030560B">
              <w:rPr>
                <w:rFonts w:ascii="Arial Narrow" w:hAnsi="Arial Narrow"/>
                <w:sz w:val="20"/>
                <w:szCs w:val="20"/>
              </w:rPr>
              <w:t>88 - Предоставление социальных услуг без обеспечения проживания</w:t>
            </w:r>
          </w:p>
        </w:tc>
        <w:tc>
          <w:tcPr>
            <w:tcW w:w="84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2"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1131"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r>
      <w:tr w:rsidR="00A64028" w:rsidRPr="0030560B" w:rsidTr="00A45259">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5314"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rPr>
                <w:rFonts w:ascii="Arial Narrow" w:hAnsi="Arial Narrow"/>
                <w:b/>
                <w:bCs/>
                <w:sz w:val="20"/>
                <w:szCs w:val="20"/>
              </w:rPr>
            </w:pPr>
            <w:r w:rsidRPr="0030560B">
              <w:rPr>
                <w:rFonts w:ascii="Arial Narrow" w:hAnsi="Arial Narrow"/>
                <w:b/>
                <w:bCs/>
                <w:sz w:val="20"/>
                <w:szCs w:val="20"/>
              </w:rPr>
              <w:t>Приоритетные рынки</w:t>
            </w:r>
          </w:p>
        </w:tc>
        <w:tc>
          <w:tcPr>
            <w:tcW w:w="849"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nil"/>
            </w:tcBorders>
            <w:shd w:val="clear" w:color="auto" w:fill="auto"/>
            <w:vAlign w:val="center"/>
            <w:hideMark/>
          </w:tcPr>
          <w:p w:rsidR="00A64028" w:rsidRPr="0030560B" w:rsidRDefault="00A64028" w:rsidP="00E82802">
            <w:pPr>
              <w:spacing w:after="0" w:line="240" w:lineRule="auto"/>
              <w:jc w:val="center"/>
              <w:rPr>
                <w:rFonts w:ascii="Arial Narrow" w:hAnsi="Arial Narrow"/>
                <w:b/>
                <w:bCs/>
                <w:sz w:val="20"/>
                <w:szCs w:val="20"/>
              </w:rPr>
            </w:pPr>
            <w:r w:rsidRPr="0030560B">
              <w:rPr>
                <w:rFonts w:ascii="Arial Narrow" w:hAnsi="Arial Narrow"/>
                <w:b/>
                <w:bCs/>
                <w:sz w:val="20"/>
                <w:szCs w:val="20"/>
              </w:rPr>
              <w:t> </w:t>
            </w:r>
          </w:p>
        </w:tc>
        <w:tc>
          <w:tcPr>
            <w:tcW w:w="709" w:type="dxa"/>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b/>
                <w:bCs/>
                <w:sz w:val="20"/>
                <w:szCs w:val="20"/>
              </w:rPr>
            </w:pPr>
            <w:r w:rsidRPr="0030560B">
              <w:rPr>
                <w:rFonts w:ascii="Arial Narrow" w:hAnsi="Arial Narrow"/>
                <w:b/>
                <w:bCs/>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b/>
                <w:bCs/>
                <w:sz w:val="20"/>
                <w:szCs w:val="20"/>
              </w:rPr>
            </w:pPr>
            <w:r w:rsidRPr="0030560B">
              <w:rPr>
                <w:rFonts w:ascii="Arial Narrow" w:hAnsi="Arial Narrow"/>
                <w:b/>
                <w:bCs/>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b/>
                <w:bCs/>
                <w:sz w:val="20"/>
                <w:szCs w:val="20"/>
              </w:rPr>
            </w:pPr>
            <w:r w:rsidRPr="0030560B">
              <w:rPr>
                <w:rFonts w:ascii="Arial Narrow" w:hAnsi="Arial Narrow"/>
                <w:b/>
                <w:bCs/>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b/>
                <w:bCs/>
                <w:sz w:val="20"/>
                <w:szCs w:val="20"/>
              </w:rPr>
            </w:pPr>
            <w:r w:rsidRPr="0030560B">
              <w:rPr>
                <w:rFonts w:ascii="Arial Narrow" w:hAnsi="Arial Narrow"/>
                <w:b/>
                <w:bCs/>
                <w:sz w:val="20"/>
                <w:szCs w:val="20"/>
              </w:rPr>
              <w:t> </w:t>
            </w:r>
          </w:p>
        </w:tc>
        <w:tc>
          <w:tcPr>
            <w:tcW w:w="708"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b/>
                <w:bCs/>
                <w:sz w:val="20"/>
                <w:szCs w:val="20"/>
              </w:rPr>
            </w:pPr>
            <w:r w:rsidRPr="0030560B">
              <w:rPr>
                <w:rFonts w:ascii="Arial Narrow" w:hAnsi="Arial Narrow"/>
                <w:b/>
                <w:bCs/>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b/>
                <w:bCs/>
                <w:sz w:val="20"/>
                <w:szCs w:val="20"/>
              </w:rPr>
            </w:pPr>
            <w:r w:rsidRPr="0030560B">
              <w:rPr>
                <w:rFonts w:ascii="Arial Narrow" w:hAnsi="Arial Narrow"/>
                <w:b/>
                <w:bCs/>
                <w:sz w:val="20"/>
                <w:szCs w:val="20"/>
              </w:rPr>
              <w:t> </w:t>
            </w:r>
          </w:p>
        </w:tc>
        <w:tc>
          <w:tcPr>
            <w:tcW w:w="996"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b/>
                <w:bCs/>
                <w:sz w:val="20"/>
                <w:szCs w:val="20"/>
              </w:rPr>
            </w:pPr>
            <w:r w:rsidRPr="0030560B">
              <w:rPr>
                <w:rFonts w:ascii="Arial Narrow" w:hAnsi="Arial Narrow"/>
                <w:b/>
                <w:bCs/>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b/>
                <w:bCs/>
                <w:sz w:val="20"/>
                <w:szCs w:val="20"/>
              </w:rPr>
            </w:pPr>
            <w:r w:rsidRPr="0030560B">
              <w:rPr>
                <w:rFonts w:ascii="Arial Narrow" w:hAnsi="Arial Narrow"/>
                <w:b/>
                <w:bCs/>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b/>
                <w:bCs/>
                <w:sz w:val="20"/>
                <w:szCs w:val="20"/>
              </w:rPr>
            </w:pPr>
            <w:r w:rsidRPr="0030560B">
              <w:rPr>
                <w:rFonts w:ascii="Arial Narrow" w:hAnsi="Arial Narrow"/>
                <w:b/>
                <w:bCs/>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b/>
                <w:bCs/>
                <w:sz w:val="20"/>
                <w:szCs w:val="20"/>
              </w:rPr>
            </w:pPr>
            <w:r w:rsidRPr="0030560B">
              <w:rPr>
                <w:rFonts w:ascii="Arial Narrow" w:hAnsi="Arial Narrow"/>
                <w:b/>
                <w:bCs/>
                <w:sz w:val="20"/>
                <w:szCs w:val="20"/>
              </w:rPr>
              <w:t> </w:t>
            </w:r>
          </w:p>
        </w:tc>
        <w:tc>
          <w:tcPr>
            <w:tcW w:w="1131"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b/>
                <w:bCs/>
                <w:sz w:val="20"/>
                <w:szCs w:val="20"/>
              </w:rPr>
            </w:pPr>
            <w:r w:rsidRPr="0030560B">
              <w:rPr>
                <w:rFonts w:ascii="Arial Narrow" w:hAnsi="Arial Narrow"/>
                <w:b/>
                <w:bCs/>
                <w:sz w:val="20"/>
                <w:szCs w:val="20"/>
              </w:rPr>
              <w:t> </w:t>
            </w:r>
          </w:p>
        </w:tc>
      </w:tr>
      <w:tr w:rsidR="00A64028" w:rsidRPr="0030560B" w:rsidTr="00A45259">
        <w:tc>
          <w:tcPr>
            <w:tcW w:w="35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12</w:t>
            </w:r>
          </w:p>
        </w:tc>
        <w:tc>
          <w:tcPr>
            <w:tcW w:w="5314"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rPr>
                <w:rFonts w:ascii="Arial Narrow" w:hAnsi="Arial Narrow"/>
                <w:sz w:val="20"/>
                <w:szCs w:val="20"/>
              </w:rPr>
            </w:pPr>
            <w:r w:rsidRPr="0030560B">
              <w:rPr>
                <w:rFonts w:ascii="Arial Narrow" w:hAnsi="Arial Narrow"/>
                <w:sz w:val="20"/>
                <w:szCs w:val="20"/>
              </w:rPr>
              <w:t>Рынок развития, производства, переработки и хранения сельскохозяйственной продукции</w:t>
            </w:r>
          </w:p>
        </w:tc>
        <w:tc>
          <w:tcPr>
            <w:tcW w:w="84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100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91</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8</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1</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31</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3</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996"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60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5</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1</w:t>
            </w:r>
          </w:p>
        </w:tc>
        <w:tc>
          <w:tcPr>
            <w:tcW w:w="1131" w:type="dxa"/>
            <w:vMerge w:val="restart"/>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r>
      <w:tr w:rsidR="00A64028" w:rsidRPr="0030560B" w:rsidTr="00A45259">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5314" w:type="dxa"/>
            <w:tcBorders>
              <w:top w:val="nil"/>
              <w:left w:val="nil"/>
              <w:bottom w:val="single" w:sz="4" w:space="0" w:color="auto"/>
              <w:right w:val="single" w:sz="4" w:space="0" w:color="auto"/>
            </w:tcBorders>
            <w:shd w:val="clear" w:color="auto" w:fill="auto"/>
            <w:noWrap/>
            <w:vAlign w:val="center"/>
            <w:hideMark/>
          </w:tcPr>
          <w:p w:rsidR="00A64028" w:rsidRPr="00A45259" w:rsidRDefault="00A64028" w:rsidP="00ED3C71">
            <w:pPr>
              <w:spacing w:after="0" w:line="240" w:lineRule="auto"/>
              <w:ind w:left="69"/>
              <w:rPr>
                <w:rFonts w:ascii="Arial Narrow" w:hAnsi="Arial Narrow"/>
                <w:sz w:val="6"/>
                <w:szCs w:val="6"/>
              </w:rPr>
            </w:pPr>
            <w:r w:rsidRPr="00A45259">
              <w:rPr>
                <w:rFonts w:ascii="Arial Narrow" w:hAnsi="Arial Narrow"/>
                <w:sz w:val="6"/>
                <w:szCs w:val="6"/>
              </w:rPr>
              <w:t> </w:t>
            </w:r>
          </w:p>
        </w:tc>
        <w:tc>
          <w:tcPr>
            <w:tcW w:w="84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2"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1131"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r>
      <w:tr w:rsidR="00A64028" w:rsidRPr="0030560B" w:rsidTr="00A45259">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5314"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rPr>
                <w:rFonts w:ascii="Arial Narrow" w:hAnsi="Arial Narrow"/>
                <w:sz w:val="20"/>
                <w:szCs w:val="20"/>
              </w:rPr>
            </w:pPr>
            <w:r w:rsidRPr="0030560B">
              <w:rPr>
                <w:rFonts w:ascii="Arial Narrow" w:hAnsi="Arial Narrow"/>
                <w:sz w:val="20"/>
                <w:szCs w:val="20"/>
              </w:rPr>
              <w:t>01 - Растениеводство и животноводство, охота и предоставление соответствующих услуг в этих областях</w:t>
            </w:r>
          </w:p>
        </w:tc>
        <w:tc>
          <w:tcPr>
            <w:tcW w:w="84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2"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1131"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r>
      <w:tr w:rsidR="00A64028" w:rsidRPr="0030560B" w:rsidTr="00A45259">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5314"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rPr>
                <w:rFonts w:ascii="Arial Narrow" w:hAnsi="Arial Narrow"/>
                <w:sz w:val="20"/>
                <w:szCs w:val="20"/>
              </w:rPr>
            </w:pPr>
            <w:r w:rsidRPr="0030560B">
              <w:rPr>
                <w:rFonts w:ascii="Arial Narrow" w:hAnsi="Arial Narrow"/>
                <w:sz w:val="20"/>
                <w:szCs w:val="20"/>
              </w:rPr>
              <w:t>03 - Рыболовство и рыбоводство</w:t>
            </w:r>
          </w:p>
        </w:tc>
        <w:tc>
          <w:tcPr>
            <w:tcW w:w="84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2"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1131"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r>
      <w:tr w:rsidR="00A64028" w:rsidRPr="0030560B" w:rsidTr="00A45259">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5314"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rPr>
                <w:rFonts w:ascii="Arial Narrow" w:hAnsi="Arial Narrow"/>
                <w:sz w:val="20"/>
                <w:szCs w:val="20"/>
              </w:rPr>
            </w:pPr>
            <w:r w:rsidRPr="0030560B">
              <w:rPr>
                <w:rFonts w:ascii="Arial Narrow" w:hAnsi="Arial Narrow"/>
                <w:sz w:val="20"/>
                <w:szCs w:val="20"/>
              </w:rPr>
              <w:t>10 - Производство пищевых продуктов</w:t>
            </w:r>
          </w:p>
        </w:tc>
        <w:tc>
          <w:tcPr>
            <w:tcW w:w="84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2"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1131"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r>
      <w:tr w:rsidR="00A64028" w:rsidRPr="0030560B" w:rsidTr="00754B4E">
        <w:tc>
          <w:tcPr>
            <w:tcW w:w="3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5314" w:type="dxa"/>
            <w:tcBorders>
              <w:top w:val="single" w:sz="4" w:space="0" w:color="auto"/>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rPr>
                <w:rFonts w:ascii="Arial Narrow" w:hAnsi="Arial Narrow"/>
                <w:sz w:val="20"/>
                <w:szCs w:val="20"/>
              </w:rPr>
            </w:pPr>
            <w:r w:rsidRPr="0030560B">
              <w:rPr>
                <w:rFonts w:ascii="Arial Narrow" w:hAnsi="Arial Narrow"/>
                <w:sz w:val="20"/>
                <w:szCs w:val="20"/>
              </w:rPr>
              <w:t>11 - Производство напитков</w:t>
            </w:r>
          </w:p>
        </w:tc>
        <w:tc>
          <w:tcPr>
            <w:tcW w:w="8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D3C71">
            <w:pPr>
              <w:spacing w:after="0" w:line="240" w:lineRule="auto"/>
              <w:ind w:left="69"/>
              <w:rPr>
                <w:rFonts w:ascii="Arial Narrow" w:hAnsi="Arial Narrow"/>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r>
    </w:tbl>
    <w:p w:rsidR="00ED3C71" w:rsidRDefault="00ED3C71"/>
    <w:p w:rsidR="00ED3C71" w:rsidRPr="00ED3C71" w:rsidRDefault="00ED3C71" w:rsidP="00ED3C71">
      <w:pPr>
        <w:spacing w:after="0" w:line="240" w:lineRule="auto"/>
        <w:jc w:val="right"/>
        <w:rPr>
          <w:rFonts w:ascii="Arial Narrow" w:hAnsi="Arial Narrow"/>
          <w:sz w:val="24"/>
          <w:szCs w:val="24"/>
        </w:rPr>
      </w:pPr>
      <w:r w:rsidRPr="00BF6DC4">
        <w:rPr>
          <w:rFonts w:ascii="Arial Narrow" w:hAnsi="Arial Narrow"/>
          <w:sz w:val="24"/>
          <w:szCs w:val="24"/>
        </w:rPr>
        <w:lastRenderedPageBreak/>
        <w:t xml:space="preserve">Продолжение Таблицы </w:t>
      </w:r>
      <w:r>
        <w:rPr>
          <w:rFonts w:ascii="Arial Narrow" w:hAnsi="Arial Narrow"/>
          <w:sz w:val="24"/>
          <w:szCs w:val="24"/>
        </w:rPr>
        <w:t>7.13</w:t>
      </w:r>
    </w:p>
    <w:tbl>
      <w:tblPr>
        <w:tblW w:w="16018" w:type="dxa"/>
        <w:tblInd w:w="-1129" w:type="dxa"/>
        <w:tblLayout w:type="fixed"/>
        <w:tblCellMar>
          <w:left w:w="0" w:type="dxa"/>
          <w:right w:w="0" w:type="dxa"/>
        </w:tblCellMar>
        <w:tblLook w:val="04A0"/>
      </w:tblPr>
      <w:tblGrid>
        <w:gridCol w:w="356"/>
        <w:gridCol w:w="5314"/>
        <w:gridCol w:w="849"/>
        <w:gridCol w:w="709"/>
        <w:gridCol w:w="709"/>
        <w:gridCol w:w="709"/>
        <w:gridCol w:w="992"/>
        <w:gridCol w:w="709"/>
        <w:gridCol w:w="708"/>
        <w:gridCol w:w="709"/>
        <w:gridCol w:w="996"/>
        <w:gridCol w:w="709"/>
        <w:gridCol w:w="709"/>
        <w:gridCol w:w="709"/>
        <w:gridCol w:w="1131"/>
      </w:tblGrid>
      <w:tr w:rsidR="00A64028" w:rsidRPr="0030560B" w:rsidTr="00ED3C71">
        <w:tc>
          <w:tcPr>
            <w:tcW w:w="35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13</w:t>
            </w:r>
          </w:p>
        </w:tc>
        <w:tc>
          <w:tcPr>
            <w:tcW w:w="5314" w:type="dxa"/>
            <w:tcBorders>
              <w:top w:val="single" w:sz="4" w:space="0" w:color="auto"/>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rPr>
                <w:rFonts w:ascii="Arial Narrow" w:hAnsi="Arial Narrow"/>
                <w:sz w:val="20"/>
                <w:szCs w:val="20"/>
              </w:rPr>
            </w:pPr>
            <w:r w:rsidRPr="0030560B">
              <w:rPr>
                <w:rFonts w:ascii="Arial Narrow" w:hAnsi="Arial Narrow"/>
                <w:sz w:val="20"/>
                <w:szCs w:val="20"/>
              </w:rPr>
              <w:t>Рынок услуг по сбору, сортировке и переработке твердых коммунальных (бытовых) отходов</w:t>
            </w:r>
          </w:p>
        </w:tc>
        <w:tc>
          <w:tcPr>
            <w:tcW w:w="84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jc w:val="center"/>
              <w:rPr>
                <w:rFonts w:ascii="Arial Narrow" w:hAnsi="Arial Narrow"/>
                <w:sz w:val="20"/>
                <w:szCs w:val="20"/>
              </w:rPr>
            </w:pPr>
            <w:r w:rsidRPr="0030560B">
              <w:rPr>
                <w:rFonts w:ascii="Arial Narrow" w:hAnsi="Arial Narrow"/>
                <w:sz w:val="20"/>
                <w:szCs w:val="20"/>
              </w:rPr>
              <w:t>10</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9</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1</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5</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1</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9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4</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c>
          <w:tcPr>
            <w:tcW w:w="113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0</w:t>
            </w:r>
          </w:p>
        </w:tc>
      </w:tr>
      <w:tr w:rsidR="00A64028" w:rsidRPr="0030560B" w:rsidTr="00A45259">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5314"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rPr>
                <w:rFonts w:ascii="Arial Narrow" w:hAnsi="Arial Narrow"/>
                <w:sz w:val="20"/>
                <w:szCs w:val="20"/>
              </w:rPr>
            </w:pPr>
            <w:r w:rsidRPr="0030560B">
              <w:rPr>
                <w:rFonts w:ascii="Arial Narrow" w:hAnsi="Arial Narrow"/>
                <w:sz w:val="20"/>
                <w:szCs w:val="20"/>
              </w:rPr>
              <w:t> </w:t>
            </w:r>
          </w:p>
        </w:tc>
        <w:tc>
          <w:tcPr>
            <w:tcW w:w="84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D3C71">
            <w:pPr>
              <w:spacing w:after="0" w:line="240" w:lineRule="auto"/>
              <w:ind w:left="69"/>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2"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1131"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r>
      <w:tr w:rsidR="00A64028" w:rsidRPr="0030560B" w:rsidTr="00A45259">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5314"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rPr>
                <w:rFonts w:ascii="Arial Narrow" w:hAnsi="Arial Narrow"/>
                <w:sz w:val="20"/>
                <w:szCs w:val="20"/>
              </w:rPr>
            </w:pPr>
            <w:r w:rsidRPr="0030560B">
              <w:rPr>
                <w:rFonts w:ascii="Arial Narrow" w:hAnsi="Arial Narrow"/>
                <w:sz w:val="20"/>
                <w:szCs w:val="20"/>
              </w:rPr>
              <w:t>38.1 - Сбор отходов</w:t>
            </w:r>
          </w:p>
        </w:tc>
        <w:tc>
          <w:tcPr>
            <w:tcW w:w="84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D3C71">
            <w:pPr>
              <w:spacing w:after="0" w:line="240" w:lineRule="auto"/>
              <w:ind w:left="69"/>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2"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1131"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r>
      <w:tr w:rsidR="00A64028" w:rsidRPr="0030560B" w:rsidTr="00A45259">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5314"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rPr>
                <w:rFonts w:ascii="Arial Narrow" w:hAnsi="Arial Narrow"/>
                <w:sz w:val="20"/>
                <w:szCs w:val="20"/>
              </w:rPr>
            </w:pPr>
            <w:r w:rsidRPr="0030560B">
              <w:rPr>
                <w:rFonts w:ascii="Arial Narrow" w:hAnsi="Arial Narrow"/>
                <w:sz w:val="20"/>
                <w:szCs w:val="20"/>
              </w:rPr>
              <w:t>38.2 - Обработка и утилизация отходов</w:t>
            </w:r>
          </w:p>
        </w:tc>
        <w:tc>
          <w:tcPr>
            <w:tcW w:w="84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D3C71">
            <w:pPr>
              <w:spacing w:after="0" w:line="240" w:lineRule="auto"/>
              <w:ind w:left="69"/>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2"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996"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c>
          <w:tcPr>
            <w:tcW w:w="1131" w:type="dxa"/>
            <w:vMerge/>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rPr>
                <w:rFonts w:ascii="Arial Narrow" w:hAnsi="Arial Narrow"/>
                <w:sz w:val="20"/>
                <w:szCs w:val="20"/>
              </w:rPr>
            </w:pPr>
          </w:p>
        </w:tc>
      </w:tr>
      <w:tr w:rsidR="00A64028" w:rsidRPr="0030560B" w:rsidTr="00A45259">
        <w:tc>
          <w:tcPr>
            <w:tcW w:w="56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rPr>
                <w:rFonts w:ascii="Arial Narrow" w:hAnsi="Arial Narrow"/>
                <w:b/>
                <w:bCs/>
                <w:i/>
                <w:iCs/>
                <w:sz w:val="20"/>
                <w:szCs w:val="20"/>
              </w:rPr>
            </w:pPr>
            <w:r w:rsidRPr="0030560B">
              <w:rPr>
                <w:rFonts w:ascii="Arial Narrow" w:hAnsi="Arial Narrow"/>
                <w:b/>
                <w:bCs/>
                <w:i/>
                <w:iCs/>
                <w:sz w:val="20"/>
                <w:szCs w:val="20"/>
              </w:rPr>
              <w:t>ВСЕГО по социально значимым и приоритетным рынкам</w:t>
            </w:r>
          </w:p>
        </w:tc>
        <w:tc>
          <w:tcPr>
            <w:tcW w:w="849"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jc w:val="center"/>
              <w:rPr>
                <w:rFonts w:ascii="Arial Narrow" w:hAnsi="Arial Narrow"/>
                <w:b/>
                <w:bCs/>
                <w:i/>
                <w:iCs/>
                <w:sz w:val="20"/>
                <w:szCs w:val="20"/>
              </w:rPr>
            </w:pPr>
            <w:r w:rsidRPr="0030560B">
              <w:rPr>
                <w:rFonts w:ascii="Arial Narrow" w:hAnsi="Arial Narrow"/>
                <w:b/>
                <w:bCs/>
                <w:i/>
                <w:iCs/>
                <w:sz w:val="20"/>
                <w:szCs w:val="20"/>
              </w:rPr>
              <w:t>600</w:t>
            </w:r>
          </w:p>
        </w:tc>
        <w:tc>
          <w:tcPr>
            <w:tcW w:w="709" w:type="dxa"/>
            <w:tcBorders>
              <w:top w:val="nil"/>
              <w:left w:val="nil"/>
              <w:bottom w:val="single" w:sz="4" w:space="0" w:color="auto"/>
              <w:right w:val="nil"/>
            </w:tcBorders>
            <w:shd w:val="clear" w:color="auto" w:fill="auto"/>
            <w:vAlign w:val="center"/>
            <w:hideMark/>
          </w:tcPr>
          <w:p w:rsidR="00A64028" w:rsidRPr="0030560B" w:rsidRDefault="00A64028" w:rsidP="00E82802">
            <w:pPr>
              <w:spacing w:after="0" w:line="240" w:lineRule="auto"/>
              <w:jc w:val="center"/>
              <w:rPr>
                <w:rFonts w:ascii="Arial Narrow" w:hAnsi="Arial Narrow"/>
                <w:b/>
                <w:bCs/>
                <w:i/>
                <w:iCs/>
                <w:sz w:val="20"/>
                <w:szCs w:val="20"/>
              </w:rPr>
            </w:pPr>
            <w:r w:rsidRPr="0030560B">
              <w:rPr>
                <w:rFonts w:ascii="Arial Narrow" w:hAnsi="Arial Narrow"/>
                <w:b/>
                <w:bCs/>
                <w:i/>
                <w:iCs/>
                <w:sz w:val="20"/>
                <w:szCs w:val="20"/>
              </w:rPr>
              <w:t>563</w:t>
            </w:r>
          </w:p>
        </w:tc>
        <w:tc>
          <w:tcPr>
            <w:tcW w:w="709" w:type="dxa"/>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b/>
                <w:bCs/>
                <w:i/>
                <w:iCs/>
                <w:sz w:val="20"/>
                <w:szCs w:val="20"/>
              </w:rPr>
            </w:pPr>
            <w:r w:rsidRPr="0030560B">
              <w:rPr>
                <w:rFonts w:ascii="Arial Narrow" w:hAnsi="Arial Narrow"/>
                <w:b/>
                <w:bCs/>
                <w:i/>
                <w:iCs/>
                <w:sz w:val="20"/>
                <w:szCs w:val="20"/>
              </w:rPr>
              <w:t>35</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b/>
                <w:bCs/>
                <w:i/>
                <w:iCs/>
                <w:sz w:val="20"/>
                <w:szCs w:val="20"/>
              </w:rPr>
            </w:pPr>
            <w:r w:rsidRPr="0030560B">
              <w:rPr>
                <w:rFonts w:ascii="Arial Narrow" w:hAnsi="Arial Narrow"/>
                <w:b/>
                <w:bCs/>
                <w:i/>
                <w:iCs/>
                <w:sz w:val="20"/>
                <w:szCs w:val="20"/>
              </w:rPr>
              <w:t>2</w:t>
            </w:r>
          </w:p>
        </w:tc>
        <w:tc>
          <w:tcPr>
            <w:tcW w:w="992"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b/>
                <w:bCs/>
                <w:i/>
                <w:iCs/>
                <w:sz w:val="20"/>
                <w:szCs w:val="20"/>
              </w:rPr>
            </w:pPr>
            <w:r w:rsidRPr="0030560B">
              <w:rPr>
                <w:rFonts w:ascii="Arial Narrow" w:hAnsi="Arial Narrow"/>
                <w:b/>
                <w:bCs/>
                <w:i/>
                <w:iCs/>
                <w:sz w:val="20"/>
                <w:szCs w:val="20"/>
              </w:rPr>
              <w:t>0</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b/>
                <w:bCs/>
                <w:i/>
                <w:iCs/>
                <w:sz w:val="20"/>
                <w:szCs w:val="20"/>
              </w:rPr>
            </w:pPr>
            <w:r w:rsidRPr="0030560B">
              <w:rPr>
                <w:rFonts w:ascii="Arial Narrow" w:hAnsi="Arial Narrow"/>
                <w:b/>
                <w:bCs/>
                <w:i/>
                <w:iCs/>
                <w:sz w:val="20"/>
                <w:szCs w:val="20"/>
              </w:rPr>
              <w:t>371</w:t>
            </w:r>
          </w:p>
        </w:tc>
        <w:tc>
          <w:tcPr>
            <w:tcW w:w="708"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b/>
                <w:bCs/>
                <w:i/>
                <w:iCs/>
                <w:sz w:val="20"/>
                <w:szCs w:val="20"/>
              </w:rPr>
            </w:pPr>
            <w:r w:rsidRPr="0030560B">
              <w:rPr>
                <w:rFonts w:ascii="Arial Narrow" w:hAnsi="Arial Narrow"/>
                <w:b/>
                <w:bCs/>
                <w:i/>
                <w:iCs/>
                <w:sz w:val="20"/>
                <w:szCs w:val="20"/>
              </w:rPr>
              <w:t>25</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b/>
                <w:bCs/>
                <w:i/>
                <w:iCs/>
                <w:sz w:val="20"/>
                <w:szCs w:val="20"/>
              </w:rPr>
            </w:pPr>
            <w:r w:rsidRPr="0030560B">
              <w:rPr>
                <w:rFonts w:ascii="Arial Narrow" w:hAnsi="Arial Narrow"/>
                <w:b/>
                <w:bCs/>
                <w:i/>
                <w:iCs/>
                <w:sz w:val="20"/>
                <w:szCs w:val="20"/>
              </w:rPr>
              <w:t>1</w:t>
            </w:r>
          </w:p>
        </w:tc>
        <w:tc>
          <w:tcPr>
            <w:tcW w:w="996"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b/>
                <w:bCs/>
                <w:i/>
                <w:iCs/>
                <w:sz w:val="20"/>
                <w:szCs w:val="20"/>
              </w:rPr>
            </w:pPr>
            <w:r w:rsidRPr="0030560B">
              <w:rPr>
                <w:rFonts w:ascii="Arial Narrow" w:hAnsi="Arial Narrow"/>
                <w:b/>
                <w:bCs/>
                <w:i/>
                <w:iCs/>
                <w:sz w:val="20"/>
                <w:szCs w:val="20"/>
              </w:rPr>
              <w:t>0</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b/>
                <w:bCs/>
                <w:i/>
                <w:iCs/>
                <w:sz w:val="20"/>
                <w:szCs w:val="20"/>
              </w:rPr>
            </w:pPr>
            <w:r w:rsidRPr="0030560B">
              <w:rPr>
                <w:rFonts w:ascii="Arial Narrow" w:hAnsi="Arial Narrow"/>
                <w:b/>
                <w:bCs/>
                <w:i/>
                <w:iCs/>
                <w:sz w:val="20"/>
                <w:szCs w:val="20"/>
              </w:rPr>
              <w:t>192</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b/>
                <w:bCs/>
                <w:i/>
                <w:iCs/>
                <w:sz w:val="20"/>
                <w:szCs w:val="20"/>
              </w:rPr>
            </w:pPr>
            <w:r w:rsidRPr="0030560B">
              <w:rPr>
                <w:rFonts w:ascii="Arial Narrow" w:hAnsi="Arial Narrow"/>
                <w:b/>
                <w:bCs/>
                <w:i/>
                <w:iCs/>
                <w:sz w:val="20"/>
                <w:szCs w:val="20"/>
              </w:rPr>
              <w:t>10</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b/>
                <w:bCs/>
                <w:i/>
                <w:iCs/>
                <w:sz w:val="20"/>
                <w:szCs w:val="20"/>
              </w:rPr>
            </w:pPr>
            <w:r w:rsidRPr="0030560B">
              <w:rPr>
                <w:rFonts w:ascii="Arial Narrow" w:hAnsi="Arial Narrow"/>
                <w:b/>
                <w:bCs/>
                <w:i/>
                <w:iCs/>
                <w:sz w:val="20"/>
                <w:szCs w:val="20"/>
              </w:rPr>
              <w:t>1</w:t>
            </w:r>
          </w:p>
        </w:tc>
        <w:tc>
          <w:tcPr>
            <w:tcW w:w="1131"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b/>
                <w:bCs/>
                <w:i/>
                <w:iCs/>
                <w:sz w:val="20"/>
                <w:szCs w:val="20"/>
              </w:rPr>
            </w:pPr>
            <w:r w:rsidRPr="0030560B">
              <w:rPr>
                <w:rFonts w:ascii="Arial Narrow" w:hAnsi="Arial Narrow"/>
                <w:b/>
                <w:bCs/>
                <w:i/>
                <w:iCs/>
                <w:sz w:val="20"/>
                <w:szCs w:val="20"/>
              </w:rPr>
              <w:t>0</w:t>
            </w:r>
          </w:p>
        </w:tc>
      </w:tr>
      <w:tr w:rsidR="00A64028" w:rsidRPr="0030560B" w:rsidTr="00A45259">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5314"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rPr>
                <w:rFonts w:ascii="Arial Narrow" w:hAnsi="Arial Narrow"/>
                <w:b/>
                <w:bCs/>
                <w:sz w:val="20"/>
                <w:szCs w:val="20"/>
              </w:rPr>
            </w:pPr>
            <w:r w:rsidRPr="0030560B">
              <w:rPr>
                <w:rFonts w:ascii="Arial Narrow" w:hAnsi="Arial Narrow"/>
                <w:b/>
                <w:bCs/>
                <w:sz w:val="20"/>
                <w:szCs w:val="20"/>
              </w:rPr>
              <w:t>Другие рынки (укрупненные ОКВЭД первого уровня)</w:t>
            </w:r>
          </w:p>
        </w:tc>
        <w:tc>
          <w:tcPr>
            <w:tcW w:w="849"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nil"/>
            </w:tcBorders>
            <w:shd w:val="clear" w:color="auto" w:fill="auto"/>
            <w:vAlign w:val="center"/>
            <w:hideMark/>
          </w:tcPr>
          <w:p w:rsidR="00A64028" w:rsidRPr="0030560B" w:rsidRDefault="00A64028" w:rsidP="00E82802">
            <w:pPr>
              <w:spacing w:after="0" w:line="240" w:lineRule="auto"/>
              <w:jc w:val="center"/>
              <w:rPr>
                <w:rFonts w:ascii="Arial Narrow" w:hAnsi="Arial Narrow"/>
                <w:b/>
                <w:bCs/>
                <w:sz w:val="20"/>
                <w:szCs w:val="20"/>
              </w:rPr>
            </w:pPr>
            <w:r w:rsidRPr="0030560B">
              <w:rPr>
                <w:rFonts w:ascii="Arial Narrow" w:hAnsi="Arial Narrow"/>
                <w:b/>
                <w:bCs/>
                <w:sz w:val="20"/>
                <w:szCs w:val="20"/>
              </w:rPr>
              <w:t> </w:t>
            </w:r>
          </w:p>
        </w:tc>
        <w:tc>
          <w:tcPr>
            <w:tcW w:w="709" w:type="dxa"/>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b/>
                <w:bCs/>
                <w:sz w:val="20"/>
                <w:szCs w:val="20"/>
              </w:rPr>
            </w:pPr>
            <w:r w:rsidRPr="0030560B">
              <w:rPr>
                <w:rFonts w:ascii="Arial Narrow" w:hAnsi="Arial Narrow"/>
                <w:b/>
                <w:bCs/>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b/>
                <w:bCs/>
                <w:sz w:val="20"/>
                <w:szCs w:val="20"/>
              </w:rPr>
            </w:pPr>
            <w:r w:rsidRPr="0030560B">
              <w:rPr>
                <w:rFonts w:ascii="Arial Narrow" w:hAnsi="Arial Narrow"/>
                <w:b/>
                <w:bCs/>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b/>
                <w:bCs/>
                <w:sz w:val="20"/>
                <w:szCs w:val="20"/>
              </w:rPr>
            </w:pPr>
            <w:r w:rsidRPr="0030560B">
              <w:rPr>
                <w:rFonts w:ascii="Arial Narrow" w:hAnsi="Arial Narrow"/>
                <w:b/>
                <w:bCs/>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b/>
                <w:bCs/>
                <w:sz w:val="20"/>
                <w:szCs w:val="20"/>
              </w:rPr>
            </w:pPr>
            <w:r w:rsidRPr="0030560B">
              <w:rPr>
                <w:rFonts w:ascii="Arial Narrow" w:hAnsi="Arial Narrow"/>
                <w:b/>
                <w:bCs/>
                <w:sz w:val="20"/>
                <w:szCs w:val="20"/>
              </w:rPr>
              <w:t> </w:t>
            </w:r>
          </w:p>
        </w:tc>
        <w:tc>
          <w:tcPr>
            <w:tcW w:w="708"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b/>
                <w:bCs/>
                <w:sz w:val="20"/>
                <w:szCs w:val="20"/>
              </w:rPr>
            </w:pPr>
            <w:r w:rsidRPr="0030560B">
              <w:rPr>
                <w:rFonts w:ascii="Arial Narrow" w:hAnsi="Arial Narrow"/>
                <w:b/>
                <w:bCs/>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b/>
                <w:bCs/>
                <w:sz w:val="20"/>
                <w:szCs w:val="20"/>
              </w:rPr>
            </w:pPr>
            <w:r w:rsidRPr="0030560B">
              <w:rPr>
                <w:rFonts w:ascii="Arial Narrow" w:hAnsi="Arial Narrow"/>
                <w:b/>
                <w:bCs/>
                <w:sz w:val="20"/>
                <w:szCs w:val="20"/>
              </w:rPr>
              <w:t> </w:t>
            </w:r>
          </w:p>
        </w:tc>
        <w:tc>
          <w:tcPr>
            <w:tcW w:w="996"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b/>
                <w:bCs/>
                <w:sz w:val="20"/>
                <w:szCs w:val="20"/>
              </w:rPr>
            </w:pPr>
            <w:r w:rsidRPr="0030560B">
              <w:rPr>
                <w:rFonts w:ascii="Arial Narrow" w:hAnsi="Arial Narrow"/>
                <w:b/>
                <w:bCs/>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b/>
                <w:bCs/>
                <w:sz w:val="20"/>
                <w:szCs w:val="20"/>
              </w:rPr>
            </w:pPr>
            <w:r w:rsidRPr="0030560B">
              <w:rPr>
                <w:rFonts w:ascii="Arial Narrow" w:hAnsi="Arial Narrow"/>
                <w:b/>
                <w:bCs/>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b/>
                <w:bCs/>
                <w:sz w:val="20"/>
                <w:szCs w:val="20"/>
              </w:rPr>
            </w:pPr>
            <w:r w:rsidRPr="0030560B">
              <w:rPr>
                <w:rFonts w:ascii="Arial Narrow" w:hAnsi="Arial Narrow"/>
                <w:b/>
                <w:bCs/>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b/>
                <w:bCs/>
                <w:sz w:val="20"/>
                <w:szCs w:val="20"/>
              </w:rPr>
            </w:pPr>
            <w:r w:rsidRPr="0030560B">
              <w:rPr>
                <w:rFonts w:ascii="Arial Narrow" w:hAnsi="Arial Narrow"/>
                <w:b/>
                <w:bCs/>
                <w:sz w:val="20"/>
                <w:szCs w:val="20"/>
              </w:rPr>
              <w:t> </w:t>
            </w:r>
          </w:p>
        </w:tc>
        <w:tc>
          <w:tcPr>
            <w:tcW w:w="1131"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b/>
                <w:bCs/>
                <w:sz w:val="20"/>
                <w:szCs w:val="20"/>
              </w:rPr>
            </w:pPr>
            <w:r w:rsidRPr="0030560B">
              <w:rPr>
                <w:rFonts w:ascii="Arial Narrow" w:hAnsi="Arial Narrow"/>
                <w:b/>
                <w:bCs/>
                <w:sz w:val="20"/>
                <w:szCs w:val="20"/>
              </w:rPr>
              <w:t> </w:t>
            </w:r>
          </w:p>
        </w:tc>
      </w:tr>
      <w:tr w:rsidR="00A64028" w:rsidRPr="0030560B" w:rsidTr="00A45259">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14</w:t>
            </w:r>
          </w:p>
        </w:tc>
        <w:tc>
          <w:tcPr>
            <w:tcW w:w="5314"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rPr>
                <w:rFonts w:ascii="Arial Narrow" w:hAnsi="Arial Narrow"/>
                <w:sz w:val="20"/>
                <w:szCs w:val="20"/>
              </w:rPr>
            </w:pPr>
            <w:r w:rsidRPr="0030560B">
              <w:rPr>
                <w:rFonts w:ascii="Arial Narrow" w:hAnsi="Arial Narrow"/>
                <w:sz w:val="20"/>
                <w:szCs w:val="20"/>
              </w:rPr>
              <w:t>Добыча полезных ископаемых</w:t>
            </w:r>
          </w:p>
        </w:tc>
        <w:tc>
          <w:tcPr>
            <w:tcW w:w="849"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jc w:val="center"/>
              <w:rPr>
                <w:rFonts w:ascii="Arial Narrow" w:hAnsi="Arial Narrow"/>
                <w:sz w:val="20"/>
                <w:szCs w:val="20"/>
              </w:rPr>
            </w:pPr>
            <w:r w:rsidRPr="0030560B">
              <w:rPr>
                <w:rFonts w:ascii="Arial Narrow" w:hAnsi="Arial Narrow"/>
                <w:sz w:val="20"/>
                <w:szCs w:val="20"/>
              </w:rPr>
              <w:t>30</w:t>
            </w:r>
          </w:p>
        </w:tc>
        <w:tc>
          <w:tcPr>
            <w:tcW w:w="709" w:type="dxa"/>
            <w:tcBorders>
              <w:top w:val="nil"/>
              <w:left w:val="nil"/>
              <w:bottom w:val="single" w:sz="4" w:space="0" w:color="auto"/>
              <w:right w:val="nil"/>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8"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996"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1131"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r>
      <w:tr w:rsidR="00A64028" w:rsidRPr="0030560B" w:rsidTr="00A45259">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15</w:t>
            </w:r>
          </w:p>
        </w:tc>
        <w:tc>
          <w:tcPr>
            <w:tcW w:w="5314"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rPr>
                <w:rFonts w:ascii="Arial Narrow" w:hAnsi="Arial Narrow"/>
                <w:sz w:val="20"/>
                <w:szCs w:val="20"/>
              </w:rPr>
            </w:pPr>
            <w:r w:rsidRPr="0030560B">
              <w:rPr>
                <w:rFonts w:ascii="Arial Narrow" w:hAnsi="Arial Narrow"/>
                <w:sz w:val="20"/>
                <w:szCs w:val="20"/>
              </w:rPr>
              <w:t>Обрабатывающие производства (кроме пищевых продуктов)</w:t>
            </w:r>
          </w:p>
        </w:tc>
        <w:tc>
          <w:tcPr>
            <w:tcW w:w="849"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jc w:val="center"/>
              <w:rPr>
                <w:rFonts w:ascii="Arial Narrow" w:hAnsi="Arial Narrow"/>
                <w:sz w:val="20"/>
                <w:szCs w:val="20"/>
              </w:rPr>
            </w:pPr>
            <w:r w:rsidRPr="0030560B">
              <w:rPr>
                <w:rFonts w:ascii="Arial Narrow" w:hAnsi="Arial Narrow"/>
                <w:sz w:val="20"/>
                <w:szCs w:val="20"/>
              </w:rPr>
              <w:t>100</w:t>
            </w:r>
          </w:p>
        </w:tc>
        <w:tc>
          <w:tcPr>
            <w:tcW w:w="709" w:type="dxa"/>
            <w:tcBorders>
              <w:top w:val="nil"/>
              <w:left w:val="nil"/>
              <w:bottom w:val="single" w:sz="4" w:space="0" w:color="auto"/>
              <w:right w:val="nil"/>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8"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996"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1131"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r>
      <w:tr w:rsidR="00A64028" w:rsidRPr="0030560B" w:rsidTr="00A45259">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16</w:t>
            </w:r>
          </w:p>
        </w:tc>
        <w:tc>
          <w:tcPr>
            <w:tcW w:w="5314"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rPr>
                <w:rFonts w:ascii="Arial Narrow" w:hAnsi="Arial Narrow"/>
                <w:sz w:val="20"/>
                <w:szCs w:val="20"/>
              </w:rPr>
            </w:pPr>
            <w:r w:rsidRPr="0030560B">
              <w:rPr>
                <w:rFonts w:ascii="Arial Narrow" w:hAnsi="Arial Narrow"/>
                <w:sz w:val="20"/>
                <w:szCs w:val="20"/>
              </w:rPr>
              <w:t>Производство, распределение электроэнергии, газа, воды</w:t>
            </w:r>
          </w:p>
        </w:tc>
        <w:tc>
          <w:tcPr>
            <w:tcW w:w="849"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jc w:val="center"/>
              <w:rPr>
                <w:rFonts w:ascii="Arial Narrow" w:hAnsi="Arial Narrow"/>
                <w:sz w:val="20"/>
                <w:szCs w:val="20"/>
              </w:rPr>
            </w:pPr>
            <w:r w:rsidRPr="0030560B">
              <w:rPr>
                <w:rFonts w:ascii="Arial Narrow" w:hAnsi="Arial Narrow"/>
                <w:sz w:val="20"/>
                <w:szCs w:val="20"/>
              </w:rPr>
              <w:t>60</w:t>
            </w:r>
          </w:p>
        </w:tc>
        <w:tc>
          <w:tcPr>
            <w:tcW w:w="709" w:type="dxa"/>
            <w:tcBorders>
              <w:top w:val="nil"/>
              <w:left w:val="nil"/>
              <w:bottom w:val="single" w:sz="4" w:space="0" w:color="auto"/>
              <w:right w:val="nil"/>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8"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996"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1131"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r>
      <w:tr w:rsidR="00A64028" w:rsidRPr="0030560B" w:rsidTr="00A45259">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17</w:t>
            </w:r>
          </w:p>
        </w:tc>
        <w:tc>
          <w:tcPr>
            <w:tcW w:w="5314"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rPr>
                <w:rFonts w:ascii="Arial Narrow" w:hAnsi="Arial Narrow"/>
                <w:sz w:val="20"/>
                <w:szCs w:val="20"/>
              </w:rPr>
            </w:pPr>
            <w:r w:rsidRPr="0030560B">
              <w:rPr>
                <w:rFonts w:ascii="Arial Narrow" w:hAnsi="Arial Narrow"/>
                <w:sz w:val="20"/>
                <w:szCs w:val="20"/>
              </w:rPr>
              <w:t>Строительство</w:t>
            </w:r>
          </w:p>
        </w:tc>
        <w:tc>
          <w:tcPr>
            <w:tcW w:w="849"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jc w:val="center"/>
              <w:rPr>
                <w:rFonts w:ascii="Arial Narrow" w:hAnsi="Arial Narrow"/>
                <w:sz w:val="20"/>
                <w:szCs w:val="20"/>
              </w:rPr>
            </w:pPr>
            <w:r w:rsidRPr="0030560B">
              <w:rPr>
                <w:rFonts w:ascii="Arial Narrow" w:hAnsi="Arial Narrow"/>
                <w:sz w:val="20"/>
                <w:szCs w:val="20"/>
              </w:rPr>
              <w:t>150</w:t>
            </w:r>
          </w:p>
        </w:tc>
        <w:tc>
          <w:tcPr>
            <w:tcW w:w="709" w:type="dxa"/>
            <w:tcBorders>
              <w:top w:val="nil"/>
              <w:left w:val="nil"/>
              <w:bottom w:val="single" w:sz="4" w:space="0" w:color="auto"/>
              <w:right w:val="nil"/>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8"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996"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1131"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r>
      <w:tr w:rsidR="00A64028" w:rsidRPr="0030560B" w:rsidTr="00A45259">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18</w:t>
            </w:r>
          </w:p>
        </w:tc>
        <w:tc>
          <w:tcPr>
            <w:tcW w:w="5314"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rPr>
                <w:rFonts w:ascii="Arial Narrow" w:hAnsi="Arial Narrow"/>
                <w:sz w:val="20"/>
                <w:szCs w:val="20"/>
              </w:rPr>
            </w:pPr>
            <w:r w:rsidRPr="0030560B">
              <w:rPr>
                <w:rFonts w:ascii="Arial Narrow" w:hAnsi="Arial Narrow"/>
                <w:sz w:val="20"/>
                <w:szCs w:val="20"/>
              </w:rPr>
              <w:t>Оптовая торговля, ремонт автотранспортных средств, мотоциклов, бытовых изделий и предметов личного пользования (розничная торговля входит в п. 8)</w:t>
            </w:r>
          </w:p>
        </w:tc>
        <w:tc>
          <w:tcPr>
            <w:tcW w:w="849"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jc w:val="center"/>
              <w:rPr>
                <w:rFonts w:ascii="Arial Narrow" w:hAnsi="Arial Narrow"/>
                <w:sz w:val="20"/>
                <w:szCs w:val="20"/>
              </w:rPr>
            </w:pPr>
            <w:r w:rsidRPr="0030560B">
              <w:rPr>
                <w:rFonts w:ascii="Arial Narrow" w:hAnsi="Arial Narrow"/>
                <w:sz w:val="20"/>
                <w:szCs w:val="20"/>
              </w:rPr>
              <w:t>150</w:t>
            </w:r>
          </w:p>
        </w:tc>
        <w:tc>
          <w:tcPr>
            <w:tcW w:w="709" w:type="dxa"/>
            <w:tcBorders>
              <w:top w:val="nil"/>
              <w:left w:val="nil"/>
              <w:bottom w:val="single" w:sz="4" w:space="0" w:color="auto"/>
              <w:right w:val="nil"/>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8"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996"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1131"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r>
      <w:tr w:rsidR="00A64028" w:rsidRPr="0030560B" w:rsidTr="00A45259">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19</w:t>
            </w:r>
          </w:p>
        </w:tc>
        <w:tc>
          <w:tcPr>
            <w:tcW w:w="5314"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rPr>
                <w:rFonts w:ascii="Arial Narrow" w:hAnsi="Arial Narrow"/>
                <w:sz w:val="20"/>
                <w:szCs w:val="20"/>
              </w:rPr>
            </w:pPr>
            <w:r w:rsidRPr="0030560B">
              <w:rPr>
                <w:rFonts w:ascii="Arial Narrow" w:hAnsi="Arial Narrow"/>
                <w:sz w:val="20"/>
                <w:szCs w:val="20"/>
              </w:rPr>
              <w:t>Гостиницы и рестораны</w:t>
            </w:r>
          </w:p>
        </w:tc>
        <w:tc>
          <w:tcPr>
            <w:tcW w:w="849"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jc w:val="center"/>
              <w:rPr>
                <w:rFonts w:ascii="Arial Narrow" w:hAnsi="Arial Narrow"/>
                <w:sz w:val="20"/>
                <w:szCs w:val="20"/>
              </w:rPr>
            </w:pPr>
            <w:r w:rsidRPr="0030560B">
              <w:rPr>
                <w:rFonts w:ascii="Arial Narrow" w:hAnsi="Arial Narrow"/>
                <w:sz w:val="20"/>
                <w:szCs w:val="20"/>
              </w:rPr>
              <w:t>70</w:t>
            </w:r>
          </w:p>
        </w:tc>
        <w:tc>
          <w:tcPr>
            <w:tcW w:w="709" w:type="dxa"/>
            <w:tcBorders>
              <w:top w:val="nil"/>
              <w:left w:val="nil"/>
              <w:bottom w:val="single" w:sz="4" w:space="0" w:color="auto"/>
              <w:right w:val="nil"/>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8"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996"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1131"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r>
      <w:tr w:rsidR="00A64028" w:rsidRPr="0030560B" w:rsidTr="00A45259">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20</w:t>
            </w:r>
          </w:p>
        </w:tc>
        <w:tc>
          <w:tcPr>
            <w:tcW w:w="5314"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rPr>
                <w:rFonts w:ascii="Arial Narrow" w:hAnsi="Arial Narrow"/>
                <w:sz w:val="20"/>
                <w:szCs w:val="20"/>
              </w:rPr>
            </w:pPr>
            <w:r w:rsidRPr="0030560B">
              <w:rPr>
                <w:rFonts w:ascii="Arial Narrow" w:hAnsi="Arial Narrow"/>
                <w:sz w:val="20"/>
                <w:szCs w:val="20"/>
              </w:rPr>
              <w:t>Транспорт и связь (кроме пп. 9, 10). Грузоперевозки, логистика</w:t>
            </w:r>
          </w:p>
        </w:tc>
        <w:tc>
          <w:tcPr>
            <w:tcW w:w="849"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jc w:val="center"/>
              <w:rPr>
                <w:rFonts w:ascii="Arial Narrow" w:hAnsi="Arial Narrow"/>
                <w:sz w:val="20"/>
                <w:szCs w:val="20"/>
              </w:rPr>
            </w:pPr>
            <w:r w:rsidRPr="0030560B">
              <w:rPr>
                <w:rFonts w:ascii="Arial Narrow" w:hAnsi="Arial Narrow"/>
                <w:sz w:val="20"/>
                <w:szCs w:val="20"/>
              </w:rPr>
              <w:t>100</w:t>
            </w:r>
          </w:p>
        </w:tc>
        <w:tc>
          <w:tcPr>
            <w:tcW w:w="709" w:type="dxa"/>
            <w:tcBorders>
              <w:top w:val="nil"/>
              <w:left w:val="nil"/>
              <w:bottom w:val="single" w:sz="4" w:space="0" w:color="auto"/>
              <w:right w:val="nil"/>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8"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996"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1131"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r>
      <w:tr w:rsidR="00A64028" w:rsidRPr="0030560B" w:rsidTr="00A45259">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21</w:t>
            </w:r>
          </w:p>
        </w:tc>
        <w:tc>
          <w:tcPr>
            <w:tcW w:w="5314"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rPr>
                <w:rFonts w:ascii="Arial Narrow" w:hAnsi="Arial Narrow"/>
                <w:sz w:val="20"/>
                <w:szCs w:val="20"/>
              </w:rPr>
            </w:pPr>
            <w:r w:rsidRPr="0030560B">
              <w:rPr>
                <w:rFonts w:ascii="Arial Narrow" w:hAnsi="Arial Narrow"/>
                <w:sz w:val="20"/>
                <w:szCs w:val="20"/>
              </w:rPr>
              <w:t>Финансовая деятельность (банки, финансовые организации, страховые компании)</w:t>
            </w:r>
          </w:p>
        </w:tc>
        <w:tc>
          <w:tcPr>
            <w:tcW w:w="849"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jc w:val="center"/>
              <w:rPr>
                <w:rFonts w:ascii="Arial Narrow" w:hAnsi="Arial Narrow"/>
                <w:sz w:val="20"/>
                <w:szCs w:val="20"/>
              </w:rPr>
            </w:pPr>
            <w:r w:rsidRPr="0030560B">
              <w:rPr>
                <w:rFonts w:ascii="Arial Narrow" w:hAnsi="Arial Narrow"/>
                <w:sz w:val="20"/>
                <w:szCs w:val="20"/>
              </w:rPr>
              <w:t>150</w:t>
            </w:r>
          </w:p>
        </w:tc>
        <w:tc>
          <w:tcPr>
            <w:tcW w:w="709" w:type="dxa"/>
            <w:tcBorders>
              <w:top w:val="nil"/>
              <w:left w:val="nil"/>
              <w:bottom w:val="single" w:sz="4" w:space="0" w:color="auto"/>
              <w:right w:val="nil"/>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8"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996"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1131"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r>
      <w:tr w:rsidR="00A64028" w:rsidRPr="0030560B" w:rsidTr="00A45259">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22</w:t>
            </w:r>
          </w:p>
        </w:tc>
        <w:tc>
          <w:tcPr>
            <w:tcW w:w="5314"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rPr>
                <w:rFonts w:ascii="Arial Narrow" w:hAnsi="Arial Narrow"/>
                <w:sz w:val="20"/>
                <w:szCs w:val="20"/>
              </w:rPr>
            </w:pPr>
            <w:r w:rsidRPr="0030560B">
              <w:rPr>
                <w:rFonts w:ascii="Arial Narrow" w:hAnsi="Arial Narrow"/>
                <w:sz w:val="20"/>
                <w:szCs w:val="20"/>
              </w:rPr>
              <w:t>Операции с недвижимым имуществом, аренда и предоставление услуг (агентства недвижимости, бухгалтерские, консалтинговые, клининговые услуги, услуги в сфере IT, охранные предприятия, рекламные агентства, прокат)</w:t>
            </w:r>
          </w:p>
        </w:tc>
        <w:tc>
          <w:tcPr>
            <w:tcW w:w="849"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jc w:val="center"/>
              <w:rPr>
                <w:rFonts w:ascii="Arial Narrow" w:hAnsi="Arial Narrow"/>
                <w:sz w:val="20"/>
                <w:szCs w:val="20"/>
              </w:rPr>
            </w:pPr>
            <w:r w:rsidRPr="0030560B">
              <w:rPr>
                <w:rFonts w:ascii="Arial Narrow" w:hAnsi="Arial Narrow"/>
                <w:sz w:val="20"/>
                <w:szCs w:val="20"/>
              </w:rPr>
              <w:t>150</w:t>
            </w:r>
          </w:p>
        </w:tc>
        <w:tc>
          <w:tcPr>
            <w:tcW w:w="709" w:type="dxa"/>
            <w:tcBorders>
              <w:top w:val="nil"/>
              <w:left w:val="nil"/>
              <w:bottom w:val="single" w:sz="4" w:space="0" w:color="auto"/>
              <w:right w:val="nil"/>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8"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996"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1131"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r>
      <w:tr w:rsidR="00A64028" w:rsidRPr="0030560B" w:rsidTr="00A45259">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23</w:t>
            </w:r>
          </w:p>
        </w:tc>
        <w:tc>
          <w:tcPr>
            <w:tcW w:w="5314"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rPr>
                <w:rFonts w:ascii="Arial Narrow" w:hAnsi="Arial Narrow"/>
                <w:sz w:val="20"/>
                <w:szCs w:val="20"/>
              </w:rPr>
            </w:pPr>
            <w:r w:rsidRPr="0030560B">
              <w:rPr>
                <w:rFonts w:ascii="Arial Narrow" w:hAnsi="Arial Narrow"/>
                <w:sz w:val="20"/>
                <w:szCs w:val="20"/>
              </w:rPr>
              <w:t>Образование (кроме дошкольного, т.к. входит в п. 1, 3). Дополнительное для взрослых, высшее и т.д.</w:t>
            </w:r>
          </w:p>
        </w:tc>
        <w:tc>
          <w:tcPr>
            <w:tcW w:w="849"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jc w:val="center"/>
              <w:rPr>
                <w:rFonts w:ascii="Arial Narrow" w:hAnsi="Arial Narrow"/>
                <w:sz w:val="20"/>
                <w:szCs w:val="20"/>
              </w:rPr>
            </w:pPr>
            <w:r w:rsidRPr="0030560B">
              <w:rPr>
                <w:rFonts w:ascii="Arial Narrow" w:hAnsi="Arial Narrow"/>
                <w:sz w:val="20"/>
                <w:szCs w:val="20"/>
              </w:rPr>
              <w:t>70</w:t>
            </w:r>
          </w:p>
        </w:tc>
        <w:tc>
          <w:tcPr>
            <w:tcW w:w="709" w:type="dxa"/>
            <w:tcBorders>
              <w:top w:val="nil"/>
              <w:left w:val="nil"/>
              <w:bottom w:val="single" w:sz="4" w:space="0" w:color="auto"/>
              <w:right w:val="nil"/>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8"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996"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1131"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r>
      <w:tr w:rsidR="00A64028" w:rsidRPr="0030560B" w:rsidTr="00A45259">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24</w:t>
            </w:r>
          </w:p>
        </w:tc>
        <w:tc>
          <w:tcPr>
            <w:tcW w:w="5314"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rPr>
                <w:rFonts w:ascii="Arial Narrow" w:hAnsi="Arial Narrow"/>
                <w:sz w:val="20"/>
                <w:szCs w:val="20"/>
              </w:rPr>
            </w:pPr>
            <w:r w:rsidRPr="0030560B">
              <w:rPr>
                <w:rFonts w:ascii="Arial Narrow" w:hAnsi="Arial Narrow"/>
                <w:sz w:val="20"/>
                <w:szCs w:val="20"/>
              </w:rPr>
              <w:t>Предоставление прочих коммунальных, социальных и персональных услуг (кроме пп. 2, 6, 5, 7) - парикмахерские, салоны красоты, ателье, ремонт (в т.ч. обуви, техники и т.д.), фотография</w:t>
            </w:r>
          </w:p>
        </w:tc>
        <w:tc>
          <w:tcPr>
            <w:tcW w:w="849"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69"/>
              <w:jc w:val="center"/>
              <w:rPr>
                <w:rFonts w:ascii="Arial Narrow" w:hAnsi="Arial Narrow"/>
                <w:sz w:val="20"/>
                <w:szCs w:val="20"/>
              </w:rPr>
            </w:pPr>
            <w:r w:rsidRPr="0030560B">
              <w:rPr>
                <w:rFonts w:ascii="Arial Narrow" w:hAnsi="Arial Narrow"/>
                <w:sz w:val="20"/>
                <w:szCs w:val="20"/>
              </w:rPr>
              <w:t>70</w:t>
            </w:r>
          </w:p>
        </w:tc>
        <w:tc>
          <w:tcPr>
            <w:tcW w:w="709" w:type="dxa"/>
            <w:tcBorders>
              <w:top w:val="nil"/>
              <w:left w:val="nil"/>
              <w:bottom w:val="single" w:sz="4" w:space="0" w:color="auto"/>
              <w:right w:val="nil"/>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8"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996"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1131"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r>
      <w:tr w:rsidR="00A64028" w:rsidRPr="0030560B" w:rsidTr="00A45259">
        <w:tc>
          <w:tcPr>
            <w:tcW w:w="56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64028" w:rsidRPr="0030560B" w:rsidRDefault="00A64028" w:rsidP="00ED3C71">
            <w:pPr>
              <w:spacing w:after="0" w:line="240" w:lineRule="auto"/>
              <w:ind w:left="141"/>
              <w:rPr>
                <w:rFonts w:ascii="Arial Narrow" w:hAnsi="Arial Narrow"/>
                <w:b/>
                <w:bCs/>
                <w:i/>
                <w:iCs/>
                <w:sz w:val="20"/>
                <w:szCs w:val="20"/>
              </w:rPr>
            </w:pPr>
            <w:r w:rsidRPr="0030560B">
              <w:rPr>
                <w:rFonts w:ascii="Arial Narrow" w:hAnsi="Arial Narrow"/>
                <w:b/>
                <w:bCs/>
                <w:i/>
                <w:iCs/>
                <w:sz w:val="20"/>
                <w:szCs w:val="20"/>
              </w:rPr>
              <w:t>ВСЕГО по другим рынкам</w:t>
            </w:r>
          </w:p>
        </w:tc>
        <w:tc>
          <w:tcPr>
            <w:tcW w:w="849"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1100</w:t>
            </w:r>
          </w:p>
        </w:tc>
        <w:tc>
          <w:tcPr>
            <w:tcW w:w="709" w:type="dxa"/>
            <w:tcBorders>
              <w:top w:val="nil"/>
              <w:left w:val="nil"/>
              <w:bottom w:val="single" w:sz="4" w:space="0" w:color="auto"/>
              <w:right w:val="nil"/>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8"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996"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1131"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r>
      <w:tr w:rsidR="00A64028" w:rsidRPr="0030560B" w:rsidTr="00A45259">
        <w:tc>
          <w:tcPr>
            <w:tcW w:w="56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64028" w:rsidRPr="0030560B" w:rsidRDefault="00A64028" w:rsidP="00E82802">
            <w:pPr>
              <w:spacing w:after="0" w:line="240" w:lineRule="auto"/>
              <w:jc w:val="center"/>
              <w:rPr>
                <w:rFonts w:ascii="Arial Narrow" w:hAnsi="Arial Narrow"/>
                <w:b/>
                <w:bCs/>
                <w:sz w:val="20"/>
                <w:szCs w:val="20"/>
              </w:rPr>
            </w:pPr>
            <w:r w:rsidRPr="0030560B">
              <w:rPr>
                <w:rFonts w:ascii="Arial Narrow" w:hAnsi="Arial Narrow"/>
                <w:b/>
                <w:bCs/>
                <w:sz w:val="20"/>
                <w:szCs w:val="20"/>
              </w:rPr>
              <w:t>ВСЕГО ПО ВСЕМ РЫНКАМ</w:t>
            </w:r>
          </w:p>
        </w:tc>
        <w:tc>
          <w:tcPr>
            <w:tcW w:w="849" w:type="dxa"/>
            <w:tcBorders>
              <w:top w:val="nil"/>
              <w:left w:val="nil"/>
              <w:bottom w:val="single" w:sz="4" w:space="0" w:color="auto"/>
              <w:right w:val="single" w:sz="4" w:space="0" w:color="auto"/>
            </w:tcBorders>
            <w:shd w:val="clear" w:color="auto" w:fill="auto"/>
            <w:noWrap/>
            <w:vAlign w:val="center"/>
            <w:hideMark/>
          </w:tcPr>
          <w:p w:rsidR="00A64028" w:rsidRPr="0030560B" w:rsidRDefault="00A64028" w:rsidP="00E82802">
            <w:pPr>
              <w:spacing w:after="0" w:line="240" w:lineRule="auto"/>
              <w:jc w:val="center"/>
              <w:rPr>
                <w:rFonts w:ascii="Arial Narrow" w:hAnsi="Arial Narrow"/>
                <w:b/>
                <w:bCs/>
                <w:sz w:val="20"/>
                <w:szCs w:val="20"/>
              </w:rPr>
            </w:pPr>
            <w:r w:rsidRPr="0030560B">
              <w:rPr>
                <w:rFonts w:ascii="Arial Narrow" w:hAnsi="Arial Narrow"/>
                <w:b/>
                <w:bCs/>
                <w:sz w:val="20"/>
                <w:szCs w:val="20"/>
              </w:rPr>
              <w:t>1700</w:t>
            </w:r>
          </w:p>
        </w:tc>
        <w:tc>
          <w:tcPr>
            <w:tcW w:w="709" w:type="dxa"/>
            <w:tcBorders>
              <w:top w:val="nil"/>
              <w:left w:val="nil"/>
              <w:bottom w:val="single" w:sz="4" w:space="0" w:color="auto"/>
              <w:right w:val="nil"/>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single" w:sz="4" w:space="0" w:color="auto"/>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8"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996"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c>
          <w:tcPr>
            <w:tcW w:w="1131" w:type="dxa"/>
            <w:tcBorders>
              <w:top w:val="nil"/>
              <w:left w:val="nil"/>
              <w:bottom w:val="single" w:sz="4" w:space="0" w:color="auto"/>
              <w:right w:val="single" w:sz="4" w:space="0" w:color="auto"/>
            </w:tcBorders>
            <w:shd w:val="clear" w:color="auto" w:fill="auto"/>
            <w:vAlign w:val="center"/>
            <w:hideMark/>
          </w:tcPr>
          <w:p w:rsidR="00A64028" w:rsidRPr="0030560B" w:rsidRDefault="00A64028" w:rsidP="00E82802">
            <w:pPr>
              <w:spacing w:after="0" w:line="240" w:lineRule="auto"/>
              <w:jc w:val="center"/>
              <w:rPr>
                <w:rFonts w:ascii="Arial Narrow" w:hAnsi="Arial Narrow"/>
                <w:sz w:val="20"/>
                <w:szCs w:val="20"/>
              </w:rPr>
            </w:pPr>
            <w:r w:rsidRPr="0030560B">
              <w:rPr>
                <w:rFonts w:ascii="Arial Narrow" w:hAnsi="Arial Narrow"/>
                <w:sz w:val="20"/>
                <w:szCs w:val="20"/>
              </w:rPr>
              <w:t> </w:t>
            </w:r>
          </w:p>
        </w:tc>
      </w:tr>
    </w:tbl>
    <w:p w:rsidR="00A64028" w:rsidRPr="0030560B" w:rsidRDefault="00A64028" w:rsidP="00103148">
      <w:pPr>
        <w:spacing w:after="0"/>
        <w:rPr>
          <w:rFonts w:ascii="Arial Narrow" w:hAnsi="Arial Narrow"/>
        </w:rPr>
      </w:pPr>
    </w:p>
    <w:p w:rsidR="00A64028" w:rsidRPr="0030560B" w:rsidRDefault="00A64028" w:rsidP="00103148">
      <w:pPr>
        <w:spacing w:after="0"/>
        <w:rPr>
          <w:rFonts w:ascii="Arial Narrow" w:hAnsi="Arial Narrow"/>
        </w:rPr>
        <w:sectPr w:rsidR="00A64028" w:rsidRPr="0030560B" w:rsidSect="00A64028">
          <w:pgSz w:w="16837" w:h="11905" w:orient="landscape"/>
          <w:pgMar w:top="1134" w:right="567" w:bottom="1134" w:left="1701" w:header="1418" w:footer="454" w:gutter="0"/>
          <w:cols w:space="720"/>
          <w:noEndnote/>
          <w:titlePg/>
          <w:docGrid w:linePitch="245"/>
        </w:sectPr>
      </w:pPr>
    </w:p>
    <w:p w:rsidR="00A64028" w:rsidRPr="00A45259" w:rsidRDefault="00A64028" w:rsidP="00E82802">
      <w:pPr>
        <w:pStyle w:val="3"/>
        <w:jc w:val="both"/>
        <w:rPr>
          <w:rFonts w:ascii="Arial Narrow" w:hAnsi="Arial Narrow"/>
        </w:rPr>
      </w:pPr>
      <w:bookmarkStart w:id="84" w:name="_Toc469663907"/>
      <w:bookmarkStart w:id="85" w:name="_Toc473725870"/>
      <w:r w:rsidRPr="00A45259">
        <w:rPr>
          <w:rFonts w:ascii="Arial Narrow" w:hAnsi="Arial Narrow"/>
        </w:rPr>
        <w:lastRenderedPageBreak/>
        <w:t xml:space="preserve">2.2.3. </w:t>
      </w:r>
      <w:bookmarkEnd w:id="84"/>
      <w:r w:rsidRPr="00A45259">
        <w:rPr>
          <w:rFonts w:ascii="Arial Narrow" w:hAnsi="Arial Narrow"/>
        </w:rPr>
        <w:t>Оценка субъектами предпринимательской деятельности Новосибирской области состояния конкурентной среды и его изменений во времени</w:t>
      </w:r>
      <w:bookmarkEnd w:id="85"/>
    </w:p>
    <w:p w:rsidR="00A64028" w:rsidRPr="00A45259" w:rsidRDefault="00A64028" w:rsidP="00103148">
      <w:pPr>
        <w:pStyle w:val="a5"/>
        <w:rPr>
          <w:rFonts w:ascii="Arial Narrow" w:hAnsi="Arial Narrow"/>
        </w:rPr>
      </w:pPr>
    </w:p>
    <w:p w:rsidR="00A64028" w:rsidRPr="00A45259" w:rsidRDefault="00A64028" w:rsidP="00103148">
      <w:pPr>
        <w:spacing w:after="0" w:line="360" w:lineRule="auto"/>
        <w:ind w:firstLine="284"/>
        <w:jc w:val="both"/>
        <w:rPr>
          <w:rFonts w:ascii="Arial Narrow" w:eastAsia="Calibri" w:hAnsi="Arial Narrow"/>
          <w:b/>
          <w:bCs/>
          <w:sz w:val="24"/>
          <w:szCs w:val="24"/>
        </w:rPr>
      </w:pPr>
      <w:r w:rsidRPr="00A45259">
        <w:rPr>
          <w:rFonts w:ascii="Arial Narrow" w:eastAsia="Calibri" w:hAnsi="Arial Narrow"/>
          <w:b/>
          <w:bCs/>
          <w:sz w:val="24"/>
          <w:szCs w:val="24"/>
        </w:rPr>
        <w:t>Показатель 1.2. Оценка состояния конкурентной среды (содержит несколько показателей)</w:t>
      </w:r>
    </w:p>
    <w:p w:rsidR="00A64028" w:rsidRPr="009B4A85" w:rsidRDefault="00A64028" w:rsidP="00103148">
      <w:pPr>
        <w:spacing w:after="0" w:line="360" w:lineRule="auto"/>
        <w:ind w:firstLine="284"/>
        <w:jc w:val="both"/>
        <w:rPr>
          <w:rFonts w:ascii="Arial Narrow" w:hAnsi="Arial Narrow"/>
          <w:b/>
          <w:sz w:val="24"/>
          <w:szCs w:val="24"/>
        </w:rPr>
      </w:pPr>
      <w:r w:rsidRPr="00A45259">
        <w:rPr>
          <w:rFonts w:ascii="Arial Narrow" w:hAnsi="Arial Narrow"/>
          <w:b/>
          <w:sz w:val="24"/>
          <w:szCs w:val="24"/>
        </w:rPr>
        <w:t>Значение показателя 1.2.1. Оценка субъектами предпринимательской</w:t>
      </w:r>
      <w:r w:rsidRPr="00422331">
        <w:rPr>
          <w:rFonts w:ascii="Arial Narrow" w:hAnsi="Arial Narrow"/>
          <w:b/>
          <w:sz w:val="24"/>
          <w:szCs w:val="24"/>
        </w:rPr>
        <w:t xml:space="preserve"> деятельности</w:t>
      </w:r>
      <w:r w:rsidRPr="009B4A85">
        <w:rPr>
          <w:rFonts w:ascii="Arial Narrow" w:hAnsi="Arial Narrow"/>
          <w:b/>
          <w:sz w:val="24"/>
          <w:szCs w:val="24"/>
        </w:rPr>
        <w:t xml:space="preserve"> Новосибирской области состояния конкурентной среды и его изменений во времени. Данные об оценках субъектов предпринимательской деятельности приводятся в разрезе сегментов бизнеса (малый бизнес, средний бизнес, крупный бизнес) (% от числа опрошенных представителей социально значимых и приоритетных рынков)</w:t>
      </w:r>
    </w:p>
    <w:p w:rsidR="00A64028" w:rsidRDefault="00A64028" w:rsidP="00103148">
      <w:pPr>
        <w:spacing w:after="0" w:line="276" w:lineRule="auto"/>
        <w:rPr>
          <w:rFonts w:eastAsia="Calibri"/>
          <w:bCs/>
        </w:rPr>
      </w:pPr>
      <w:r>
        <w:rPr>
          <w:noProof/>
          <w:lang w:eastAsia="ru-RU"/>
        </w:rPr>
        <w:drawing>
          <wp:inline distT="0" distB="0" distL="0" distR="0">
            <wp:extent cx="2867025" cy="2790825"/>
            <wp:effectExtent l="0" t="0" r="0" b="0"/>
            <wp:docPr id="11" name="Диаграмма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r>
        <w:rPr>
          <w:noProof/>
          <w:lang w:eastAsia="ru-RU"/>
        </w:rPr>
        <w:drawing>
          <wp:inline distT="0" distB="0" distL="0" distR="0">
            <wp:extent cx="2867025" cy="2790825"/>
            <wp:effectExtent l="0" t="0" r="0" b="0"/>
            <wp:docPr id="5" name="Диаграмма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tbl>
      <w:tblPr>
        <w:tblStyle w:val="161"/>
        <w:tblW w:w="100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811"/>
        <w:gridCol w:w="5228"/>
      </w:tblGrid>
      <w:tr w:rsidR="00A64028" w:rsidRPr="00E82802" w:rsidTr="00A64028">
        <w:trPr>
          <w:trHeight w:val="1018"/>
        </w:trPr>
        <w:tc>
          <w:tcPr>
            <w:tcW w:w="4811" w:type="dxa"/>
            <w:hideMark/>
          </w:tcPr>
          <w:p w:rsidR="00A64028" w:rsidRPr="00E82802" w:rsidRDefault="00A64028" w:rsidP="00103148">
            <w:pPr>
              <w:spacing w:line="276" w:lineRule="auto"/>
              <w:ind w:left="-100"/>
              <w:jc w:val="center"/>
              <w:rPr>
                <w:rFonts w:ascii="Arial Narrow" w:hAnsi="Arial Narrow"/>
                <w:b/>
                <w:bCs/>
              </w:rPr>
            </w:pPr>
            <w:r w:rsidRPr="00E82802">
              <w:rPr>
                <w:rFonts w:ascii="Arial Narrow" w:hAnsi="Arial Narrow"/>
              </w:rPr>
              <w:t xml:space="preserve">Диаграмма </w:t>
            </w:r>
            <w:r w:rsidR="00754B4E">
              <w:rPr>
                <w:rFonts w:ascii="Arial Narrow" w:hAnsi="Arial Narrow"/>
              </w:rPr>
              <w:t>2.2.3.1.</w:t>
            </w:r>
            <w:r w:rsidRPr="00E82802">
              <w:rPr>
                <w:rFonts w:ascii="Arial Narrow" w:hAnsi="Arial Narrow"/>
                <w:b/>
              </w:rPr>
              <w:t xml:space="preserve"> – Оценки возможности конкуренции предприятий на рынке в 2015 году </w:t>
            </w:r>
            <w:r w:rsidRPr="00E82802">
              <w:rPr>
                <w:rFonts w:ascii="Arial Narrow" w:hAnsi="Arial Narrow"/>
                <w:b/>
                <w:bCs/>
              </w:rPr>
              <w:t>(% от опрошенных)</w:t>
            </w:r>
          </w:p>
        </w:tc>
        <w:tc>
          <w:tcPr>
            <w:tcW w:w="5228" w:type="dxa"/>
            <w:hideMark/>
          </w:tcPr>
          <w:p w:rsidR="00A64028" w:rsidRPr="00E82802" w:rsidRDefault="00A64028" w:rsidP="00103148">
            <w:pPr>
              <w:spacing w:line="276" w:lineRule="auto"/>
              <w:jc w:val="center"/>
              <w:rPr>
                <w:rFonts w:ascii="Arial Narrow" w:hAnsi="Arial Narrow"/>
                <w:b/>
              </w:rPr>
            </w:pPr>
            <w:r w:rsidRPr="00E82802">
              <w:rPr>
                <w:rFonts w:ascii="Arial Narrow" w:hAnsi="Arial Narrow"/>
              </w:rPr>
              <w:t>Диаграмма 2</w:t>
            </w:r>
            <w:r w:rsidR="00754B4E">
              <w:rPr>
                <w:rFonts w:ascii="Arial Narrow" w:hAnsi="Arial Narrow"/>
              </w:rPr>
              <w:t>.2.3.2.</w:t>
            </w:r>
            <w:r w:rsidRPr="00E82802">
              <w:rPr>
                <w:rFonts w:ascii="Arial Narrow" w:hAnsi="Arial Narrow"/>
              </w:rPr>
              <w:t xml:space="preserve"> –</w:t>
            </w:r>
            <w:r w:rsidRPr="00E82802">
              <w:rPr>
                <w:rFonts w:ascii="Arial Narrow" w:hAnsi="Arial Narrow"/>
                <w:b/>
              </w:rPr>
              <w:t xml:space="preserve"> Оценки возможности конкуренции предприятий на рынке в 2016 году </w:t>
            </w:r>
            <w:r w:rsidRPr="00E82802">
              <w:rPr>
                <w:rFonts w:ascii="Arial Narrow" w:hAnsi="Arial Narrow"/>
                <w:b/>
                <w:bCs/>
              </w:rPr>
              <w:t>(% от опрошенных)</w:t>
            </w:r>
          </w:p>
        </w:tc>
      </w:tr>
    </w:tbl>
    <w:p w:rsidR="00E82802" w:rsidRDefault="00E82802" w:rsidP="00103148">
      <w:pPr>
        <w:spacing w:after="0" w:line="360" w:lineRule="auto"/>
        <w:ind w:firstLine="284"/>
        <w:jc w:val="both"/>
        <w:rPr>
          <w:rFonts w:ascii="Arial Narrow" w:hAnsi="Arial Narrow"/>
          <w:sz w:val="24"/>
          <w:szCs w:val="24"/>
        </w:rPr>
      </w:pPr>
    </w:p>
    <w:p w:rsidR="00A64028" w:rsidRPr="009B4A85" w:rsidRDefault="00A64028" w:rsidP="00103148">
      <w:pPr>
        <w:spacing w:after="0" w:line="360" w:lineRule="auto"/>
        <w:ind w:firstLine="284"/>
        <w:jc w:val="both"/>
        <w:rPr>
          <w:rFonts w:ascii="Arial Narrow" w:eastAsia="Calibri" w:hAnsi="Arial Narrow"/>
          <w:bCs/>
          <w:sz w:val="24"/>
          <w:szCs w:val="24"/>
        </w:rPr>
      </w:pPr>
      <w:r w:rsidRPr="009B4A85">
        <w:rPr>
          <w:rFonts w:ascii="Arial Narrow" w:hAnsi="Arial Narrow"/>
          <w:sz w:val="24"/>
          <w:szCs w:val="24"/>
        </w:rPr>
        <w:t>Мнения, что в 2015 г. предприятия на рынке имели равные возможности конкурировать, имели равный доступ к ресурсам и отсутствовали преференции со стороны органов власти и потребителей, придерживаются 50,2 % респондентов. В 2016 г. также благоприятно оценили возможности конкуренции 52,1 % представителей субъектов предпринимательства.</w:t>
      </w:r>
      <w:r w:rsidRPr="009B4A85">
        <w:rPr>
          <w:rFonts w:ascii="Arial Narrow" w:eastAsia="Calibri" w:hAnsi="Arial Narrow"/>
          <w:bCs/>
          <w:sz w:val="24"/>
          <w:szCs w:val="24"/>
        </w:rPr>
        <w:t xml:space="preserve"> Наиболее высоко оценивают возможности конкуренции на рынке услуг дошкольного образования – в 2015 и в 2016 гг. – 80 % положительных оценок. Наименьшая доля благоприятно оценивших возможности конкуренции в 2015 г. зафиксирована на рынке услуг связи (36 %), а в 2016 г. – на рынке услуг социального обслуживания населения (40 %). На остальных рынках благоприятно оценивали состояние конкуренции в 2015 г. 40–60 %, в 2016 г. – 44–60 %.</w:t>
      </w:r>
    </w:p>
    <w:p w:rsidR="00A64028" w:rsidRPr="009B4A85" w:rsidRDefault="00A64028" w:rsidP="00103148">
      <w:pPr>
        <w:spacing w:after="0" w:line="360" w:lineRule="auto"/>
        <w:ind w:firstLine="284"/>
        <w:jc w:val="both"/>
        <w:rPr>
          <w:rFonts w:ascii="Arial Narrow" w:hAnsi="Arial Narrow"/>
          <w:sz w:val="24"/>
          <w:szCs w:val="24"/>
        </w:rPr>
      </w:pPr>
      <w:r w:rsidRPr="009B4A85">
        <w:rPr>
          <w:rFonts w:ascii="Arial Narrow" w:hAnsi="Arial Narrow"/>
          <w:sz w:val="24"/>
          <w:szCs w:val="24"/>
        </w:rPr>
        <w:t>На рынках услуг в сфере культуры, медицинских услуг и услуг связи наблюдается повышение доли положительных оценок состояния конкурентной среды в 2016 г. по сравнению с 2015 г. (на 4–6 %). На остальных рынках динамики не наблюдается.</w:t>
      </w:r>
    </w:p>
    <w:p w:rsidR="00A64028" w:rsidRPr="009B4A85" w:rsidRDefault="00A64028" w:rsidP="00103148">
      <w:pPr>
        <w:spacing w:after="0" w:line="360" w:lineRule="auto"/>
        <w:ind w:firstLine="284"/>
        <w:jc w:val="both"/>
        <w:rPr>
          <w:rFonts w:ascii="Arial Narrow" w:hAnsi="Arial Narrow"/>
          <w:sz w:val="24"/>
          <w:szCs w:val="24"/>
        </w:rPr>
      </w:pPr>
      <w:r w:rsidRPr="009B4A85">
        <w:rPr>
          <w:rFonts w:ascii="Arial Narrow" w:hAnsi="Arial Narrow"/>
          <w:sz w:val="24"/>
          <w:szCs w:val="24"/>
        </w:rPr>
        <w:lastRenderedPageBreak/>
        <w:t>Представители среднего бизнеса более высоко оценивают возможности конкуренции предприятий на рынке (63,6 % в 2015 г. и 2016 г. дали положительную оценку), чем представители субъектов предпринимательства, работающие в малом бизнесе (50,1 % – в 2015 г. и 52,1 % – в 2016 г. дали положительную оценку). Существенной динамики в оценках не наблюдается.</w:t>
      </w:r>
    </w:p>
    <w:p w:rsidR="00A64028" w:rsidRPr="009B4A85" w:rsidRDefault="00A64028" w:rsidP="00103148">
      <w:pPr>
        <w:spacing w:after="0"/>
        <w:ind w:firstLine="284"/>
        <w:jc w:val="both"/>
        <w:rPr>
          <w:rFonts w:ascii="Arial Narrow" w:hAnsi="Arial Narrow"/>
          <w:b/>
          <w:sz w:val="24"/>
          <w:szCs w:val="24"/>
        </w:rPr>
      </w:pPr>
    </w:p>
    <w:p w:rsidR="00A64028" w:rsidRPr="009B4A85" w:rsidRDefault="00A64028" w:rsidP="00E82802">
      <w:pPr>
        <w:spacing w:after="0" w:line="240" w:lineRule="auto"/>
        <w:rPr>
          <w:rFonts w:ascii="Arial Narrow" w:hAnsi="Arial Narrow"/>
          <w:sz w:val="24"/>
          <w:szCs w:val="24"/>
        </w:rPr>
      </w:pPr>
      <w:r>
        <w:rPr>
          <w:rFonts w:ascii="Arial Narrow" w:eastAsia="Calibri" w:hAnsi="Arial Narrow"/>
          <w:sz w:val="24"/>
          <w:szCs w:val="24"/>
        </w:rPr>
        <w:t xml:space="preserve">Таблица </w:t>
      </w:r>
      <w:r w:rsidR="00262F71">
        <w:rPr>
          <w:rFonts w:ascii="Arial Narrow" w:eastAsia="Calibri" w:hAnsi="Arial Narrow"/>
          <w:sz w:val="24"/>
          <w:szCs w:val="24"/>
        </w:rPr>
        <w:t xml:space="preserve">7.14. </w:t>
      </w:r>
      <w:r w:rsidRPr="009B4A85">
        <w:rPr>
          <w:rFonts w:ascii="Arial Narrow" w:eastAsia="Calibri" w:hAnsi="Arial Narrow"/>
          <w:sz w:val="24"/>
          <w:szCs w:val="24"/>
        </w:rPr>
        <w:t xml:space="preserve">– </w:t>
      </w:r>
      <w:r w:rsidRPr="009B4A85">
        <w:rPr>
          <w:rFonts w:ascii="Arial Narrow" w:hAnsi="Arial Narrow"/>
          <w:b/>
          <w:sz w:val="24"/>
          <w:szCs w:val="24"/>
        </w:rPr>
        <w:t>Значение показателя 1.2.1. Оценка субъектами предпринимательской деятельности Новосибирской области состояния конкурентной среды и его изменений во времени (% от числа опрошенных представителей социально значимых и приоритетных рынков)</w:t>
      </w:r>
    </w:p>
    <w:tbl>
      <w:tblPr>
        <w:tblW w:w="5217"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376"/>
        <w:gridCol w:w="2386"/>
        <w:gridCol w:w="630"/>
        <w:gridCol w:w="725"/>
        <w:gridCol w:w="477"/>
        <w:gridCol w:w="477"/>
        <w:gridCol w:w="477"/>
        <w:gridCol w:w="477"/>
        <w:gridCol w:w="477"/>
        <w:gridCol w:w="477"/>
        <w:gridCol w:w="477"/>
        <w:gridCol w:w="477"/>
        <w:gridCol w:w="477"/>
        <w:gridCol w:w="477"/>
        <w:gridCol w:w="505"/>
        <w:gridCol w:w="674"/>
      </w:tblGrid>
      <w:tr w:rsidR="00A64028" w:rsidRPr="00A45259" w:rsidTr="001820C5">
        <w:trPr>
          <w:cantSplit/>
          <w:trHeight w:val="4231"/>
        </w:trPr>
        <w:tc>
          <w:tcPr>
            <w:tcW w:w="186" w:type="pct"/>
            <w:shd w:val="clear" w:color="auto" w:fill="auto"/>
            <w:vAlign w:val="center"/>
            <w:hideMark/>
          </w:tcPr>
          <w:p w:rsidR="00A64028" w:rsidRPr="00A45259" w:rsidRDefault="00A64028" w:rsidP="00103148">
            <w:pPr>
              <w:spacing w:after="0"/>
              <w:jc w:val="center"/>
              <w:rPr>
                <w:rFonts w:ascii="Arial Narrow" w:hAnsi="Arial Narrow" w:cs="Arial"/>
                <w:sz w:val="20"/>
                <w:szCs w:val="20"/>
              </w:rPr>
            </w:pPr>
            <w:r w:rsidRPr="00A45259">
              <w:rPr>
                <w:rFonts w:ascii="Arial Narrow" w:hAnsi="Arial Narrow" w:cs="Arial"/>
                <w:sz w:val="20"/>
                <w:szCs w:val="20"/>
              </w:rPr>
              <w:t>№</w:t>
            </w:r>
          </w:p>
        </w:tc>
        <w:tc>
          <w:tcPr>
            <w:tcW w:w="1185" w:type="pct"/>
            <w:shd w:val="clear" w:color="auto" w:fill="auto"/>
            <w:vAlign w:val="center"/>
            <w:hideMark/>
          </w:tcPr>
          <w:p w:rsidR="00A64028" w:rsidRPr="00ED3C71" w:rsidRDefault="00A64028" w:rsidP="00ED3C71">
            <w:pPr>
              <w:spacing w:after="0" w:line="240" w:lineRule="auto"/>
              <w:jc w:val="center"/>
              <w:rPr>
                <w:rFonts w:ascii="Arial Narrow" w:hAnsi="Arial Narrow" w:cs="Arial"/>
                <w:sz w:val="18"/>
                <w:szCs w:val="18"/>
              </w:rPr>
            </w:pPr>
            <w:r w:rsidRPr="00ED3C71">
              <w:rPr>
                <w:rFonts w:ascii="Arial Narrow" w:hAnsi="Arial Narrow" w:cs="Arial"/>
                <w:sz w:val="18"/>
                <w:szCs w:val="18"/>
              </w:rPr>
              <w:t>Наименование показателя, единица измерения</w:t>
            </w:r>
          </w:p>
        </w:tc>
        <w:tc>
          <w:tcPr>
            <w:tcW w:w="313" w:type="pct"/>
            <w:shd w:val="clear" w:color="auto" w:fill="auto"/>
            <w:textDirection w:val="btLr"/>
            <w:vAlign w:val="center"/>
            <w:hideMark/>
          </w:tcPr>
          <w:p w:rsidR="00A64028" w:rsidRPr="00ED3C71" w:rsidRDefault="00A64028" w:rsidP="001820C5">
            <w:pPr>
              <w:spacing w:after="0" w:line="240" w:lineRule="auto"/>
              <w:ind w:left="113" w:right="113"/>
              <w:jc w:val="center"/>
              <w:rPr>
                <w:rFonts w:ascii="Arial Narrow" w:hAnsi="Arial Narrow" w:cs="Arial"/>
                <w:sz w:val="18"/>
                <w:szCs w:val="18"/>
              </w:rPr>
            </w:pPr>
            <w:r w:rsidRPr="00ED3C71">
              <w:rPr>
                <w:rFonts w:ascii="Arial Narrow" w:hAnsi="Arial Narrow" w:cs="Arial"/>
                <w:sz w:val="18"/>
                <w:szCs w:val="18"/>
              </w:rPr>
              <w:t>Общий по Ново</w:t>
            </w:r>
            <w:r w:rsidR="001820C5">
              <w:rPr>
                <w:rFonts w:ascii="Arial Narrow" w:hAnsi="Arial Narrow" w:cs="Arial"/>
                <w:sz w:val="18"/>
                <w:szCs w:val="18"/>
              </w:rPr>
              <w:t>си</w:t>
            </w:r>
            <w:r w:rsidRPr="00ED3C71">
              <w:rPr>
                <w:rFonts w:ascii="Arial Narrow" w:hAnsi="Arial Narrow" w:cs="Arial"/>
                <w:sz w:val="18"/>
                <w:szCs w:val="18"/>
              </w:rPr>
              <w:t>бирской области</w:t>
            </w:r>
          </w:p>
        </w:tc>
        <w:tc>
          <w:tcPr>
            <w:tcW w:w="360" w:type="pct"/>
            <w:shd w:val="clear" w:color="auto" w:fill="auto"/>
            <w:noWrap/>
            <w:textDirection w:val="btLr"/>
            <w:vAlign w:val="center"/>
            <w:hideMark/>
          </w:tcPr>
          <w:p w:rsidR="00A64028" w:rsidRPr="00ED3C71" w:rsidRDefault="00A64028" w:rsidP="00ED3C71">
            <w:pPr>
              <w:spacing w:after="0" w:line="240" w:lineRule="auto"/>
              <w:jc w:val="center"/>
              <w:rPr>
                <w:rFonts w:ascii="Arial Narrow" w:hAnsi="Arial Narrow" w:cs="Arial"/>
                <w:sz w:val="18"/>
                <w:szCs w:val="18"/>
              </w:rPr>
            </w:pPr>
            <w:r w:rsidRPr="00ED3C71">
              <w:rPr>
                <w:rFonts w:ascii="Arial Narrow" w:hAnsi="Arial Narrow" w:cs="Arial"/>
                <w:sz w:val="18"/>
                <w:szCs w:val="18"/>
              </w:rPr>
              <w:t>Рынок услуг дошкольного образования (коммерческие детские сады и учреждения пребывания неполного дня)</w:t>
            </w:r>
          </w:p>
        </w:tc>
        <w:tc>
          <w:tcPr>
            <w:tcW w:w="237" w:type="pct"/>
            <w:shd w:val="clear" w:color="auto" w:fill="auto"/>
            <w:noWrap/>
            <w:textDirection w:val="btLr"/>
            <w:vAlign w:val="center"/>
            <w:hideMark/>
          </w:tcPr>
          <w:p w:rsidR="00A64028" w:rsidRPr="00ED3C71" w:rsidRDefault="00A64028" w:rsidP="00ED3C71">
            <w:pPr>
              <w:spacing w:after="0" w:line="240" w:lineRule="auto"/>
              <w:jc w:val="center"/>
              <w:rPr>
                <w:rFonts w:ascii="Arial Narrow" w:hAnsi="Arial Narrow" w:cs="Arial"/>
                <w:sz w:val="18"/>
                <w:szCs w:val="18"/>
              </w:rPr>
            </w:pPr>
            <w:r w:rsidRPr="00ED3C71">
              <w:rPr>
                <w:rFonts w:ascii="Arial Narrow" w:hAnsi="Arial Narrow" w:cs="Arial"/>
                <w:sz w:val="18"/>
                <w:szCs w:val="18"/>
              </w:rPr>
              <w:t>Рынок услуг детского отдыха и оздоровления</w:t>
            </w:r>
          </w:p>
        </w:tc>
        <w:tc>
          <w:tcPr>
            <w:tcW w:w="237" w:type="pct"/>
            <w:shd w:val="clear" w:color="auto" w:fill="auto"/>
            <w:noWrap/>
            <w:textDirection w:val="btLr"/>
            <w:vAlign w:val="center"/>
            <w:hideMark/>
          </w:tcPr>
          <w:p w:rsidR="00A64028" w:rsidRPr="00ED3C71" w:rsidRDefault="00A64028" w:rsidP="00ED3C71">
            <w:pPr>
              <w:spacing w:after="0" w:line="240" w:lineRule="auto"/>
              <w:jc w:val="center"/>
              <w:rPr>
                <w:rFonts w:ascii="Arial Narrow" w:hAnsi="Arial Narrow" w:cs="Arial"/>
                <w:sz w:val="18"/>
                <w:szCs w:val="18"/>
              </w:rPr>
            </w:pPr>
            <w:r w:rsidRPr="00ED3C71">
              <w:rPr>
                <w:rFonts w:ascii="Arial Narrow" w:hAnsi="Arial Narrow" w:cs="Arial"/>
                <w:sz w:val="18"/>
                <w:szCs w:val="18"/>
              </w:rPr>
              <w:t>Рынок дополнительного образования детей</w:t>
            </w:r>
          </w:p>
        </w:tc>
        <w:tc>
          <w:tcPr>
            <w:tcW w:w="237" w:type="pct"/>
            <w:shd w:val="clear" w:color="auto" w:fill="auto"/>
            <w:noWrap/>
            <w:textDirection w:val="btLr"/>
            <w:vAlign w:val="center"/>
            <w:hideMark/>
          </w:tcPr>
          <w:p w:rsidR="00A64028" w:rsidRPr="00ED3C71" w:rsidRDefault="00A64028" w:rsidP="00ED3C71">
            <w:pPr>
              <w:spacing w:after="0" w:line="240" w:lineRule="auto"/>
              <w:jc w:val="center"/>
              <w:rPr>
                <w:rFonts w:ascii="Arial Narrow" w:hAnsi="Arial Narrow" w:cs="Arial"/>
                <w:sz w:val="18"/>
                <w:szCs w:val="18"/>
              </w:rPr>
            </w:pPr>
            <w:r w:rsidRPr="00ED3C71">
              <w:rPr>
                <w:rFonts w:ascii="Arial Narrow" w:hAnsi="Arial Narrow" w:cs="Arial"/>
                <w:sz w:val="18"/>
                <w:szCs w:val="18"/>
              </w:rPr>
              <w:t>Рынок медицинских услуг</w:t>
            </w:r>
          </w:p>
        </w:tc>
        <w:tc>
          <w:tcPr>
            <w:tcW w:w="237" w:type="pct"/>
            <w:shd w:val="clear" w:color="auto" w:fill="auto"/>
            <w:noWrap/>
            <w:textDirection w:val="btLr"/>
            <w:vAlign w:val="center"/>
            <w:hideMark/>
          </w:tcPr>
          <w:p w:rsidR="00A64028" w:rsidRPr="00ED3C71" w:rsidRDefault="00A64028" w:rsidP="00ED3C71">
            <w:pPr>
              <w:spacing w:after="0" w:line="240" w:lineRule="auto"/>
              <w:jc w:val="center"/>
              <w:rPr>
                <w:rFonts w:ascii="Arial Narrow" w:hAnsi="Arial Narrow" w:cs="Arial"/>
                <w:sz w:val="18"/>
                <w:szCs w:val="18"/>
              </w:rPr>
            </w:pPr>
            <w:r w:rsidRPr="00ED3C71">
              <w:rPr>
                <w:rFonts w:ascii="Arial Narrow" w:hAnsi="Arial Narrow" w:cs="Arial"/>
                <w:sz w:val="18"/>
                <w:szCs w:val="18"/>
              </w:rPr>
              <w:t>Рынок услуг психолого-педагогического сопровождения детей с ограниченными возможностями здоровья</w:t>
            </w:r>
          </w:p>
        </w:tc>
        <w:tc>
          <w:tcPr>
            <w:tcW w:w="237" w:type="pct"/>
            <w:shd w:val="clear" w:color="auto" w:fill="auto"/>
            <w:noWrap/>
            <w:textDirection w:val="btLr"/>
            <w:vAlign w:val="center"/>
            <w:hideMark/>
          </w:tcPr>
          <w:p w:rsidR="00A64028" w:rsidRPr="00ED3C71" w:rsidRDefault="00A64028" w:rsidP="00ED3C71">
            <w:pPr>
              <w:spacing w:after="0" w:line="240" w:lineRule="auto"/>
              <w:jc w:val="center"/>
              <w:rPr>
                <w:rFonts w:ascii="Arial Narrow" w:hAnsi="Arial Narrow" w:cs="Arial"/>
                <w:sz w:val="18"/>
                <w:szCs w:val="18"/>
              </w:rPr>
            </w:pPr>
            <w:r w:rsidRPr="00ED3C71">
              <w:rPr>
                <w:rFonts w:ascii="Arial Narrow" w:hAnsi="Arial Narrow" w:cs="Arial"/>
                <w:sz w:val="18"/>
                <w:szCs w:val="18"/>
              </w:rPr>
              <w:t>Рынок услуг в сфере культуры</w:t>
            </w:r>
          </w:p>
        </w:tc>
        <w:tc>
          <w:tcPr>
            <w:tcW w:w="237" w:type="pct"/>
            <w:shd w:val="clear" w:color="auto" w:fill="auto"/>
            <w:noWrap/>
            <w:textDirection w:val="btLr"/>
            <w:vAlign w:val="center"/>
            <w:hideMark/>
          </w:tcPr>
          <w:p w:rsidR="00A64028" w:rsidRPr="00ED3C71" w:rsidRDefault="00A64028" w:rsidP="00ED3C71">
            <w:pPr>
              <w:spacing w:after="0" w:line="240" w:lineRule="auto"/>
              <w:jc w:val="center"/>
              <w:rPr>
                <w:rFonts w:ascii="Arial Narrow" w:hAnsi="Arial Narrow" w:cs="Arial"/>
                <w:sz w:val="18"/>
                <w:szCs w:val="18"/>
              </w:rPr>
            </w:pPr>
            <w:r w:rsidRPr="00ED3C71">
              <w:rPr>
                <w:rFonts w:ascii="Arial Narrow" w:hAnsi="Arial Narrow" w:cs="Arial"/>
                <w:sz w:val="18"/>
                <w:szCs w:val="18"/>
              </w:rPr>
              <w:t>Рынок услуг ЖКХ (управляющие компании)</w:t>
            </w:r>
          </w:p>
        </w:tc>
        <w:tc>
          <w:tcPr>
            <w:tcW w:w="237" w:type="pct"/>
            <w:shd w:val="clear" w:color="auto" w:fill="auto"/>
            <w:noWrap/>
            <w:textDirection w:val="btLr"/>
            <w:vAlign w:val="center"/>
            <w:hideMark/>
          </w:tcPr>
          <w:p w:rsidR="00A64028" w:rsidRPr="00ED3C71" w:rsidRDefault="00A64028" w:rsidP="00ED3C71">
            <w:pPr>
              <w:spacing w:after="0" w:line="240" w:lineRule="auto"/>
              <w:jc w:val="center"/>
              <w:rPr>
                <w:rFonts w:ascii="Arial Narrow" w:hAnsi="Arial Narrow" w:cs="Arial"/>
                <w:sz w:val="18"/>
                <w:szCs w:val="18"/>
              </w:rPr>
            </w:pPr>
            <w:r w:rsidRPr="00ED3C71">
              <w:rPr>
                <w:rFonts w:ascii="Arial Narrow" w:hAnsi="Arial Narrow" w:cs="Arial"/>
                <w:sz w:val="18"/>
                <w:szCs w:val="18"/>
              </w:rPr>
              <w:t>Розничная торговля (продажа продуктов питания и непродовольственных товаров)</w:t>
            </w:r>
          </w:p>
        </w:tc>
        <w:tc>
          <w:tcPr>
            <w:tcW w:w="237" w:type="pct"/>
            <w:shd w:val="clear" w:color="auto" w:fill="auto"/>
            <w:noWrap/>
            <w:textDirection w:val="btLr"/>
            <w:vAlign w:val="center"/>
            <w:hideMark/>
          </w:tcPr>
          <w:p w:rsidR="00A64028" w:rsidRPr="00ED3C71" w:rsidRDefault="00A64028" w:rsidP="00ED3C71">
            <w:pPr>
              <w:spacing w:after="0" w:line="240" w:lineRule="auto"/>
              <w:jc w:val="center"/>
              <w:rPr>
                <w:rFonts w:ascii="Arial Narrow" w:hAnsi="Arial Narrow" w:cs="Arial"/>
                <w:sz w:val="18"/>
                <w:szCs w:val="18"/>
              </w:rPr>
            </w:pPr>
            <w:r w:rsidRPr="00ED3C71">
              <w:rPr>
                <w:rFonts w:ascii="Arial Narrow" w:hAnsi="Arial Narrow" w:cs="Arial"/>
                <w:sz w:val="18"/>
                <w:szCs w:val="18"/>
              </w:rPr>
              <w:t>Рынок услуг перевозок пассажиров наземным транспортом (автобусные перевозки и такси)</w:t>
            </w:r>
          </w:p>
        </w:tc>
        <w:tc>
          <w:tcPr>
            <w:tcW w:w="237" w:type="pct"/>
            <w:shd w:val="clear" w:color="auto" w:fill="auto"/>
            <w:noWrap/>
            <w:textDirection w:val="btLr"/>
            <w:vAlign w:val="center"/>
            <w:hideMark/>
          </w:tcPr>
          <w:p w:rsidR="00A64028" w:rsidRPr="00ED3C71" w:rsidRDefault="00A64028" w:rsidP="00ED3C71">
            <w:pPr>
              <w:spacing w:after="0" w:line="240" w:lineRule="auto"/>
              <w:jc w:val="center"/>
              <w:rPr>
                <w:rFonts w:ascii="Arial Narrow" w:hAnsi="Arial Narrow" w:cs="Arial"/>
                <w:sz w:val="18"/>
                <w:szCs w:val="18"/>
              </w:rPr>
            </w:pPr>
            <w:r w:rsidRPr="00ED3C71">
              <w:rPr>
                <w:rFonts w:ascii="Arial Narrow" w:hAnsi="Arial Narrow" w:cs="Arial"/>
                <w:sz w:val="18"/>
                <w:szCs w:val="18"/>
              </w:rPr>
              <w:t>Рынок услуг связи</w:t>
            </w:r>
          </w:p>
        </w:tc>
        <w:tc>
          <w:tcPr>
            <w:tcW w:w="237" w:type="pct"/>
            <w:shd w:val="clear" w:color="auto" w:fill="auto"/>
            <w:noWrap/>
            <w:textDirection w:val="btLr"/>
            <w:vAlign w:val="center"/>
            <w:hideMark/>
          </w:tcPr>
          <w:p w:rsidR="00A64028" w:rsidRPr="00ED3C71" w:rsidRDefault="00A64028" w:rsidP="00ED3C71">
            <w:pPr>
              <w:spacing w:after="0" w:line="240" w:lineRule="auto"/>
              <w:jc w:val="center"/>
              <w:rPr>
                <w:rFonts w:ascii="Arial Narrow" w:hAnsi="Arial Narrow" w:cs="Arial"/>
                <w:sz w:val="18"/>
                <w:szCs w:val="18"/>
              </w:rPr>
            </w:pPr>
            <w:r w:rsidRPr="00ED3C71">
              <w:rPr>
                <w:rFonts w:ascii="Arial Narrow" w:hAnsi="Arial Narrow" w:cs="Arial"/>
                <w:sz w:val="18"/>
                <w:szCs w:val="18"/>
              </w:rPr>
              <w:t>Рынок услуг социального обслуживания населения</w:t>
            </w:r>
          </w:p>
        </w:tc>
        <w:tc>
          <w:tcPr>
            <w:tcW w:w="251" w:type="pct"/>
            <w:shd w:val="clear" w:color="auto" w:fill="auto"/>
            <w:noWrap/>
            <w:textDirection w:val="btLr"/>
            <w:vAlign w:val="center"/>
            <w:hideMark/>
          </w:tcPr>
          <w:p w:rsidR="00A64028" w:rsidRPr="00ED3C71" w:rsidRDefault="00A64028" w:rsidP="00ED3C71">
            <w:pPr>
              <w:spacing w:after="0" w:line="240" w:lineRule="auto"/>
              <w:jc w:val="center"/>
              <w:rPr>
                <w:rFonts w:ascii="Arial Narrow" w:hAnsi="Arial Narrow" w:cs="Arial"/>
                <w:sz w:val="18"/>
                <w:szCs w:val="18"/>
              </w:rPr>
            </w:pPr>
            <w:r w:rsidRPr="00ED3C71">
              <w:rPr>
                <w:rFonts w:ascii="Arial Narrow" w:hAnsi="Arial Narrow" w:cs="Arial"/>
                <w:sz w:val="18"/>
                <w:szCs w:val="18"/>
              </w:rPr>
              <w:t>Рынок развития, производства, переработки и хранения сельскохозяйственной продукции</w:t>
            </w:r>
          </w:p>
        </w:tc>
        <w:tc>
          <w:tcPr>
            <w:tcW w:w="335" w:type="pct"/>
            <w:shd w:val="clear" w:color="auto" w:fill="auto"/>
            <w:noWrap/>
            <w:textDirection w:val="btLr"/>
            <w:vAlign w:val="center"/>
            <w:hideMark/>
          </w:tcPr>
          <w:p w:rsidR="00A64028" w:rsidRPr="00ED3C71" w:rsidRDefault="00A64028" w:rsidP="00ED3C71">
            <w:pPr>
              <w:spacing w:after="0" w:line="240" w:lineRule="auto"/>
              <w:jc w:val="center"/>
              <w:rPr>
                <w:rFonts w:ascii="Arial Narrow" w:hAnsi="Arial Narrow" w:cs="Arial"/>
                <w:sz w:val="18"/>
                <w:szCs w:val="18"/>
              </w:rPr>
            </w:pPr>
            <w:r w:rsidRPr="00ED3C71">
              <w:rPr>
                <w:rFonts w:ascii="Arial Narrow" w:hAnsi="Arial Narrow" w:cs="Arial"/>
                <w:sz w:val="18"/>
                <w:szCs w:val="18"/>
              </w:rPr>
              <w:t>Рынок услуг по сбору, сортировке и переработке твердых коммунальных (бытовых) отходов</w:t>
            </w:r>
          </w:p>
        </w:tc>
      </w:tr>
      <w:tr w:rsidR="00A64028" w:rsidRPr="00A45259" w:rsidTr="00ED3C71">
        <w:trPr>
          <w:trHeight w:val="639"/>
        </w:trPr>
        <w:tc>
          <w:tcPr>
            <w:tcW w:w="186" w:type="pct"/>
            <w:shd w:val="clear" w:color="auto" w:fill="auto"/>
            <w:vAlign w:val="center"/>
            <w:hideMark/>
          </w:tcPr>
          <w:p w:rsidR="00A64028" w:rsidRPr="00A45259" w:rsidRDefault="00A64028" w:rsidP="00103148">
            <w:pPr>
              <w:spacing w:after="0"/>
              <w:jc w:val="both"/>
              <w:rPr>
                <w:rFonts w:ascii="Arial Narrow" w:hAnsi="Arial Narrow"/>
                <w:b/>
                <w:sz w:val="20"/>
                <w:szCs w:val="20"/>
              </w:rPr>
            </w:pPr>
            <w:r w:rsidRPr="00A45259">
              <w:rPr>
                <w:rFonts w:ascii="Arial Narrow" w:hAnsi="Arial Narrow"/>
                <w:b/>
                <w:sz w:val="20"/>
                <w:szCs w:val="20"/>
              </w:rPr>
              <w:t>1.2.1</w:t>
            </w:r>
          </w:p>
        </w:tc>
        <w:tc>
          <w:tcPr>
            <w:tcW w:w="4814" w:type="pct"/>
            <w:gridSpan w:val="15"/>
            <w:shd w:val="clear" w:color="auto" w:fill="auto"/>
            <w:vAlign w:val="center"/>
            <w:hideMark/>
          </w:tcPr>
          <w:p w:rsidR="00A64028" w:rsidRPr="00A45259" w:rsidRDefault="00A64028" w:rsidP="00103148">
            <w:pPr>
              <w:spacing w:after="0"/>
              <w:ind w:left="31"/>
              <w:jc w:val="both"/>
              <w:rPr>
                <w:rFonts w:ascii="Arial Narrow" w:hAnsi="Arial Narrow"/>
                <w:b/>
                <w:sz w:val="20"/>
                <w:szCs w:val="20"/>
              </w:rPr>
            </w:pPr>
            <w:r w:rsidRPr="00A45259">
              <w:rPr>
                <w:rFonts w:ascii="Arial Narrow" w:hAnsi="Arial Narrow"/>
                <w:b/>
                <w:sz w:val="20"/>
                <w:szCs w:val="20"/>
              </w:rPr>
              <w:t>Оценка субъектами предпринимательской деятельности Новосибирской области состояния конкурентной среды и его изменений во времени (% от числа опрошенных представителей социально значимых и приоритетных рынков)</w:t>
            </w:r>
          </w:p>
        </w:tc>
      </w:tr>
      <w:tr w:rsidR="00A64028" w:rsidRPr="00A45259" w:rsidTr="00ED3C71">
        <w:tc>
          <w:tcPr>
            <w:tcW w:w="186" w:type="pct"/>
            <w:shd w:val="clear" w:color="auto" w:fill="auto"/>
            <w:vAlign w:val="center"/>
            <w:hideMark/>
          </w:tcPr>
          <w:p w:rsidR="00A64028" w:rsidRPr="00A45259" w:rsidRDefault="00A64028" w:rsidP="00103148">
            <w:pPr>
              <w:spacing w:after="0"/>
              <w:jc w:val="center"/>
              <w:rPr>
                <w:rFonts w:ascii="Arial Narrow" w:hAnsi="Arial Narrow" w:cs="Arial"/>
                <w:sz w:val="20"/>
                <w:szCs w:val="20"/>
              </w:rPr>
            </w:pPr>
          </w:p>
        </w:tc>
        <w:tc>
          <w:tcPr>
            <w:tcW w:w="1185" w:type="pct"/>
            <w:shd w:val="clear" w:color="auto" w:fill="auto"/>
            <w:vAlign w:val="bottom"/>
          </w:tcPr>
          <w:p w:rsidR="00A64028" w:rsidRPr="00A45259" w:rsidRDefault="00A64028" w:rsidP="00E82802">
            <w:pPr>
              <w:spacing w:after="0"/>
              <w:ind w:left="51"/>
              <w:rPr>
                <w:rFonts w:ascii="Arial Narrow" w:hAnsi="Arial Narrow"/>
                <w:sz w:val="20"/>
                <w:szCs w:val="20"/>
              </w:rPr>
            </w:pPr>
            <w:r w:rsidRPr="00A45259">
              <w:rPr>
                <w:rFonts w:ascii="Arial Narrow" w:hAnsi="Arial Narrow"/>
                <w:sz w:val="20"/>
                <w:szCs w:val="20"/>
              </w:rPr>
              <w:t>Предприятия имеют равные возможность конкурировать, имеют равный доступ к ресурсам и отсутствие преференций со стороны органов власти и потребителей, ситуация в 2015 г. (% от числа опрошенных)</w:t>
            </w:r>
          </w:p>
        </w:tc>
        <w:tc>
          <w:tcPr>
            <w:tcW w:w="313" w:type="pct"/>
            <w:shd w:val="clear" w:color="auto" w:fill="auto"/>
            <w:noWrap/>
            <w:vAlign w:val="center"/>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50,2%</w:t>
            </w:r>
          </w:p>
        </w:tc>
        <w:tc>
          <w:tcPr>
            <w:tcW w:w="360" w:type="pct"/>
            <w:shd w:val="clear" w:color="auto" w:fill="auto"/>
            <w:noWrap/>
            <w:vAlign w:val="center"/>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80,0%</w:t>
            </w:r>
          </w:p>
        </w:tc>
        <w:tc>
          <w:tcPr>
            <w:tcW w:w="237" w:type="pct"/>
            <w:shd w:val="clear" w:color="auto" w:fill="auto"/>
            <w:noWrap/>
            <w:vAlign w:val="center"/>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60,0%</w:t>
            </w:r>
          </w:p>
        </w:tc>
        <w:tc>
          <w:tcPr>
            <w:tcW w:w="237" w:type="pct"/>
            <w:shd w:val="clear" w:color="auto" w:fill="auto"/>
            <w:noWrap/>
            <w:vAlign w:val="center"/>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60,0%</w:t>
            </w:r>
          </w:p>
        </w:tc>
        <w:tc>
          <w:tcPr>
            <w:tcW w:w="237" w:type="pct"/>
            <w:shd w:val="clear" w:color="auto" w:fill="auto"/>
            <w:noWrap/>
            <w:vAlign w:val="center"/>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40,0%</w:t>
            </w:r>
          </w:p>
        </w:tc>
        <w:tc>
          <w:tcPr>
            <w:tcW w:w="237" w:type="pct"/>
            <w:shd w:val="clear" w:color="auto" w:fill="auto"/>
            <w:noWrap/>
            <w:vAlign w:val="center"/>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44,0%</w:t>
            </w:r>
          </w:p>
        </w:tc>
        <w:tc>
          <w:tcPr>
            <w:tcW w:w="237" w:type="pct"/>
            <w:shd w:val="clear" w:color="auto" w:fill="auto"/>
            <w:noWrap/>
            <w:vAlign w:val="center"/>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40,0%</w:t>
            </w:r>
          </w:p>
        </w:tc>
        <w:tc>
          <w:tcPr>
            <w:tcW w:w="237" w:type="pct"/>
            <w:shd w:val="clear" w:color="auto" w:fill="auto"/>
            <w:noWrap/>
            <w:vAlign w:val="center"/>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55,7%</w:t>
            </w:r>
          </w:p>
        </w:tc>
        <w:tc>
          <w:tcPr>
            <w:tcW w:w="237" w:type="pct"/>
            <w:shd w:val="clear" w:color="auto" w:fill="auto"/>
            <w:noWrap/>
            <w:vAlign w:val="center"/>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50,0%</w:t>
            </w:r>
          </w:p>
        </w:tc>
        <w:tc>
          <w:tcPr>
            <w:tcW w:w="237" w:type="pct"/>
            <w:shd w:val="clear" w:color="auto" w:fill="auto"/>
            <w:noWrap/>
            <w:vAlign w:val="center"/>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41,7%</w:t>
            </w:r>
          </w:p>
        </w:tc>
        <w:tc>
          <w:tcPr>
            <w:tcW w:w="237" w:type="pct"/>
            <w:shd w:val="clear" w:color="auto" w:fill="auto"/>
            <w:noWrap/>
            <w:vAlign w:val="center"/>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36,0%</w:t>
            </w:r>
          </w:p>
        </w:tc>
        <w:tc>
          <w:tcPr>
            <w:tcW w:w="237" w:type="pct"/>
            <w:shd w:val="clear" w:color="auto" w:fill="auto"/>
            <w:noWrap/>
            <w:vAlign w:val="center"/>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40,0%</w:t>
            </w:r>
          </w:p>
        </w:tc>
        <w:tc>
          <w:tcPr>
            <w:tcW w:w="251" w:type="pct"/>
            <w:shd w:val="clear" w:color="auto" w:fill="auto"/>
            <w:noWrap/>
            <w:vAlign w:val="center"/>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45,0%</w:t>
            </w:r>
          </w:p>
        </w:tc>
        <w:tc>
          <w:tcPr>
            <w:tcW w:w="335" w:type="pct"/>
            <w:shd w:val="clear" w:color="auto" w:fill="auto"/>
            <w:noWrap/>
            <w:vAlign w:val="center"/>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50,0%</w:t>
            </w:r>
          </w:p>
        </w:tc>
      </w:tr>
      <w:tr w:rsidR="00A64028" w:rsidRPr="00A45259" w:rsidTr="00ED3C71">
        <w:tc>
          <w:tcPr>
            <w:tcW w:w="186" w:type="pct"/>
            <w:shd w:val="clear" w:color="auto" w:fill="auto"/>
            <w:vAlign w:val="center"/>
          </w:tcPr>
          <w:p w:rsidR="00A64028" w:rsidRPr="00A45259" w:rsidRDefault="00A64028" w:rsidP="00103148">
            <w:pPr>
              <w:spacing w:after="0"/>
              <w:jc w:val="center"/>
              <w:rPr>
                <w:rFonts w:ascii="Arial Narrow" w:hAnsi="Arial Narrow" w:cs="Arial"/>
                <w:sz w:val="20"/>
                <w:szCs w:val="20"/>
              </w:rPr>
            </w:pPr>
          </w:p>
        </w:tc>
        <w:tc>
          <w:tcPr>
            <w:tcW w:w="1185" w:type="pct"/>
            <w:shd w:val="clear" w:color="auto" w:fill="auto"/>
            <w:vAlign w:val="bottom"/>
          </w:tcPr>
          <w:p w:rsidR="00A64028" w:rsidRPr="00A45259" w:rsidRDefault="00A64028" w:rsidP="00E82802">
            <w:pPr>
              <w:spacing w:after="0"/>
              <w:ind w:left="51"/>
              <w:rPr>
                <w:rFonts w:ascii="Arial Narrow" w:hAnsi="Arial Narrow"/>
                <w:sz w:val="20"/>
                <w:szCs w:val="20"/>
              </w:rPr>
            </w:pPr>
            <w:r w:rsidRPr="00A45259">
              <w:rPr>
                <w:rFonts w:ascii="Arial Narrow" w:hAnsi="Arial Narrow"/>
                <w:sz w:val="20"/>
                <w:szCs w:val="20"/>
              </w:rPr>
              <w:t>Предприятия имеют равные возможность конкурировать, имеют равный доступ к ресурсам и отсутствие преференций со стороны органов власти и потребителей, ситуация в 2016 г. (% от числа опрошенных)</w:t>
            </w:r>
          </w:p>
        </w:tc>
        <w:tc>
          <w:tcPr>
            <w:tcW w:w="313" w:type="pct"/>
            <w:shd w:val="clear" w:color="auto" w:fill="auto"/>
            <w:noWrap/>
            <w:vAlign w:val="center"/>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52,1%</w:t>
            </w:r>
          </w:p>
        </w:tc>
        <w:tc>
          <w:tcPr>
            <w:tcW w:w="360" w:type="pct"/>
            <w:shd w:val="clear" w:color="auto" w:fill="auto"/>
            <w:noWrap/>
            <w:vAlign w:val="center"/>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80,0%</w:t>
            </w:r>
          </w:p>
        </w:tc>
        <w:tc>
          <w:tcPr>
            <w:tcW w:w="237" w:type="pct"/>
            <w:shd w:val="clear" w:color="auto" w:fill="auto"/>
            <w:noWrap/>
            <w:vAlign w:val="center"/>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60,0%</w:t>
            </w:r>
          </w:p>
        </w:tc>
        <w:tc>
          <w:tcPr>
            <w:tcW w:w="237" w:type="pct"/>
            <w:shd w:val="clear" w:color="auto" w:fill="auto"/>
            <w:noWrap/>
            <w:vAlign w:val="center"/>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60,0%</w:t>
            </w:r>
          </w:p>
        </w:tc>
        <w:tc>
          <w:tcPr>
            <w:tcW w:w="237" w:type="pct"/>
            <w:shd w:val="clear" w:color="auto" w:fill="auto"/>
            <w:noWrap/>
            <w:vAlign w:val="center"/>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44,3%</w:t>
            </w:r>
          </w:p>
        </w:tc>
        <w:tc>
          <w:tcPr>
            <w:tcW w:w="237" w:type="pct"/>
            <w:shd w:val="clear" w:color="auto" w:fill="auto"/>
            <w:noWrap/>
            <w:vAlign w:val="center"/>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44,0%</w:t>
            </w:r>
          </w:p>
        </w:tc>
        <w:tc>
          <w:tcPr>
            <w:tcW w:w="237" w:type="pct"/>
            <w:shd w:val="clear" w:color="auto" w:fill="auto"/>
            <w:noWrap/>
            <w:vAlign w:val="center"/>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44,0%</w:t>
            </w:r>
          </w:p>
        </w:tc>
        <w:tc>
          <w:tcPr>
            <w:tcW w:w="237" w:type="pct"/>
            <w:shd w:val="clear" w:color="auto" w:fill="auto"/>
            <w:noWrap/>
            <w:vAlign w:val="center"/>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54,3%</w:t>
            </w:r>
          </w:p>
        </w:tc>
        <w:tc>
          <w:tcPr>
            <w:tcW w:w="237" w:type="pct"/>
            <w:shd w:val="clear" w:color="auto" w:fill="auto"/>
            <w:noWrap/>
            <w:vAlign w:val="center"/>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51,1%</w:t>
            </w:r>
          </w:p>
        </w:tc>
        <w:tc>
          <w:tcPr>
            <w:tcW w:w="237" w:type="pct"/>
            <w:shd w:val="clear" w:color="auto" w:fill="auto"/>
            <w:noWrap/>
            <w:vAlign w:val="center"/>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45,0%</w:t>
            </w:r>
          </w:p>
        </w:tc>
        <w:tc>
          <w:tcPr>
            <w:tcW w:w="237" w:type="pct"/>
            <w:shd w:val="clear" w:color="auto" w:fill="auto"/>
            <w:noWrap/>
            <w:vAlign w:val="center"/>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44,0%</w:t>
            </w:r>
          </w:p>
        </w:tc>
        <w:tc>
          <w:tcPr>
            <w:tcW w:w="237" w:type="pct"/>
            <w:shd w:val="clear" w:color="auto" w:fill="auto"/>
            <w:noWrap/>
            <w:vAlign w:val="center"/>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40,0%</w:t>
            </w:r>
          </w:p>
        </w:tc>
        <w:tc>
          <w:tcPr>
            <w:tcW w:w="251" w:type="pct"/>
            <w:shd w:val="clear" w:color="auto" w:fill="auto"/>
            <w:noWrap/>
            <w:vAlign w:val="center"/>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46,0%</w:t>
            </w:r>
          </w:p>
        </w:tc>
        <w:tc>
          <w:tcPr>
            <w:tcW w:w="335" w:type="pct"/>
            <w:shd w:val="clear" w:color="auto" w:fill="auto"/>
            <w:noWrap/>
            <w:vAlign w:val="center"/>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50,0%</w:t>
            </w:r>
          </w:p>
        </w:tc>
      </w:tr>
    </w:tbl>
    <w:p w:rsidR="00A64028" w:rsidRDefault="00A64028" w:rsidP="00103148">
      <w:pPr>
        <w:spacing w:after="0"/>
        <w:ind w:firstLine="284"/>
        <w:jc w:val="both"/>
        <w:rPr>
          <w:rFonts w:ascii="Arial Narrow" w:hAnsi="Arial Narrow"/>
          <w:b/>
          <w:sz w:val="24"/>
          <w:szCs w:val="24"/>
        </w:rPr>
      </w:pPr>
    </w:p>
    <w:p w:rsidR="00A64028" w:rsidRDefault="00A64028" w:rsidP="00103148">
      <w:pPr>
        <w:spacing w:after="0"/>
        <w:ind w:firstLine="284"/>
        <w:jc w:val="both"/>
        <w:rPr>
          <w:rFonts w:ascii="Arial Narrow" w:hAnsi="Arial Narrow"/>
          <w:b/>
          <w:sz w:val="24"/>
          <w:szCs w:val="24"/>
        </w:rPr>
      </w:pPr>
    </w:p>
    <w:p w:rsidR="00ED3C71" w:rsidRDefault="00ED3C71" w:rsidP="00103148">
      <w:pPr>
        <w:spacing w:after="0"/>
        <w:rPr>
          <w:rFonts w:ascii="Arial Narrow" w:eastAsia="Calibri" w:hAnsi="Arial Narrow"/>
          <w:sz w:val="24"/>
          <w:szCs w:val="24"/>
        </w:rPr>
      </w:pPr>
    </w:p>
    <w:p w:rsidR="00ED3C71" w:rsidRDefault="00ED3C71" w:rsidP="00103148">
      <w:pPr>
        <w:spacing w:after="0"/>
        <w:rPr>
          <w:rFonts w:ascii="Arial Narrow" w:eastAsia="Calibri" w:hAnsi="Arial Narrow"/>
          <w:sz w:val="24"/>
          <w:szCs w:val="24"/>
        </w:rPr>
      </w:pPr>
    </w:p>
    <w:p w:rsidR="00ED3C71" w:rsidRDefault="00ED3C71" w:rsidP="00103148">
      <w:pPr>
        <w:spacing w:after="0"/>
        <w:rPr>
          <w:rFonts w:ascii="Arial Narrow" w:eastAsia="Calibri" w:hAnsi="Arial Narrow"/>
          <w:sz w:val="24"/>
          <w:szCs w:val="24"/>
        </w:rPr>
      </w:pPr>
    </w:p>
    <w:p w:rsidR="00A64028" w:rsidRPr="009B4A85" w:rsidRDefault="00A64028" w:rsidP="00103148">
      <w:pPr>
        <w:spacing w:after="0"/>
        <w:rPr>
          <w:rFonts w:ascii="Arial Narrow" w:hAnsi="Arial Narrow"/>
          <w:sz w:val="24"/>
          <w:szCs w:val="24"/>
        </w:rPr>
      </w:pPr>
      <w:r>
        <w:rPr>
          <w:rFonts w:ascii="Arial Narrow" w:eastAsia="Calibri" w:hAnsi="Arial Narrow"/>
          <w:sz w:val="24"/>
          <w:szCs w:val="24"/>
        </w:rPr>
        <w:lastRenderedPageBreak/>
        <w:t xml:space="preserve">Таблица </w:t>
      </w:r>
      <w:r w:rsidR="00262F71">
        <w:rPr>
          <w:rFonts w:ascii="Arial Narrow" w:eastAsia="Calibri" w:hAnsi="Arial Narrow"/>
          <w:sz w:val="24"/>
          <w:szCs w:val="24"/>
        </w:rPr>
        <w:t>7.15.</w:t>
      </w:r>
      <w:r w:rsidRPr="009B4A85">
        <w:rPr>
          <w:rFonts w:ascii="Arial Narrow" w:eastAsia="Calibri" w:hAnsi="Arial Narrow"/>
          <w:sz w:val="24"/>
          <w:szCs w:val="24"/>
        </w:rPr>
        <w:t xml:space="preserve"> – </w:t>
      </w:r>
      <w:r w:rsidRPr="009B4A85">
        <w:rPr>
          <w:rFonts w:ascii="Arial Narrow" w:hAnsi="Arial Narrow"/>
          <w:b/>
          <w:sz w:val="24"/>
          <w:szCs w:val="24"/>
        </w:rPr>
        <w:t>Значение показателя 1.2.1. Оценка субъектами предпринимательской деятельности Новосибирской области состояния конкурентной среды и его изменений во времени в разрезе сегментов бизнеса (малый бизнес, средний бизнес) (% от числа опрошенных представителей социально значимых и приоритетных рынков)</w:t>
      </w:r>
    </w:p>
    <w:tbl>
      <w:tblPr>
        <w:tblW w:w="5217"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428"/>
        <w:gridCol w:w="7090"/>
        <w:gridCol w:w="1274"/>
        <w:gridCol w:w="1274"/>
      </w:tblGrid>
      <w:tr w:rsidR="00A64028" w:rsidRPr="00FC67D5" w:rsidTr="00ED3C71">
        <w:trPr>
          <w:trHeight w:val="415"/>
          <w:tblHeader/>
        </w:trPr>
        <w:tc>
          <w:tcPr>
            <w:tcW w:w="212" w:type="pct"/>
            <w:shd w:val="clear" w:color="auto" w:fill="auto"/>
            <w:vAlign w:val="center"/>
            <w:hideMark/>
          </w:tcPr>
          <w:p w:rsidR="00A64028" w:rsidRPr="00FC67D5" w:rsidRDefault="00A64028" w:rsidP="00103148">
            <w:pPr>
              <w:spacing w:after="0"/>
              <w:jc w:val="center"/>
              <w:rPr>
                <w:rFonts w:ascii="Arial Narrow" w:hAnsi="Arial Narrow" w:cs="Arial"/>
                <w:sz w:val="20"/>
                <w:szCs w:val="24"/>
              </w:rPr>
            </w:pPr>
            <w:r w:rsidRPr="00FC67D5">
              <w:rPr>
                <w:rFonts w:ascii="Arial Narrow" w:hAnsi="Arial Narrow" w:cs="Arial"/>
                <w:sz w:val="20"/>
                <w:szCs w:val="24"/>
              </w:rPr>
              <w:t>№</w:t>
            </w:r>
          </w:p>
        </w:tc>
        <w:tc>
          <w:tcPr>
            <w:tcW w:w="3522" w:type="pct"/>
            <w:shd w:val="clear" w:color="auto" w:fill="auto"/>
            <w:vAlign w:val="center"/>
            <w:hideMark/>
          </w:tcPr>
          <w:p w:rsidR="00A64028" w:rsidRPr="00FC67D5" w:rsidRDefault="00A64028" w:rsidP="00103148">
            <w:pPr>
              <w:spacing w:after="0"/>
              <w:jc w:val="center"/>
              <w:rPr>
                <w:rFonts w:ascii="Arial Narrow" w:hAnsi="Arial Narrow" w:cs="Arial"/>
                <w:sz w:val="20"/>
                <w:szCs w:val="24"/>
              </w:rPr>
            </w:pPr>
            <w:r w:rsidRPr="00FC67D5">
              <w:rPr>
                <w:rFonts w:ascii="Arial Narrow" w:hAnsi="Arial Narrow" w:cs="Arial"/>
                <w:sz w:val="20"/>
                <w:szCs w:val="24"/>
              </w:rPr>
              <w:t>Наименование показателя, единица измерения</w:t>
            </w:r>
          </w:p>
        </w:tc>
        <w:tc>
          <w:tcPr>
            <w:tcW w:w="633" w:type="pct"/>
            <w:shd w:val="clear" w:color="auto" w:fill="auto"/>
            <w:vAlign w:val="center"/>
            <w:hideMark/>
          </w:tcPr>
          <w:p w:rsidR="00A64028" w:rsidRPr="00FC67D5" w:rsidRDefault="00A64028" w:rsidP="00103148">
            <w:pPr>
              <w:spacing w:after="0"/>
              <w:jc w:val="center"/>
              <w:rPr>
                <w:rFonts w:ascii="Arial Narrow" w:hAnsi="Arial Narrow"/>
                <w:sz w:val="20"/>
                <w:szCs w:val="24"/>
              </w:rPr>
            </w:pPr>
            <w:r w:rsidRPr="00FC67D5">
              <w:rPr>
                <w:rFonts w:ascii="Arial Narrow" w:hAnsi="Arial Narrow" w:cs="Arial"/>
                <w:sz w:val="20"/>
                <w:szCs w:val="24"/>
              </w:rPr>
              <w:t>Малое предприятие</w:t>
            </w:r>
          </w:p>
        </w:tc>
        <w:tc>
          <w:tcPr>
            <w:tcW w:w="633" w:type="pct"/>
            <w:shd w:val="clear" w:color="auto" w:fill="auto"/>
            <w:noWrap/>
            <w:vAlign w:val="center"/>
            <w:hideMark/>
          </w:tcPr>
          <w:p w:rsidR="00A64028" w:rsidRPr="00FC67D5" w:rsidRDefault="00A64028" w:rsidP="00103148">
            <w:pPr>
              <w:spacing w:after="0"/>
              <w:jc w:val="center"/>
              <w:rPr>
                <w:rFonts w:ascii="Arial Narrow" w:hAnsi="Arial Narrow"/>
                <w:sz w:val="20"/>
                <w:szCs w:val="24"/>
              </w:rPr>
            </w:pPr>
            <w:r w:rsidRPr="00FC67D5">
              <w:rPr>
                <w:rFonts w:ascii="Arial Narrow" w:hAnsi="Arial Narrow" w:cs="Arial"/>
                <w:sz w:val="20"/>
                <w:szCs w:val="24"/>
              </w:rPr>
              <w:t>Среднее предприятие</w:t>
            </w:r>
          </w:p>
        </w:tc>
      </w:tr>
      <w:tr w:rsidR="00A64028" w:rsidRPr="00FC67D5" w:rsidTr="00ED3C71">
        <w:trPr>
          <w:trHeight w:val="639"/>
        </w:trPr>
        <w:tc>
          <w:tcPr>
            <w:tcW w:w="212" w:type="pct"/>
            <w:shd w:val="clear" w:color="auto" w:fill="auto"/>
            <w:vAlign w:val="center"/>
            <w:hideMark/>
          </w:tcPr>
          <w:p w:rsidR="00A64028" w:rsidRPr="00FC67D5" w:rsidRDefault="00A64028" w:rsidP="00103148">
            <w:pPr>
              <w:spacing w:after="0"/>
              <w:jc w:val="both"/>
              <w:rPr>
                <w:rFonts w:ascii="Arial Narrow" w:hAnsi="Arial Narrow"/>
                <w:b/>
                <w:sz w:val="20"/>
                <w:szCs w:val="24"/>
              </w:rPr>
            </w:pPr>
            <w:r w:rsidRPr="00FC67D5">
              <w:rPr>
                <w:rFonts w:ascii="Arial Narrow" w:hAnsi="Arial Narrow"/>
                <w:b/>
                <w:sz w:val="20"/>
                <w:szCs w:val="24"/>
              </w:rPr>
              <w:t>1.2.1</w:t>
            </w:r>
          </w:p>
        </w:tc>
        <w:tc>
          <w:tcPr>
            <w:tcW w:w="4788" w:type="pct"/>
            <w:gridSpan w:val="3"/>
            <w:shd w:val="clear" w:color="auto" w:fill="auto"/>
            <w:vAlign w:val="center"/>
            <w:hideMark/>
          </w:tcPr>
          <w:p w:rsidR="00A64028" w:rsidRPr="00FC67D5" w:rsidRDefault="00A64028" w:rsidP="00103148">
            <w:pPr>
              <w:spacing w:after="0"/>
              <w:ind w:left="70" w:right="145"/>
              <w:jc w:val="both"/>
              <w:rPr>
                <w:rFonts w:ascii="Arial Narrow" w:hAnsi="Arial Narrow"/>
                <w:b/>
                <w:sz w:val="20"/>
                <w:szCs w:val="24"/>
              </w:rPr>
            </w:pPr>
            <w:r w:rsidRPr="00FC67D5">
              <w:rPr>
                <w:rFonts w:ascii="Arial Narrow" w:hAnsi="Arial Narrow"/>
                <w:b/>
                <w:sz w:val="20"/>
                <w:szCs w:val="24"/>
              </w:rPr>
              <w:t>Оценка субъектами предпринимательской деятельности Новосибирской области состояния конкурентной среды и его изменений во времени в разрезе сегментов бизнеса (малый бизнес, средний бизнес, крупный бизнес) (% от числа опрошенных представителей социально значимых и приоритетных рынков)</w:t>
            </w:r>
          </w:p>
        </w:tc>
      </w:tr>
      <w:tr w:rsidR="00A64028" w:rsidRPr="00FC67D5" w:rsidTr="00ED3C71">
        <w:tc>
          <w:tcPr>
            <w:tcW w:w="212" w:type="pct"/>
            <w:shd w:val="clear" w:color="auto" w:fill="auto"/>
            <w:vAlign w:val="center"/>
            <w:hideMark/>
          </w:tcPr>
          <w:p w:rsidR="00A64028" w:rsidRPr="00FC67D5" w:rsidRDefault="00A64028" w:rsidP="00103148">
            <w:pPr>
              <w:spacing w:after="0"/>
              <w:jc w:val="center"/>
              <w:rPr>
                <w:rFonts w:ascii="Arial Narrow" w:hAnsi="Arial Narrow" w:cs="Arial"/>
                <w:sz w:val="20"/>
                <w:szCs w:val="24"/>
              </w:rPr>
            </w:pPr>
          </w:p>
        </w:tc>
        <w:tc>
          <w:tcPr>
            <w:tcW w:w="3522" w:type="pct"/>
            <w:shd w:val="clear" w:color="auto" w:fill="auto"/>
            <w:vAlign w:val="bottom"/>
          </w:tcPr>
          <w:p w:rsidR="00A64028" w:rsidRPr="00FC67D5" w:rsidRDefault="00A64028" w:rsidP="00103148">
            <w:pPr>
              <w:spacing w:after="0"/>
              <w:ind w:left="70"/>
              <w:rPr>
                <w:rFonts w:ascii="Arial Narrow" w:hAnsi="Arial Narrow"/>
                <w:sz w:val="20"/>
                <w:szCs w:val="24"/>
              </w:rPr>
            </w:pPr>
            <w:r w:rsidRPr="00FC67D5">
              <w:rPr>
                <w:rFonts w:ascii="Arial Narrow" w:hAnsi="Arial Narrow"/>
                <w:sz w:val="20"/>
                <w:szCs w:val="24"/>
              </w:rPr>
              <w:t>Предприятия имеют равные возможность конкурировать, имеют равный доступ к ресурсам и отсутствие преференций со стороны органов власти и потребителей, ситуация в 2015 г. (% от числа опрошенных)</w:t>
            </w:r>
          </w:p>
        </w:tc>
        <w:tc>
          <w:tcPr>
            <w:tcW w:w="633" w:type="pct"/>
            <w:shd w:val="clear" w:color="auto" w:fill="auto"/>
            <w:noWrap/>
            <w:vAlign w:val="center"/>
          </w:tcPr>
          <w:p w:rsidR="00A64028" w:rsidRPr="00FC67D5" w:rsidRDefault="00A64028" w:rsidP="00103148">
            <w:pPr>
              <w:spacing w:after="0"/>
              <w:jc w:val="center"/>
              <w:rPr>
                <w:rFonts w:ascii="Arial Narrow" w:hAnsi="Arial Narrow"/>
                <w:sz w:val="20"/>
                <w:szCs w:val="24"/>
              </w:rPr>
            </w:pPr>
            <w:r w:rsidRPr="00FC67D5">
              <w:rPr>
                <w:rFonts w:ascii="Arial Narrow" w:hAnsi="Arial Narrow" w:cs="Arial"/>
                <w:sz w:val="20"/>
                <w:szCs w:val="24"/>
              </w:rPr>
              <w:t>50,1%</w:t>
            </w:r>
          </w:p>
        </w:tc>
        <w:tc>
          <w:tcPr>
            <w:tcW w:w="633" w:type="pct"/>
            <w:shd w:val="clear" w:color="auto" w:fill="auto"/>
            <w:noWrap/>
            <w:vAlign w:val="center"/>
          </w:tcPr>
          <w:p w:rsidR="00A64028" w:rsidRPr="00FC67D5" w:rsidRDefault="00A64028" w:rsidP="00103148">
            <w:pPr>
              <w:spacing w:after="0"/>
              <w:jc w:val="center"/>
              <w:rPr>
                <w:rFonts w:ascii="Arial Narrow" w:hAnsi="Arial Narrow"/>
                <w:sz w:val="20"/>
                <w:szCs w:val="24"/>
              </w:rPr>
            </w:pPr>
            <w:r w:rsidRPr="00FC67D5">
              <w:rPr>
                <w:rFonts w:ascii="Arial Narrow" w:hAnsi="Arial Narrow" w:cs="Arial"/>
                <w:sz w:val="20"/>
                <w:szCs w:val="24"/>
              </w:rPr>
              <w:t>63,6%</w:t>
            </w:r>
          </w:p>
        </w:tc>
      </w:tr>
      <w:tr w:rsidR="00A64028" w:rsidRPr="00FC67D5" w:rsidTr="00ED3C71">
        <w:tc>
          <w:tcPr>
            <w:tcW w:w="212" w:type="pct"/>
            <w:shd w:val="clear" w:color="auto" w:fill="auto"/>
            <w:vAlign w:val="center"/>
          </w:tcPr>
          <w:p w:rsidR="00A64028" w:rsidRPr="00FC67D5" w:rsidRDefault="00A64028" w:rsidP="00103148">
            <w:pPr>
              <w:spacing w:after="0"/>
              <w:jc w:val="center"/>
              <w:rPr>
                <w:rFonts w:ascii="Arial Narrow" w:hAnsi="Arial Narrow" w:cs="Arial"/>
                <w:sz w:val="20"/>
                <w:szCs w:val="24"/>
              </w:rPr>
            </w:pPr>
          </w:p>
        </w:tc>
        <w:tc>
          <w:tcPr>
            <w:tcW w:w="3522" w:type="pct"/>
            <w:shd w:val="clear" w:color="auto" w:fill="auto"/>
            <w:vAlign w:val="bottom"/>
          </w:tcPr>
          <w:p w:rsidR="00A64028" w:rsidRPr="00FC67D5" w:rsidRDefault="00A64028" w:rsidP="00103148">
            <w:pPr>
              <w:spacing w:after="0"/>
              <w:ind w:left="70"/>
              <w:rPr>
                <w:rFonts w:ascii="Arial Narrow" w:hAnsi="Arial Narrow"/>
                <w:sz w:val="20"/>
                <w:szCs w:val="24"/>
              </w:rPr>
            </w:pPr>
            <w:r w:rsidRPr="00FC67D5">
              <w:rPr>
                <w:rFonts w:ascii="Arial Narrow" w:hAnsi="Arial Narrow"/>
                <w:sz w:val="20"/>
                <w:szCs w:val="24"/>
              </w:rPr>
              <w:t>Предприятия имеют равные возможность конкурировать, имеют равный доступ к ресурсам и отсутствие преференций со стороны органов власти и потребителей, ситуация в 2016 г. (% от числа опрошенных)</w:t>
            </w:r>
          </w:p>
        </w:tc>
        <w:tc>
          <w:tcPr>
            <w:tcW w:w="633" w:type="pct"/>
            <w:shd w:val="clear" w:color="auto" w:fill="auto"/>
            <w:noWrap/>
            <w:vAlign w:val="center"/>
          </w:tcPr>
          <w:p w:rsidR="00A64028" w:rsidRPr="00FC67D5" w:rsidRDefault="00A64028" w:rsidP="00103148">
            <w:pPr>
              <w:spacing w:after="0"/>
              <w:jc w:val="center"/>
              <w:rPr>
                <w:rFonts w:ascii="Arial Narrow" w:hAnsi="Arial Narrow"/>
                <w:sz w:val="20"/>
                <w:szCs w:val="24"/>
              </w:rPr>
            </w:pPr>
            <w:r w:rsidRPr="00FC67D5">
              <w:rPr>
                <w:rFonts w:ascii="Arial Narrow" w:hAnsi="Arial Narrow" w:cs="Arial"/>
                <w:sz w:val="20"/>
                <w:szCs w:val="24"/>
              </w:rPr>
              <w:t>52,1%</w:t>
            </w:r>
          </w:p>
        </w:tc>
        <w:tc>
          <w:tcPr>
            <w:tcW w:w="633" w:type="pct"/>
            <w:shd w:val="clear" w:color="auto" w:fill="auto"/>
            <w:noWrap/>
            <w:vAlign w:val="center"/>
          </w:tcPr>
          <w:p w:rsidR="00A64028" w:rsidRPr="00FC67D5" w:rsidRDefault="00A64028" w:rsidP="00103148">
            <w:pPr>
              <w:spacing w:after="0"/>
              <w:jc w:val="center"/>
              <w:rPr>
                <w:rFonts w:ascii="Arial Narrow" w:hAnsi="Arial Narrow"/>
                <w:sz w:val="20"/>
                <w:szCs w:val="24"/>
              </w:rPr>
            </w:pPr>
            <w:r w:rsidRPr="00FC67D5">
              <w:rPr>
                <w:rFonts w:ascii="Arial Narrow" w:hAnsi="Arial Narrow" w:cs="Arial"/>
                <w:sz w:val="20"/>
                <w:szCs w:val="24"/>
              </w:rPr>
              <w:t>63,6%</w:t>
            </w:r>
          </w:p>
        </w:tc>
      </w:tr>
    </w:tbl>
    <w:p w:rsidR="00A64028" w:rsidRDefault="00A64028" w:rsidP="00103148">
      <w:pPr>
        <w:spacing w:after="0" w:line="360" w:lineRule="auto"/>
        <w:ind w:firstLine="284"/>
        <w:jc w:val="both"/>
        <w:rPr>
          <w:rFonts w:ascii="Arial Narrow" w:hAnsi="Arial Narrow"/>
          <w:b/>
          <w:sz w:val="24"/>
          <w:szCs w:val="24"/>
        </w:rPr>
      </w:pPr>
    </w:p>
    <w:p w:rsidR="00A64028" w:rsidRPr="009B4A85" w:rsidRDefault="00A64028" w:rsidP="00103148">
      <w:pPr>
        <w:spacing w:after="0" w:line="360" w:lineRule="auto"/>
        <w:ind w:firstLine="284"/>
        <w:jc w:val="both"/>
        <w:rPr>
          <w:rFonts w:ascii="Arial Narrow" w:hAnsi="Arial Narrow"/>
          <w:b/>
          <w:sz w:val="24"/>
          <w:szCs w:val="24"/>
        </w:rPr>
      </w:pPr>
      <w:r w:rsidRPr="009B4A85">
        <w:rPr>
          <w:rFonts w:ascii="Arial Narrow" w:hAnsi="Arial Narrow"/>
          <w:b/>
          <w:sz w:val="24"/>
          <w:szCs w:val="24"/>
        </w:rPr>
        <w:t>Значение показателя 1.2.2. Оценка силы конкуренции: высокая, умеренная, слабая, отсутствует (% от числа опрошенных).</w:t>
      </w:r>
    </w:p>
    <w:p w:rsidR="00A64028" w:rsidRPr="009B4A85" w:rsidRDefault="00A64028" w:rsidP="00103148">
      <w:pPr>
        <w:spacing w:after="0" w:line="360" w:lineRule="auto"/>
        <w:ind w:firstLine="284"/>
        <w:jc w:val="both"/>
        <w:rPr>
          <w:rFonts w:ascii="Arial Narrow" w:hAnsi="Arial Narrow"/>
          <w:sz w:val="24"/>
          <w:szCs w:val="24"/>
        </w:rPr>
      </w:pPr>
      <w:r w:rsidRPr="009B4A85">
        <w:rPr>
          <w:rFonts w:ascii="Arial Narrow" w:hAnsi="Arial Narrow"/>
          <w:sz w:val="24"/>
          <w:szCs w:val="24"/>
        </w:rPr>
        <w:t>Как высокую оценили конкуренцию на своем рынке 60,9 % представителей субъектов предпринимательства. Отсутствие конкуренции отметили 5,7 %. Наиболее высоко оценили конкуренцию на рынке услуг по сбору, сортировке и переработке твердых коммунальных (бытовых) отходов (80 % считают высокой), а наиболее низко – на рынке услуг психолого-педагогического сопровождения детей с ограниченными возможностями здоровья (32 % считают, что конкуренция отсутствует, и 32 %, напротив, считают конкуренцию высокой). Наименьшая доля считающих конкуренцию высокой зафиксирована среди представителей рынков услуг в сфере культуры (28 %), услуг социального обслуживания населения (32 %) и развития, производства, переработки и хранения сельскохозяйственной продукции (35 %). На остальных рынках наличие высокой конкуренции отмечали от 45,7 до 76,7 % опрошенных.</w:t>
      </w:r>
    </w:p>
    <w:p w:rsidR="00A64028" w:rsidRPr="009B4A85" w:rsidRDefault="00A64028" w:rsidP="00103148">
      <w:pPr>
        <w:spacing w:after="0"/>
        <w:jc w:val="both"/>
        <w:rPr>
          <w:rFonts w:ascii="Arial Narrow" w:eastAsia="Calibri" w:hAnsi="Arial Narrow"/>
          <w:sz w:val="24"/>
          <w:szCs w:val="24"/>
        </w:rPr>
      </w:pPr>
    </w:p>
    <w:p w:rsidR="00A64028" w:rsidRPr="009B4A85" w:rsidRDefault="00A64028" w:rsidP="00103148">
      <w:pPr>
        <w:spacing w:after="0"/>
        <w:rPr>
          <w:rFonts w:ascii="Arial Narrow" w:hAnsi="Arial Narrow"/>
          <w:sz w:val="24"/>
          <w:szCs w:val="24"/>
        </w:rPr>
      </w:pPr>
      <w:r>
        <w:rPr>
          <w:rFonts w:ascii="Arial Narrow" w:eastAsia="Calibri" w:hAnsi="Arial Narrow"/>
          <w:sz w:val="24"/>
          <w:szCs w:val="24"/>
        </w:rPr>
        <w:t xml:space="preserve">Таблица </w:t>
      </w:r>
      <w:r w:rsidR="00262F71">
        <w:rPr>
          <w:rFonts w:ascii="Arial Narrow" w:eastAsia="Calibri" w:hAnsi="Arial Narrow"/>
          <w:sz w:val="24"/>
          <w:szCs w:val="24"/>
        </w:rPr>
        <w:t>7.16.</w:t>
      </w:r>
      <w:r w:rsidRPr="009B4A85">
        <w:rPr>
          <w:rFonts w:ascii="Arial Narrow" w:eastAsia="Calibri" w:hAnsi="Arial Narrow"/>
          <w:sz w:val="24"/>
          <w:szCs w:val="24"/>
        </w:rPr>
        <w:t xml:space="preserve"> – </w:t>
      </w:r>
      <w:r w:rsidRPr="009B4A85">
        <w:rPr>
          <w:rFonts w:ascii="Arial Narrow" w:hAnsi="Arial Narrow"/>
          <w:b/>
          <w:sz w:val="24"/>
          <w:szCs w:val="24"/>
        </w:rPr>
        <w:t>Значение показателя 1.2.2. Оценка силы конкуренции: высокая, умеренная, слабая, отсутствует (% от числа опрошенных)</w:t>
      </w:r>
    </w:p>
    <w:tbl>
      <w:tblPr>
        <w:tblW w:w="5048" w:type="pct"/>
        <w:tblInd w:w="-176" w:type="dxa"/>
        <w:tblLayout w:type="fixed"/>
        <w:tblLook w:val="04A0"/>
      </w:tblPr>
      <w:tblGrid>
        <w:gridCol w:w="709"/>
        <w:gridCol w:w="776"/>
        <w:gridCol w:w="595"/>
        <w:gridCol w:w="595"/>
        <w:gridCol w:w="591"/>
        <w:gridCol w:w="591"/>
        <w:gridCol w:w="591"/>
        <w:gridCol w:w="591"/>
        <w:gridCol w:w="591"/>
        <w:gridCol w:w="591"/>
        <w:gridCol w:w="591"/>
        <w:gridCol w:w="856"/>
        <w:gridCol w:w="531"/>
        <w:gridCol w:w="591"/>
        <w:gridCol w:w="591"/>
        <w:gridCol w:w="567"/>
      </w:tblGrid>
      <w:tr w:rsidR="00A64028" w:rsidRPr="00A45259" w:rsidTr="00ED3C71">
        <w:trPr>
          <w:cantSplit/>
          <w:trHeight w:val="2911"/>
          <w:tblHeader/>
        </w:trPr>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rsidR="00A64028" w:rsidRPr="00E82802" w:rsidRDefault="00A64028" w:rsidP="00E82802">
            <w:pPr>
              <w:spacing w:after="0" w:line="240" w:lineRule="auto"/>
              <w:ind w:left="-142" w:right="-97"/>
              <w:jc w:val="center"/>
              <w:rPr>
                <w:rFonts w:ascii="Arial Narrow" w:hAnsi="Arial Narrow" w:cs="Arial"/>
                <w:sz w:val="18"/>
                <w:szCs w:val="20"/>
              </w:rPr>
            </w:pPr>
            <w:r w:rsidRPr="00E82802">
              <w:rPr>
                <w:rFonts w:ascii="Arial Narrow" w:hAnsi="Arial Narrow" w:cs="Arial"/>
                <w:sz w:val="18"/>
                <w:szCs w:val="20"/>
              </w:rPr>
              <w:t>№</w:t>
            </w:r>
          </w:p>
        </w:tc>
        <w:tc>
          <w:tcPr>
            <w:tcW w:w="390" w:type="pct"/>
            <w:tcBorders>
              <w:top w:val="single" w:sz="4" w:space="0" w:color="auto"/>
              <w:left w:val="nil"/>
              <w:bottom w:val="single" w:sz="4" w:space="0" w:color="auto"/>
              <w:right w:val="single" w:sz="4" w:space="0" w:color="auto"/>
            </w:tcBorders>
            <w:shd w:val="clear" w:color="auto" w:fill="auto"/>
            <w:vAlign w:val="center"/>
          </w:tcPr>
          <w:p w:rsidR="00A64028" w:rsidRPr="00E82802" w:rsidRDefault="00A64028" w:rsidP="00E82802">
            <w:pPr>
              <w:spacing w:after="0" w:line="240" w:lineRule="auto"/>
              <w:jc w:val="center"/>
              <w:rPr>
                <w:rFonts w:ascii="Arial Narrow" w:hAnsi="Arial Narrow" w:cs="Arial"/>
                <w:sz w:val="18"/>
                <w:szCs w:val="20"/>
              </w:rPr>
            </w:pPr>
            <w:r w:rsidRPr="00E82802">
              <w:rPr>
                <w:rFonts w:ascii="Arial Narrow" w:hAnsi="Arial Narrow" w:cs="Arial"/>
                <w:sz w:val="18"/>
                <w:szCs w:val="20"/>
              </w:rPr>
              <w:t>Наименование показателя, единица измерения</w:t>
            </w:r>
          </w:p>
        </w:tc>
        <w:tc>
          <w:tcPr>
            <w:tcW w:w="299" w:type="pct"/>
            <w:tcBorders>
              <w:top w:val="single" w:sz="4" w:space="0" w:color="auto"/>
              <w:left w:val="nil"/>
              <w:bottom w:val="single" w:sz="4" w:space="0" w:color="auto"/>
              <w:right w:val="single" w:sz="4" w:space="0" w:color="auto"/>
            </w:tcBorders>
            <w:shd w:val="clear" w:color="auto" w:fill="auto"/>
            <w:noWrap/>
            <w:textDirection w:val="btLr"/>
            <w:vAlign w:val="center"/>
          </w:tcPr>
          <w:p w:rsidR="00A64028" w:rsidRPr="00E82802" w:rsidRDefault="00A64028" w:rsidP="00E82802">
            <w:pPr>
              <w:spacing w:after="0" w:line="240" w:lineRule="auto"/>
              <w:ind w:left="113" w:right="113"/>
              <w:jc w:val="center"/>
              <w:rPr>
                <w:rFonts w:ascii="Arial Narrow" w:hAnsi="Arial Narrow" w:cs="Arial"/>
                <w:sz w:val="18"/>
                <w:szCs w:val="20"/>
              </w:rPr>
            </w:pPr>
            <w:r w:rsidRPr="00E82802">
              <w:rPr>
                <w:rFonts w:ascii="Arial Narrow" w:hAnsi="Arial Narrow" w:cs="Arial"/>
                <w:sz w:val="18"/>
                <w:szCs w:val="20"/>
              </w:rPr>
              <w:t>Общий по Новосибирской области</w:t>
            </w:r>
          </w:p>
        </w:tc>
        <w:tc>
          <w:tcPr>
            <w:tcW w:w="299" w:type="pct"/>
            <w:tcBorders>
              <w:top w:val="single" w:sz="4" w:space="0" w:color="auto"/>
              <w:left w:val="nil"/>
              <w:bottom w:val="single" w:sz="4" w:space="0" w:color="auto"/>
              <w:right w:val="single" w:sz="4" w:space="0" w:color="auto"/>
            </w:tcBorders>
            <w:shd w:val="clear" w:color="000000" w:fill="FFFFFF"/>
            <w:textDirection w:val="btLr"/>
            <w:vAlign w:val="center"/>
          </w:tcPr>
          <w:p w:rsidR="00A64028" w:rsidRPr="00E82802" w:rsidRDefault="00A64028" w:rsidP="00E82802">
            <w:pPr>
              <w:spacing w:after="0" w:line="240" w:lineRule="auto"/>
              <w:jc w:val="center"/>
              <w:rPr>
                <w:rFonts w:ascii="Arial Narrow" w:hAnsi="Arial Narrow" w:cs="Arial"/>
                <w:sz w:val="18"/>
                <w:szCs w:val="20"/>
              </w:rPr>
            </w:pPr>
            <w:r w:rsidRPr="00E82802">
              <w:rPr>
                <w:rFonts w:ascii="Arial Narrow" w:hAnsi="Arial Narrow" w:cs="Arial"/>
                <w:sz w:val="18"/>
                <w:szCs w:val="20"/>
              </w:rPr>
              <w:t>Рынок услуг дошкольного образования (коммерческие детские сады и учреждения пребывания неполного дня)</w:t>
            </w:r>
          </w:p>
        </w:tc>
        <w:tc>
          <w:tcPr>
            <w:tcW w:w="297" w:type="pct"/>
            <w:tcBorders>
              <w:top w:val="single" w:sz="4" w:space="0" w:color="auto"/>
              <w:left w:val="nil"/>
              <w:bottom w:val="single" w:sz="4" w:space="0" w:color="auto"/>
              <w:right w:val="single" w:sz="4" w:space="0" w:color="auto"/>
            </w:tcBorders>
            <w:shd w:val="clear" w:color="auto" w:fill="auto"/>
            <w:noWrap/>
            <w:textDirection w:val="btLr"/>
            <w:vAlign w:val="center"/>
          </w:tcPr>
          <w:p w:rsidR="00A64028" w:rsidRPr="00E82802" w:rsidRDefault="00A64028" w:rsidP="00E82802">
            <w:pPr>
              <w:spacing w:after="0" w:line="240" w:lineRule="auto"/>
              <w:jc w:val="center"/>
              <w:rPr>
                <w:rFonts w:ascii="Arial Narrow" w:hAnsi="Arial Narrow" w:cs="Arial"/>
                <w:sz w:val="18"/>
                <w:szCs w:val="20"/>
              </w:rPr>
            </w:pPr>
            <w:r w:rsidRPr="00E82802">
              <w:rPr>
                <w:rFonts w:ascii="Arial Narrow" w:hAnsi="Arial Narrow" w:cs="Arial"/>
                <w:sz w:val="18"/>
                <w:szCs w:val="20"/>
              </w:rPr>
              <w:t>Рынок услуг детского отдыха и оздоровления</w:t>
            </w:r>
          </w:p>
        </w:tc>
        <w:tc>
          <w:tcPr>
            <w:tcW w:w="297" w:type="pct"/>
            <w:tcBorders>
              <w:top w:val="single" w:sz="4" w:space="0" w:color="auto"/>
              <w:left w:val="nil"/>
              <w:bottom w:val="single" w:sz="4" w:space="0" w:color="auto"/>
              <w:right w:val="single" w:sz="4" w:space="0" w:color="auto"/>
            </w:tcBorders>
            <w:shd w:val="clear" w:color="auto" w:fill="auto"/>
            <w:noWrap/>
            <w:textDirection w:val="btLr"/>
            <w:vAlign w:val="center"/>
          </w:tcPr>
          <w:p w:rsidR="00A64028" w:rsidRPr="00E82802" w:rsidRDefault="00A64028" w:rsidP="00E82802">
            <w:pPr>
              <w:spacing w:after="0" w:line="240" w:lineRule="auto"/>
              <w:jc w:val="center"/>
              <w:rPr>
                <w:rFonts w:ascii="Arial Narrow" w:hAnsi="Arial Narrow" w:cs="Arial"/>
                <w:sz w:val="18"/>
                <w:szCs w:val="20"/>
              </w:rPr>
            </w:pPr>
            <w:r w:rsidRPr="00E82802">
              <w:rPr>
                <w:rFonts w:ascii="Arial Narrow" w:hAnsi="Arial Narrow" w:cs="Arial"/>
                <w:sz w:val="18"/>
                <w:szCs w:val="20"/>
              </w:rPr>
              <w:t>Рынок дополнительного образования детей</w:t>
            </w:r>
          </w:p>
        </w:tc>
        <w:tc>
          <w:tcPr>
            <w:tcW w:w="297" w:type="pct"/>
            <w:tcBorders>
              <w:top w:val="single" w:sz="4" w:space="0" w:color="auto"/>
              <w:left w:val="nil"/>
              <w:bottom w:val="single" w:sz="4" w:space="0" w:color="auto"/>
              <w:right w:val="single" w:sz="4" w:space="0" w:color="auto"/>
            </w:tcBorders>
            <w:shd w:val="clear" w:color="auto" w:fill="auto"/>
            <w:noWrap/>
            <w:textDirection w:val="btLr"/>
            <w:vAlign w:val="center"/>
          </w:tcPr>
          <w:p w:rsidR="00A64028" w:rsidRPr="00E82802" w:rsidRDefault="00A64028" w:rsidP="00E82802">
            <w:pPr>
              <w:spacing w:after="0" w:line="240" w:lineRule="auto"/>
              <w:jc w:val="center"/>
              <w:rPr>
                <w:rFonts w:ascii="Arial Narrow" w:hAnsi="Arial Narrow" w:cs="Arial"/>
                <w:sz w:val="18"/>
                <w:szCs w:val="20"/>
              </w:rPr>
            </w:pPr>
            <w:r w:rsidRPr="00E82802">
              <w:rPr>
                <w:rFonts w:ascii="Arial Narrow" w:hAnsi="Arial Narrow" w:cs="Arial"/>
                <w:sz w:val="18"/>
                <w:szCs w:val="20"/>
              </w:rPr>
              <w:t>Рынок медицинских услуг</w:t>
            </w:r>
          </w:p>
        </w:tc>
        <w:tc>
          <w:tcPr>
            <w:tcW w:w="297" w:type="pct"/>
            <w:tcBorders>
              <w:top w:val="single" w:sz="4" w:space="0" w:color="auto"/>
              <w:left w:val="nil"/>
              <w:bottom w:val="single" w:sz="4" w:space="0" w:color="auto"/>
              <w:right w:val="single" w:sz="4" w:space="0" w:color="auto"/>
            </w:tcBorders>
            <w:shd w:val="clear" w:color="auto" w:fill="auto"/>
            <w:noWrap/>
            <w:textDirection w:val="btLr"/>
            <w:vAlign w:val="center"/>
          </w:tcPr>
          <w:p w:rsidR="00A64028" w:rsidRPr="00E82802" w:rsidRDefault="00A64028" w:rsidP="00E82802">
            <w:pPr>
              <w:spacing w:after="0" w:line="240" w:lineRule="auto"/>
              <w:jc w:val="center"/>
              <w:rPr>
                <w:rFonts w:ascii="Arial Narrow" w:hAnsi="Arial Narrow" w:cs="Arial"/>
                <w:sz w:val="18"/>
                <w:szCs w:val="20"/>
              </w:rPr>
            </w:pPr>
            <w:r w:rsidRPr="00E82802">
              <w:rPr>
                <w:rFonts w:ascii="Arial Narrow" w:hAnsi="Arial Narrow" w:cs="Arial"/>
                <w:sz w:val="18"/>
                <w:szCs w:val="20"/>
              </w:rPr>
              <w:t>Рынок услуг психолого-педагогического сопровождения детей с ограниченными возможностями здоровья</w:t>
            </w:r>
          </w:p>
        </w:tc>
        <w:tc>
          <w:tcPr>
            <w:tcW w:w="297" w:type="pct"/>
            <w:tcBorders>
              <w:top w:val="single" w:sz="4" w:space="0" w:color="auto"/>
              <w:left w:val="nil"/>
              <w:bottom w:val="single" w:sz="4" w:space="0" w:color="auto"/>
              <w:right w:val="single" w:sz="4" w:space="0" w:color="auto"/>
            </w:tcBorders>
            <w:shd w:val="clear" w:color="auto" w:fill="auto"/>
            <w:noWrap/>
            <w:textDirection w:val="btLr"/>
            <w:vAlign w:val="center"/>
          </w:tcPr>
          <w:p w:rsidR="00A64028" w:rsidRPr="00E82802" w:rsidRDefault="00A64028" w:rsidP="00E82802">
            <w:pPr>
              <w:spacing w:after="0" w:line="240" w:lineRule="auto"/>
              <w:jc w:val="center"/>
              <w:rPr>
                <w:rFonts w:ascii="Arial Narrow" w:hAnsi="Arial Narrow" w:cs="Arial"/>
                <w:sz w:val="18"/>
                <w:szCs w:val="20"/>
              </w:rPr>
            </w:pPr>
            <w:r w:rsidRPr="00E82802">
              <w:rPr>
                <w:rFonts w:ascii="Arial Narrow" w:hAnsi="Arial Narrow" w:cs="Arial"/>
                <w:sz w:val="18"/>
                <w:szCs w:val="20"/>
              </w:rPr>
              <w:t>Рынок услуг в сфере культуры</w:t>
            </w:r>
          </w:p>
        </w:tc>
        <w:tc>
          <w:tcPr>
            <w:tcW w:w="297" w:type="pct"/>
            <w:tcBorders>
              <w:top w:val="single" w:sz="4" w:space="0" w:color="auto"/>
              <w:left w:val="nil"/>
              <w:bottom w:val="single" w:sz="4" w:space="0" w:color="auto"/>
              <w:right w:val="single" w:sz="4" w:space="0" w:color="auto"/>
            </w:tcBorders>
            <w:shd w:val="clear" w:color="auto" w:fill="auto"/>
            <w:noWrap/>
            <w:textDirection w:val="btLr"/>
            <w:vAlign w:val="center"/>
          </w:tcPr>
          <w:p w:rsidR="00A64028" w:rsidRPr="00E82802" w:rsidRDefault="00A64028" w:rsidP="00E82802">
            <w:pPr>
              <w:spacing w:after="0" w:line="240" w:lineRule="auto"/>
              <w:jc w:val="center"/>
              <w:rPr>
                <w:rFonts w:ascii="Arial Narrow" w:hAnsi="Arial Narrow" w:cs="Arial"/>
                <w:sz w:val="18"/>
                <w:szCs w:val="20"/>
              </w:rPr>
            </w:pPr>
            <w:r w:rsidRPr="00E82802">
              <w:rPr>
                <w:rFonts w:ascii="Arial Narrow" w:hAnsi="Arial Narrow" w:cs="Arial"/>
                <w:sz w:val="18"/>
                <w:szCs w:val="20"/>
              </w:rPr>
              <w:t>Рынок услуг ЖКХ (управляющие компании)</w:t>
            </w:r>
          </w:p>
        </w:tc>
        <w:tc>
          <w:tcPr>
            <w:tcW w:w="297" w:type="pct"/>
            <w:tcBorders>
              <w:top w:val="single" w:sz="4" w:space="0" w:color="auto"/>
              <w:left w:val="nil"/>
              <w:bottom w:val="single" w:sz="4" w:space="0" w:color="auto"/>
              <w:right w:val="single" w:sz="4" w:space="0" w:color="auto"/>
            </w:tcBorders>
            <w:shd w:val="clear" w:color="auto" w:fill="auto"/>
            <w:noWrap/>
            <w:textDirection w:val="btLr"/>
            <w:vAlign w:val="center"/>
          </w:tcPr>
          <w:p w:rsidR="00A64028" w:rsidRPr="00E82802" w:rsidRDefault="00A64028" w:rsidP="00E82802">
            <w:pPr>
              <w:spacing w:after="0" w:line="240" w:lineRule="auto"/>
              <w:jc w:val="center"/>
              <w:rPr>
                <w:rFonts w:ascii="Arial Narrow" w:hAnsi="Arial Narrow" w:cs="Arial"/>
                <w:sz w:val="18"/>
                <w:szCs w:val="20"/>
              </w:rPr>
            </w:pPr>
            <w:r w:rsidRPr="00E82802">
              <w:rPr>
                <w:rFonts w:ascii="Arial Narrow" w:hAnsi="Arial Narrow" w:cs="Arial"/>
                <w:sz w:val="18"/>
                <w:szCs w:val="20"/>
              </w:rPr>
              <w:t>Розничная торговля (продажа продуктов питания и непродовольственных товаров)</w:t>
            </w:r>
          </w:p>
        </w:tc>
        <w:tc>
          <w:tcPr>
            <w:tcW w:w="430" w:type="pct"/>
            <w:tcBorders>
              <w:top w:val="single" w:sz="4" w:space="0" w:color="auto"/>
              <w:left w:val="nil"/>
              <w:bottom w:val="single" w:sz="4" w:space="0" w:color="auto"/>
              <w:right w:val="single" w:sz="4" w:space="0" w:color="auto"/>
            </w:tcBorders>
            <w:shd w:val="clear" w:color="auto" w:fill="auto"/>
            <w:noWrap/>
            <w:textDirection w:val="btLr"/>
            <w:vAlign w:val="center"/>
          </w:tcPr>
          <w:p w:rsidR="00A64028" w:rsidRPr="00E82802" w:rsidRDefault="00A64028" w:rsidP="00E82802">
            <w:pPr>
              <w:spacing w:after="0" w:line="240" w:lineRule="auto"/>
              <w:jc w:val="center"/>
              <w:rPr>
                <w:rFonts w:ascii="Arial Narrow" w:hAnsi="Arial Narrow" w:cs="Arial"/>
                <w:sz w:val="18"/>
                <w:szCs w:val="20"/>
              </w:rPr>
            </w:pPr>
            <w:r w:rsidRPr="00E82802">
              <w:rPr>
                <w:rFonts w:ascii="Arial Narrow" w:hAnsi="Arial Narrow" w:cs="Arial"/>
                <w:sz w:val="18"/>
                <w:szCs w:val="20"/>
              </w:rPr>
              <w:t>Рынок услуг перевозок пассажиров наземным транспортом (автобусные перевозки и такси)</w:t>
            </w:r>
          </w:p>
        </w:tc>
        <w:tc>
          <w:tcPr>
            <w:tcW w:w="267" w:type="pct"/>
            <w:tcBorders>
              <w:top w:val="single" w:sz="4" w:space="0" w:color="auto"/>
              <w:left w:val="nil"/>
              <w:bottom w:val="single" w:sz="4" w:space="0" w:color="auto"/>
              <w:right w:val="single" w:sz="4" w:space="0" w:color="auto"/>
            </w:tcBorders>
            <w:shd w:val="clear" w:color="auto" w:fill="auto"/>
            <w:noWrap/>
            <w:textDirection w:val="btLr"/>
            <w:vAlign w:val="center"/>
          </w:tcPr>
          <w:p w:rsidR="00A64028" w:rsidRPr="00E82802" w:rsidRDefault="00A64028" w:rsidP="00E82802">
            <w:pPr>
              <w:spacing w:after="0" w:line="240" w:lineRule="auto"/>
              <w:jc w:val="center"/>
              <w:rPr>
                <w:rFonts w:ascii="Arial Narrow" w:hAnsi="Arial Narrow" w:cs="Arial"/>
                <w:sz w:val="18"/>
                <w:szCs w:val="20"/>
              </w:rPr>
            </w:pPr>
            <w:r w:rsidRPr="00E82802">
              <w:rPr>
                <w:rFonts w:ascii="Arial Narrow" w:hAnsi="Arial Narrow" w:cs="Arial"/>
                <w:sz w:val="18"/>
                <w:szCs w:val="20"/>
              </w:rPr>
              <w:t>Рынок услуг связи</w:t>
            </w:r>
          </w:p>
        </w:tc>
        <w:tc>
          <w:tcPr>
            <w:tcW w:w="297" w:type="pct"/>
            <w:tcBorders>
              <w:top w:val="single" w:sz="4" w:space="0" w:color="auto"/>
              <w:left w:val="nil"/>
              <w:bottom w:val="single" w:sz="4" w:space="0" w:color="auto"/>
              <w:right w:val="single" w:sz="4" w:space="0" w:color="auto"/>
            </w:tcBorders>
            <w:shd w:val="clear" w:color="auto" w:fill="auto"/>
            <w:noWrap/>
            <w:textDirection w:val="btLr"/>
            <w:vAlign w:val="center"/>
          </w:tcPr>
          <w:p w:rsidR="00A64028" w:rsidRPr="00E82802" w:rsidRDefault="00A64028" w:rsidP="00E82802">
            <w:pPr>
              <w:spacing w:after="0" w:line="240" w:lineRule="auto"/>
              <w:jc w:val="center"/>
              <w:rPr>
                <w:rFonts w:ascii="Arial Narrow" w:hAnsi="Arial Narrow" w:cs="Arial"/>
                <w:sz w:val="18"/>
                <w:szCs w:val="20"/>
              </w:rPr>
            </w:pPr>
            <w:r w:rsidRPr="00E82802">
              <w:rPr>
                <w:rFonts w:ascii="Arial Narrow" w:hAnsi="Arial Narrow" w:cs="Arial"/>
                <w:sz w:val="18"/>
                <w:szCs w:val="20"/>
              </w:rPr>
              <w:t>Рынок услуг социального обслуживания населения</w:t>
            </w:r>
          </w:p>
        </w:tc>
        <w:tc>
          <w:tcPr>
            <w:tcW w:w="297" w:type="pct"/>
            <w:tcBorders>
              <w:top w:val="single" w:sz="4" w:space="0" w:color="auto"/>
              <w:left w:val="nil"/>
              <w:bottom w:val="single" w:sz="4" w:space="0" w:color="auto"/>
              <w:right w:val="single" w:sz="4" w:space="0" w:color="auto"/>
            </w:tcBorders>
            <w:shd w:val="clear" w:color="auto" w:fill="auto"/>
            <w:noWrap/>
            <w:textDirection w:val="btLr"/>
            <w:vAlign w:val="center"/>
          </w:tcPr>
          <w:p w:rsidR="00A64028" w:rsidRPr="00E82802" w:rsidRDefault="00A64028" w:rsidP="00E82802">
            <w:pPr>
              <w:spacing w:after="0" w:line="240" w:lineRule="auto"/>
              <w:jc w:val="center"/>
              <w:rPr>
                <w:rFonts w:ascii="Arial Narrow" w:hAnsi="Arial Narrow" w:cs="Arial"/>
                <w:sz w:val="18"/>
                <w:szCs w:val="20"/>
              </w:rPr>
            </w:pPr>
            <w:r w:rsidRPr="00E82802">
              <w:rPr>
                <w:rFonts w:ascii="Arial Narrow" w:hAnsi="Arial Narrow" w:cs="Arial"/>
                <w:sz w:val="18"/>
                <w:szCs w:val="20"/>
              </w:rPr>
              <w:t>Рынок развития, производства, переработки и хранения сельскохозяйственной продукции</w:t>
            </w:r>
          </w:p>
        </w:tc>
        <w:tc>
          <w:tcPr>
            <w:tcW w:w="285" w:type="pct"/>
            <w:tcBorders>
              <w:top w:val="single" w:sz="4" w:space="0" w:color="auto"/>
              <w:left w:val="nil"/>
              <w:bottom w:val="single" w:sz="4" w:space="0" w:color="auto"/>
              <w:right w:val="single" w:sz="4" w:space="0" w:color="auto"/>
            </w:tcBorders>
            <w:shd w:val="clear" w:color="auto" w:fill="auto"/>
            <w:noWrap/>
            <w:textDirection w:val="btLr"/>
            <w:vAlign w:val="center"/>
          </w:tcPr>
          <w:p w:rsidR="00A64028" w:rsidRPr="00E82802" w:rsidRDefault="00A64028" w:rsidP="00E82802">
            <w:pPr>
              <w:spacing w:after="0" w:line="240" w:lineRule="auto"/>
              <w:jc w:val="center"/>
              <w:rPr>
                <w:rFonts w:ascii="Arial Narrow" w:hAnsi="Arial Narrow" w:cs="Arial"/>
                <w:sz w:val="18"/>
                <w:szCs w:val="20"/>
              </w:rPr>
            </w:pPr>
            <w:r w:rsidRPr="00E82802">
              <w:rPr>
                <w:rFonts w:ascii="Arial Narrow" w:hAnsi="Arial Narrow" w:cs="Arial"/>
                <w:sz w:val="18"/>
                <w:szCs w:val="20"/>
              </w:rPr>
              <w:t>Рынок услуг по сбору, сортировке и переработке твердых коммунальных (бытовых) отходов</w:t>
            </w:r>
          </w:p>
        </w:tc>
      </w:tr>
      <w:tr w:rsidR="00A64028" w:rsidRPr="00A45259" w:rsidTr="00ED3C71">
        <w:trPr>
          <w:trHeight w:val="276"/>
        </w:trPr>
        <w:tc>
          <w:tcPr>
            <w:tcW w:w="357" w:type="pct"/>
            <w:tcBorders>
              <w:top w:val="nil"/>
              <w:left w:val="single" w:sz="4" w:space="0" w:color="auto"/>
              <w:bottom w:val="single" w:sz="4" w:space="0" w:color="auto"/>
              <w:right w:val="single" w:sz="4" w:space="0" w:color="auto"/>
            </w:tcBorders>
            <w:shd w:val="clear" w:color="auto" w:fill="auto"/>
            <w:vAlign w:val="center"/>
            <w:hideMark/>
          </w:tcPr>
          <w:p w:rsidR="00A64028" w:rsidRPr="00A45259" w:rsidRDefault="00E82802" w:rsidP="00E82802">
            <w:pPr>
              <w:spacing w:after="0"/>
              <w:ind w:left="-108" w:right="-219"/>
              <w:jc w:val="both"/>
              <w:rPr>
                <w:rFonts w:ascii="Arial Narrow" w:hAnsi="Arial Narrow"/>
                <w:sz w:val="20"/>
                <w:szCs w:val="20"/>
              </w:rPr>
            </w:pPr>
            <w:r>
              <w:rPr>
                <w:rFonts w:ascii="Arial Narrow" w:hAnsi="Arial Narrow"/>
                <w:sz w:val="18"/>
                <w:szCs w:val="20"/>
              </w:rPr>
              <w:t xml:space="preserve"> </w:t>
            </w:r>
            <w:r w:rsidR="00A64028" w:rsidRPr="00E82802">
              <w:rPr>
                <w:rFonts w:ascii="Arial Narrow" w:hAnsi="Arial Narrow"/>
                <w:sz w:val="18"/>
                <w:szCs w:val="20"/>
              </w:rPr>
              <w:t>1.2.2.14</w:t>
            </w:r>
          </w:p>
        </w:tc>
        <w:tc>
          <w:tcPr>
            <w:tcW w:w="4643" w:type="pct"/>
            <w:gridSpan w:val="15"/>
            <w:tcBorders>
              <w:top w:val="nil"/>
              <w:left w:val="nil"/>
              <w:bottom w:val="single" w:sz="4" w:space="0" w:color="auto"/>
              <w:right w:val="single" w:sz="4" w:space="0" w:color="auto"/>
            </w:tcBorders>
            <w:shd w:val="clear" w:color="auto" w:fill="auto"/>
            <w:noWrap/>
            <w:vAlign w:val="center"/>
            <w:hideMark/>
          </w:tcPr>
          <w:p w:rsidR="00A64028" w:rsidRPr="00A45259" w:rsidRDefault="00A64028" w:rsidP="00E82802">
            <w:pPr>
              <w:spacing w:after="0"/>
              <w:ind w:right="-151"/>
              <w:rPr>
                <w:rFonts w:ascii="Arial Narrow" w:hAnsi="Arial Narrow"/>
                <w:sz w:val="20"/>
                <w:szCs w:val="20"/>
              </w:rPr>
            </w:pPr>
            <w:r w:rsidRPr="00A45259">
              <w:rPr>
                <w:rFonts w:ascii="Arial Narrow" w:hAnsi="Arial Narrow"/>
                <w:sz w:val="20"/>
                <w:szCs w:val="20"/>
              </w:rPr>
              <w:t>Оценка ситуации на своем рынке</w:t>
            </w:r>
          </w:p>
        </w:tc>
      </w:tr>
      <w:tr w:rsidR="00A64028" w:rsidRPr="00A45259" w:rsidTr="00ED3C71">
        <w:trPr>
          <w:trHeight w:val="270"/>
        </w:trPr>
        <w:tc>
          <w:tcPr>
            <w:tcW w:w="357" w:type="pct"/>
            <w:tcBorders>
              <w:top w:val="nil"/>
              <w:left w:val="single" w:sz="4" w:space="0" w:color="auto"/>
              <w:bottom w:val="single" w:sz="4" w:space="0" w:color="auto"/>
              <w:right w:val="single" w:sz="4" w:space="0" w:color="auto"/>
            </w:tcBorders>
            <w:shd w:val="clear" w:color="auto" w:fill="auto"/>
            <w:vAlign w:val="center"/>
            <w:hideMark/>
          </w:tcPr>
          <w:p w:rsidR="00A64028" w:rsidRPr="00A45259" w:rsidRDefault="00A64028" w:rsidP="00103148">
            <w:pPr>
              <w:spacing w:after="0"/>
              <w:ind w:left="-142" w:right="-97"/>
              <w:jc w:val="both"/>
              <w:rPr>
                <w:rFonts w:ascii="Arial Narrow" w:hAnsi="Arial Narrow"/>
                <w:sz w:val="20"/>
                <w:szCs w:val="20"/>
              </w:rPr>
            </w:pPr>
            <w:r w:rsidRPr="00A45259">
              <w:rPr>
                <w:rFonts w:ascii="Arial Narrow" w:hAnsi="Arial Narrow"/>
                <w:sz w:val="20"/>
                <w:szCs w:val="20"/>
              </w:rPr>
              <w:t> </w:t>
            </w:r>
          </w:p>
        </w:tc>
        <w:tc>
          <w:tcPr>
            <w:tcW w:w="390" w:type="pct"/>
            <w:tcBorders>
              <w:top w:val="nil"/>
              <w:left w:val="nil"/>
              <w:bottom w:val="single" w:sz="4" w:space="0" w:color="auto"/>
              <w:right w:val="single" w:sz="4" w:space="0" w:color="auto"/>
            </w:tcBorders>
            <w:shd w:val="clear" w:color="auto" w:fill="auto"/>
            <w:vAlign w:val="center"/>
            <w:hideMark/>
          </w:tcPr>
          <w:p w:rsidR="00A64028" w:rsidRPr="00A45259" w:rsidRDefault="00A64028" w:rsidP="00E82802">
            <w:pPr>
              <w:spacing w:after="0"/>
              <w:ind w:right="-104"/>
              <w:rPr>
                <w:rFonts w:ascii="Arial Narrow" w:hAnsi="Arial Narrow"/>
                <w:sz w:val="20"/>
                <w:szCs w:val="20"/>
              </w:rPr>
            </w:pPr>
            <w:r w:rsidRPr="00A45259">
              <w:rPr>
                <w:rFonts w:ascii="Arial Narrow" w:hAnsi="Arial Narrow"/>
                <w:sz w:val="20"/>
                <w:szCs w:val="20"/>
              </w:rPr>
              <w:t>Высокая, %</w:t>
            </w:r>
          </w:p>
        </w:tc>
        <w:tc>
          <w:tcPr>
            <w:tcW w:w="299" w:type="pct"/>
            <w:tcBorders>
              <w:top w:val="nil"/>
              <w:left w:val="nil"/>
              <w:bottom w:val="single" w:sz="4" w:space="0" w:color="auto"/>
              <w:right w:val="single" w:sz="4" w:space="0" w:color="auto"/>
            </w:tcBorders>
            <w:shd w:val="clear" w:color="auto" w:fill="auto"/>
            <w:noWrap/>
            <w:vAlign w:val="center"/>
            <w:hideMark/>
          </w:tcPr>
          <w:p w:rsidR="00A64028" w:rsidRPr="00A45259" w:rsidRDefault="00A64028" w:rsidP="00103148">
            <w:pPr>
              <w:spacing w:after="0"/>
              <w:ind w:left="-76" w:right="-151"/>
              <w:jc w:val="center"/>
              <w:rPr>
                <w:rFonts w:ascii="Arial Narrow" w:hAnsi="Arial Narrow"/>
                <w:sz w:val="20"/>
                <w:szCs w:val="20"/>
              </w:rPr>
            </w:pPr>
            <w:r w:rsidRPr="00A45259">
              <w:rPr>
                <w:rFonts w:ascii="Arial Narrow" w:hAnsi="Arial Narrow"/>
                <w:sz w:val="20"/>
                <w:szCs w:val="20"/>
              </w:rPr>
              <w:t>60,9%</w:t>
            </w:r>
          </w:p>
        </w:tc>
        <w:tc>
          <w:tcPr>
            <w:tcW w:w="299" w:type="pct"/>
            <w:tcBorders>
              <w:top w:val="nil"/>
              <w:left w:val="nil"/>
              <w:bottom w:val="single" w:sz="4" w:space="0" w:color="auto"/>
              <w:right w:val="single" w:sz="4" w:space="0" w:color="auto"/>
            </w:tcBorders>
            <w:shd w:val="clear" w:color="000000" w:fill="FFFFFF"/>
            <w:vAlign w:val="center"/>
            <w:hideMark/>
          </w:tcPr>
          <w:p w:rsidR="00A64028" w:rsidRPr="00A45259" w:rsidRDefault="00A64028" w:rsidP="00103148">
            <w:pPr>
              <w:spacing w:after="0"/>
              <w:ind w:left="-76" w:right="-151"/>
              <w:jc w:val="center"/>
              <w:rPr>
                <w:rFonts w:ascii="Arial Narrow" w:hAnsi="Arial Narrow"/>
                <w:sz w:val="20"/>
                <w:szCs w:val="20"/>
              </w:rPr>
            </w:pPr>
            <w:r w:rsidRPr="00A45259">
              <w:rPr>
                <w:rFonts w:ascii="Arial Narrow" w:hAnsi="Arial Narrow"/>
                <w:sz w:val="20"/>
                <w:szCs w:val="20"/>
              </w:rPr>
              <w:t>60,0%</w:t>
            </w:r>
          </w:p>
        </w:tc>
        <w:tc>
          <w:tcPr>
            <w:tcW w:w="297" w:type="pct"/>
            <w:tcBorders>
              <w:top w:val="nil"/>
              <w:left w:val="nil"/>
              <w:bottom w:val="single" w:sz="4" w:space="0" w:color="auto"/>
              <w:right w:val="single" w:sz="4" w:space="0" w:color="auto"/>
            </w:tcBorders>
            <w:shd w:val="clear" w:color="000000" w:fill="FFFFFF"/>
            <w:vAlign w:val="center"/>
            <w:hideMark/>
          </w:tcPr>
          <w:p w:rsidR="00A64028" w:rsidRPr="00A45259" w:rsidRDefault="00A64028" w:rsidP="00103148">
            <w:pPr>
              <w:spacing w:after="0"/>
              <w:ind w:left="-76" w:right="-151"/>
              <w:jc w:val="center"/>
              <w:rPr>
                <w:rFonts w:ascii="Arial Narrow" w:hAnsi="Arial Narrow"/>
                <w:sz w:val="20"/>
                <w:szCs w:val="20"/>
              </w:rPr>
            </w:pPr>
            <w:r w:rsidRPr="00A45259">
              <w:rPr>
                <w:rFonts w:ascii="Arial Narrow" w:hAnsi="Arial Narrow"/>
                <w:sz w:val="20"/>
                <w:szCs w:val="20"/>
              </w:rPr>
              <w:t>60,0%</w:t>
            </w:r>
          </w:p>
        </w:tc>
        <w:tc>
          <w:tcPr>
            <w:tcW w:w="297" w:type="pct"/>
            <w:tcBorders>
              <w:top w:val="nil"/>
              <w:left w:val="nil"/>
              <w:bottom w:val="single" w:sz="4" w:space="0" w:color="auto"/>
              <w:right w:val="single" w:sz="4" w:space="0" w:color="auto"/>
            </w:tcBorders>
            <w:shd w:val="clear" w:color="000000" w:fill="FFFFFF"/>
            <w:vAlign w:val="center"/>
            <w:hideMark/>
          </w:tcPr>
          <w:p w:rsidR="00A64028" w:rsidRPr="00A45259" w:rsidRDefault="00A64028" w:rsidP="00103148">
            <w:pPr>
              <w:spacing w:after="0"/>
              <w:ind w:left="-76" w:right="-151"/>
              <w:jc w:val="center"/>
              <w:rPr>
                <w:rFonts w:ascii="Arial Narrow" w:hAnsi="Arial Narrow"/>
                <w:sz w:val="20"/>
                <w:szCs w:val="20"/>
              </w:rPr>
            </w:pPr>
            <w:r w:rsidRPr="00A45259">
              <w:rPr>
                <w:rFonts w:ascii="Arial Narrow" w:hAnsi="Arial Narrow"/>
                <w:sz w:val="20"/>
                <w:szCs w:val="20"/>
              </w:rPr>
              <w:t>52,0%</w:t>
            </w:r>
          </w:p>
        </w:tc>
        <w:tc>
          <w:tcPr>
            <w:tcW w:w="297" w:type="pct"/>
            <w:tcBorders>
              <w:top w:val="nil"/>
              <w:left w:val="nil"/>
              <w:bottom w:val="single" w:sz="4" w:space="0" w:color="auto"/>
              <w:right w:val="single" w:sz="4" w:space="0" w:color="auto"/>
            </w:tcBorders>
            <w:shd w:val="clear" w:color="000000" w:fill="FFFFFF"/>
            <w:vAlign w:val="center"/>
            <w:hideMark/>
          </w:tcPr>
          <w:p w:rsidR="00A64028" w:rsidRPr="00A45259" w:rsidRDefault="00A64028" w:rsidP="00103148">
            <w:pPr>
              <w:spacing w:after="0"/>
              <w:ind w:left="-76" w:right="-151"/>
              <w:jc w:val="center"/>
              <w:rPr>
                <w:rFonts w:ascii="Arial Narrow" w:hAnsi="Arial Narrow"/>
                <w:sz w:val="20"/>
                <w:szCs w:val="20"/>
              </w:rPr>
            </w:pPr>
            <w:r w:rsidRPr="00A45259">
              <w:rPr>
                <w:rFonts w:ascii="Arial Narrow" w:hAnsi="Arial Narrow"/>
                <w:sz w:val="20"/>
                <w:szCs w:val="20"/>
              </w:rPr>
              <w:t>60,0%</w:t>
            </w:r>
          </w:p>
        </w:tc>
        <w:tc>
          <w:tcPr>
            <w:tcW w:w="297" w:type="pct"/>
            <w:tcBorders>
              <w:top w:val="nil"/>
              <w:left w:val="nil"/>
              <w:bottom w:val="single" w:sz="4" w:space="0" w:color="auto"/>
              <w:right w:val="single" w:sz="4" w:space="0" w:color="auto"/>
            </w:tcBorders>
            <w:shd w:val="clear" w:color="000000" w:fill="FFFFFF"/>
            <w:vAlign w:val="center"/>
            <w:hideMark/>
          </w:tcPr>
          <w:p w:rsidR="00A64028" w:rsidRPr="00A45259" w:rsidRDefault="00A64028" w:rsidP="00103148">
            <w:pPr>
              <w:spacing w:after="0"/>
              <w:ind w:left="-76" w:right="-151"/>
              <w:jc w:val="center"/>
              <w:rPr>
                <w:rFonts w:ascii="Arial Narrow" w:hAnsi="Arial Narrow"/>
                <w:sz w:val="20"/>
                <w:szCs w:val="20"/>
              </w:rPr>
            </w:pPr>
            <w:r w:rsidRPr="00A45259">
              <w:rPr>
                <w:rFonts w:ascii="Arial Narrow" w:hAnsi="Arial Narrow"/>
                <w:sz w:val="20"/>
                <w:szCs w:val="20"/>
              </w:rPr>
              <w:t>32,0%</w:t>
            </w:r>
          </w:p>
        </w:tc>
        <w:tc>
          <w:tcPr>
            <w:tcW w:w="297" w:type="pct"/>
            <w:tcBorders>
              <w:top w:val="nil"/>
              <w:left w:val="nil"/>
              <w:bottom w:val="single" w:sz="4" w:space="0" w:color="auto"/>
              <w:right w:val="single" w:sz="4" w:space="0" w:color="auto"/>
            </w:tcBorders>
            <w:shd w:val="clear" w:color="000000" w:fill="FFFFFF"/>
            <w:vAlign w:val="center"/>
            <w:hideMark/>
          </w:tcPr>
          <w:p w:rsidR="00A64028" w:rsidRPr="00A45259" w:rsidRDefault="00A64028" w:rsidP="00103148">
            <w:pPr>
              <w:spacing w:after="0"/>
              <w:ind w:left="-76" w:right="-151"/>
              <w:jc w:val="center"/>
              <w:rPr>
                <w:rFonts w:ascii="Arial Narrow" w:hAnsi="Arial Narrow"/>
                <w:sz w:val="20"/>
                <w:szCs w:val="20"/>
              </w:rPr>
            </w:pPr>
            <w:r w:rsidRPr="00A45259">
              <w:rPr>
                <w:rFonts w:ascii="Arial Narrow" w:hAnsi="Arial Narrow"/>
                <w:sz w:val="20"/>
                <w:szCs w:val="20"/>
              </w:rPr>
              <w:t>28,0%</w:t>
            </w:r>
          </w:p>
        </w:tc>
        <w:tc>
          <w:tcPr>
            <w:tcW w:w="297" w:type="pct"/>
            <w:tcBorders>
              <w:top w:val="nil"/>
              <w:left w:val="nil"/>
              <w:bottom w:val="single" w:sz="4" w:space="0" w:color="auto"/>
              <w:right w:val="single" w:sz="4" w:space="0" w:color="auto"/>
            </w:tcBorders>
            <w:shd w:val="clear" w:color="000000" w:fill="FFFFFF"/>
            <w:vAlign w:val="center"/>
            <w:hideMark/>
          </w:tcPr>
          <w:p w:rsidR="00A64028" w:rsidRPr="00A45259" w:rsidRDefault="00A64028" w:rsidP="00103148">
            <w:pPr>
              <w:spacing w:after="0"/>
              <w:ind w:left="-76" w:right="-151"/>
              <w:jc w:val="center"/>
              <w:rPr>
                <w:rFonts w:ascii="Arial Narrow" w:hAnsi="Arial Narrow"/>
                <w:sz w:val="20"/>
                <w:szCs w:val="20"/>
              </w:rPr>
            </w:pPr>
            <w:r w:rsidRPr="00A45259">
              <w:rPr>
                <w:rFonts w:ascii="Arial Narrow" w:hAnsi="Arial Narrow"/>
                <w:sz w:val="20"/>
                <w:szCs w:val="20"/>
              </w:rPr>
              <w:t>45,7%</w:t>
            </w:r>
          </w:p>
        </w:tc>
        <w:tc>
          <w:tcPr>
            <w:tcW w:w="297" w:type="pct"/>
            <w:tcBorders>
              <w:top w:val="nil"/>
              <w:left w:val="nil"/>
              <w:bottom w:val="single" w:sz="4" w:space="0" w:color="auto"/>
              <w:right w:val="single" w:sz="4" w:space="0" w:color="auto"/>
            </w:tcBorders>
            <w:shd w:val="clear" w:color="000000" w:fill="FFFFFF"/>
            <w:vAlign w:val="center"/>
            <w:hideMark/>
          </w:tcPr>
          <w:p w:rsidR="00A64028" w:rsidRPr="00A45259" w:rsidRDefault="00A64028" w:rsidP="00103148">
            <w:pPr>
              <w:spacing w:after="0"/>
              <w:ind w:left="-76" w:right="-151"/>
              <w:jc w:val="center"/>
              <w:rPr>
                <w:rFonts w:ascii="Arial Narrow" w:hAnsi="Arial Narrow"/>
                <w:sz w:val="20"/>
                <w:szCs w:val="20"/>
              </w:rPr>
            </w:pPr>
            <w:r w:rsidRPr="00A45259">
              <w:rPr>
                <w:rFonts w:ascii="Arial Narrow" w:hAnsi="Arial Narrow"/>
                <w:sz w:val="20"/>
                <w:szCs w:val="20"/>
              </w:rPr>
              <w:t>65,0%</w:t>
            </w:r>
          </w:p>
        </w:tc>
        <w:tc>
          <w:tcPr>
            <w:tcW w:w="430" w:type="pct"/>
            <w:tcBorders>
              <w:top w:val="nil"/>
              <w:left w:val="nil"/>
              <w:bottom w:val="single" w:sz="4" w:space="0" w:color="auto"/>
              <w:right w:val="single" w:sz="4" w:space="0" w:color="auto"/>
            </w:tcBorders>
            <w:shd w:val="clear" w:color="000000" w:fill="FFFFFF"/>
            <w:vAlign w:val="center"/>
            <w:hideMark/>
          </w:tcPr>
          <w:p w:rsidR="00A64028" w:rsidRPr="00A45259" w:rsidRDefault="00A64028" w:rsidP="00103148">
            <w:pPr>
              <w:spacing w:after="0"/>
              <w:ind w:left="-76" w:right="-151"/>
              <w:jc w:val="center"/>
              <w:rPr>
                <w:rFonts w:ascii="Arial Narrow" w:hAnsi="Arial Narrow"/>
                <w:sz w:val="20"/>
                <w:szCs w:val="20"/>
              </w:rPr>
            </w:pPr>
            <w:r w:rsidRPr="00A45259">
              <w:rPr>
                <w:rFonts w:ascii="Arial Narrow" w:hAnsi="Arial Narrow"/>
                <w:sz w:val="20"/>
                <w:szCs w:val="20"/>
              </w:rPr>
              <w:t>76,7%</w:t>
            </w:r>
          </w:p>
        </w:tc>
        <w:tc>
          <w:tcPr>
            <w:tcW w:w="267" w:type="pct"/>
            <w:tcBorders>
              <w:top w:val="nil"/>
              <w:left w:val="nil"/>
              <w:bottom w:val="single" w:sz="4" w:space="0" w:color="auto"/>
              <w:right w:val="single" w:sz="4" w:space="0" w:color="auto"/>
            </w:tcBorders>
            <w:shd w:val="clear" w:color="000000" w:fill="FFFFFF"/>
            <w:vAlign w:val="center"/>
            <w:hideMark/>
          </w:tcPr>
          <w:p w:rsidR="00A64028" w:rsidRPr="00A45259" w:rsidRDefault="00A64028" w:rsidP="00103148">
            <w:pPr>
              <w:spacing w:after="0"/>
              <w:ind w:left="-76" w:right="-151"/>
              <w:jc w:val="center"/>
              <w:rPr>
                <w:rFonts w:ascii="Arial Narrow" w:hAnsi="Arial Narrow"/>
                <w:sz w:val="20"/>
                <w:szCs w:val="20"/>
              </w:rPr>
            </w:pPr>
            <w:r w:rsidRPr="00A45259">
              <w:rPr>
                <w:rFonts w:ascii="Arial Narrow" w:hAnsi="Arial Narrow"/>
                <w:sz w:val="20"/>
                <w:szCs w:val="20"/>
              </w:rPr>
              <w:t>56,0%</w:t>
            </w:r>
          </w:p>
        </w:tc>
        <w:tc>
          <w:tcPr>
            <w:tcW w:w="297" w:type="pct"/>
            <w:tcBorders>
              <w:top w:val="nil"/>
              <w:left w:val="nil"/>
              <w:bottom w:val="single" w:sz="4" w:space="0" w:color="auto"/>
              <w:right w:val="single" w:sz="4" w:space="0" w:color="auto"/>
            </w:tcBorders>
            <w:shd w:val="clear" w:color="000000" w:fill="FFFFFF"/>
            <w:vAlign w:val="center"/>
            <w:hideMark/>
          </w:tcPr>
          <w:p w:rsidR="00A64028" w:rsidRPr="00A45259" w:rsidRDefault="00A64028" w:rsidP="00103148">
            <w:pPr>
              <w:spacing w:after="0"/>
              <w:ind w:left="-76" w:right="-151"/>
              <w:jc w:val="center"/>
              <w:rPr>
                <w:rFonts w:ascii="Arial Narrow" w:hAnsi="Arial Narrow"/>
                <w:sz w:val="20"/>
                <w:szCs w:val="20"/>
              </w:rPr>
            </w:pPr>
            <w:r w:rsidRPr="00A45259">
              <w:rPr>
                <w:rFonts w:ascii="Arial Narrow" w:hAnsi="Arial Narrow"/>
                <w:sz w:val="20"/>
                <w:szCs w:val="20"/>
              </w:rPr>
              <w:t>32,0%</w:t>
            </w:r>
          </w:p>
        </w:tc>
        <w:tc>
          <w:tcPr>
            <w:tcW w:w="297" w:type="pct"/>
            <w:tcBorders>
              <w:top w:val="nil"/>
              <w:left w:val="nil"/>
              <w:bottom w:val="single" w:sz="4" w:space="0" w:color="auto"/>
              <w:right w:val="single" w:sz="4" w:space="0" w:color="auto"/>
            </w:tcBorders>
            <w:shd w:val="clear" w:color="000000" w:fill="FFFFFF"/>
            <w:vAlign w:val="center"/>
            <w:hideMark/>
          </w:tcPr>
          <w:p w:rsidR="00A64028" w:rsidRPr="00A45259" w:rsidRDefault="00A64028" w:rsidP="00103148">
            <w:pPr>
              <w:spacing w:after="0"/>
              <w:ind w:left="-76" w:right="-151"/>
              <w:jc w:val="center"/>
              <w:rPr>
                <w:rFonts w:ascii="Arial Narrow" w:hAnsi="Arial Narrow"/>
                <w:sz w:val="20"/>
                <w:szCs w:val="20"/>
              </w:rPr>
            </w:pPr>
            <w:r w:rsidRPr="00A45259">
              <w:rPr>
                <w:rFonts w:ascii="Arial Narrow" w:hAnsi="Arial Narrow"/>
                <w:sz w:val="20"/>
                <w:szCs w:val="20"/>
              </w:rPr>
              <w:t>35,0%</w:t>
            </w:r>
          </w:p>
        </w:tc>
        <w:tc>
          <w:tcPr>
            <w:tcW w:w="285" w:type="pct"/>
            <w:tcBorders>
              <w:top w:val="nil"/>
              <w:left w:val="nil"/>
              <w:bottom w:val="single" w:sz="4" w:space="0" w:color="auto"/>
              <w:right w:val="single" w:sz="4" w:space="0" w:color="auto"/>
            </w:tcBorders>
            <w:shd w:val="clear" w:color="000000" w:fill="FFFFFF"/>
            <w:vAlign w:val="center"/>
            <w:hideMark/>
          </w:tcPr>
          <w:p w:rsidR="00A64028" w:rsidRPr="00A45259" w:rsidRDefault="00A64028" w:rsidP="00103148">
            <w:pPr>
              <w:spacing w:after="0"/>
              <w:ind w:left="-76" w:right="-151"/>
              <w:jc w:val="center"/>
              <w:rPr>
                <w:rFonts w:ascii="Arial Narrow" w:hAnsi="Arial Narrow"/>
                <w:sz w:val="20"/>
                <w:szCs w:val="20"/>
              </w:rPr>
            </w:pPr>
            <w:r w:rsidRPr="00A45259">
              <w:rPr>
                <w:rFonts w:ascii="Arial Narrow" w:hAnsi="Arial Narrow"/>
                <w:sz w:val="20"/>
                <w:szCs w:val="20"/>
              </w:rPr>
              <w:t>80,0%</w:t>
            </w:r>
          </w:p>
        </w:tc>
      </w:tr>
    </w:tbl>
    <w:p w:rsidR="00ED3C71" w:rsidRDefault="00ED3C71"/>
    <w:p w:rsidR="00ED3C71" w:rsidRPr="00ED3C71" w:rsidRDefault="00ED3C71" w:rsidP="00ED3C71">
      <w:pPr>
        <w:spacing w:after="0" w:line="240" w:lineRule="auto"/>
        <w:jc w:val="right"/>
        <w:rPr>
          <w:rFonts w:ascii="Arial Narrow" w:hAnsi="Arial Narrow"/>
          <w:sz w:val="24"/>
          <w:szCs w:val="24"/>
        </w:rPr>
      </w:pPr>
      <w:r w:rsidRPr="00BF6DC4">
        <w:rPr>
          <w:rFonts w:ascii="Arial Narrow" w:hAnsi="Arial Narrow"/>
          <w:sz w:val="24"/>
          <w:szCs w:val="24"/>
        </w:rPr>
        <w:lastRenderedPageBreak/>
        <w:t xml:space="preserve">Продолжение Таблицы </w:t>
      </w:r>
      <w:r>
        <w:rPr>
          <w:rFonts w:ascii="Arial Narrow" w:hAnsi="Arial Narrow"/>
          <w:sz w:val="24"/>
          <w:szCs w:val="24"/>
        </w:rPr>
        <w:t>7.16</w:t>
      </w:r>
    </w:p>
    <w:tbl>
      <w:tblPr>
        <w:tblW w:w="5048" w:type="pct"/>
        <w:tblInd w:w="-176" w:type="dxa"/>
        <w:tblLayout w:type="fixed"/>
        <w:tblLook w:val="04A0"/>
      </w:tblPr>
      <w:tblGrid>
        <w:gridCol w:w="709"/>
        <w:gridCol w:w="778"/>
        <w:gridCol w:w="595"/>
        <w:gridCol w:w="595"/>
        <w:gridCol w:w="591"/>
        <w:gridCol w:w="591"/>
        <w:gridCol w:w="591"/>
        <w:gridCol w:w="591"/>
        <w:gridCol w:w="591"/>
        <w:gridCol w:w="591"/>
        <w:gridCol w:w="591"/>
        <w:gridCol w:w="856"/>
        <w:gridCol w:w="531"/>
        <w:gridCol w:w="591"/>
        <w:gridCol w:w="591"/>
        <w:gridCol w:w="565"/>
      </w:tblGrid>
      <w:tr w:rsidR="00A64028" w:rsidRPr="00A45259" w:rsidTr="00ED3C71">
        <w:trPr>
          <w:trHeight w:val="270"/>
        </w:trPr>
        <w:tc>
          <w:tcPr>
            <w:tcW w:w="35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A45259" w:rsidRDefault="00A64028" w:rsidP="00103148">
            <w:pPr>
              <w:spacing w:after="0"/>
              <w:ind w:left="-142" w:right="-97"/>
              <w:jc w:val="both"/>
              <w:rPr>
                <w:rFonts w:ascii="Arial Narrow" w:hAnsi="Arial Narrow"/>
                <w:sz w:val="20"/>
                <w:szCs w:val="20"/>
              </w:rPr>
            </w:pPr>
            <w:r w:rsidRPr="00A45259">
              <w:rPr>
                <w:rFonts w:ascii="Arial Narrow" w:hAnsi="Arial Narrow"/>
                <w:sz w:val="20"/>
                <w:szCs w:val="20"/>
              </w:rPr>
              <w:t> </w:t>
            </w:r>
          </w:p>
        </w:tc>
        <w:tc>
          <w:tcPr>
            <w:tcW w:w="391" w:type="pct"/>
            <w:tcBorders>
              <w:top w:val="single" w:sz="4" w:space="0" w:color="auto"/>
              <w:left w:val="nil"/>
              <w:bottom w:val="single" w:sz="4" w:space="0" w:color="auto"/>
              <w:right w:val="single" w:sz="4" w:space="0" w:color="auto"/>
            </w:tcBorders>
            <w:shd w:val="clear" w:color="auto" w:fill="auto"/>
            <w:vAlign w:val="center"/>
            <w:hideMark/>
          </w:tcPr>
          <w:p w:rsidR="00A64028" w:rsidRPr="00A45259" w:rsidRDefault="00A64028" w:rsidP="00E82802">
            <w:pPr>
              <w:spacing w:after="0"/>
              <w:ind w:right="-104"/>
              <w:rPr>
                <w:rFonts w:ascii="Arial Narrow" w:hAnsi="Arial Narrow"/>
                <w:sz w:val="20"/>
                <w:szCs w:val="20"/>
              </w:rPr>
            </w:pPr>
            <w:r w:rsidRPr="00A45259">
              <w:rPr>
                <w:rFonts w:ascii="Arial Narrow" w:hAnsi="Arial Narrow"/>
                <w:sz w:val="20"/>
                <w:szCs w:val="20"/>
              </w:rPr>
              <w:t>Умеренная, %</w:t>
            </w:r>
          </w:p>
        </w:tc>
        <w:tc>
          <w:tcPr>
            <w:tcW w:w="299" w:type="pct"/>
            <w:tcBorders>
              <w:top w:val="single" w:sz="4" w:space="0" w:color="auto"/>
              <w:left w:val="nil"/>
              <w:bottom w:val="single" w:sz="4" w:space="0" w:color="auto"/>
              <w:right w:val="single" w:sz="4" w:space="0" w:color="auto"/>
            </w:tcBorders>
            <w:shd w:val="clear" w:color="auto" w:fill="auto"/>
            <w:noWrap/>
            <w:vAlign w:val="center"/>
            <w:hideMark/>
          </w:tcPr>
          <w:p w:rsidR="00A64028" w:rsidRPr="00A45259" w:rsidRDefault="00A64028" w:rsidP="00103148">
            <w:pPr>
              <w:spacing w:after="0"/>
              <w:ind w:left="-76" w:right="-151"/>
              <w:jc w:val="center"/>
              <w:rPr>
                <w:rFonts w:ascii="Arial Narrow" w:hAnsi="Arial Narrow"/>
                <w:sz w:val="20"/>
                <w:szCs w:val="20"/>
              </w:rPr>
            </w:pPr>
            <w:r w:rsidRPr="00A45259">
              <w:rPr>
                <w:rFonts w:ascii="Arial Narrow" w:hAnsi="Arial Narrow"/>
                <w:sz w:val="20"/>
                <w:szCs w:val="20"/>
              </w:rPr>
              <w:t>26,8%</w:t>
            </w:r>
          </w:p>
        </w:tc>
        <w:tc>
          <w:tcPr>
            <w:tcW w:w="299" w:type="pct"/>
            <w:tcBorders>
              <w:top w:val="single" w:sz="4" w:space="0" w:color="auto"/>
              <w:left w:val="nil"/>
              <w:bottom w:val="single" w:sz="4" w:space="0" w:color="auto"/>
              <w:right w:val="single" w:sz="4" w:space="0" w:color="auto"/>
            </w:tcBorders>
            <w:shd w:val="clear" w:color="000000" w:fill="FFFFFF"/>
            <w:vAlign w:val="center"/>
            <w:hideMark/>
          </w:tcPr>
          <w:p w:rsidR="00A64028" w:rsidRPr="00A45259" w:rsidRDefault="00A64028" w:rsidP="00103148">
            <w:pPr>
              <w:spacing w:after="0"/>
              <w:ind w:left="-76" w:right="-151"/>
              <w:jc w:val="center"/>
              <w:rPr>
                <w:rFonts w:ascii="Arial Narrow" w:hAnsi="Arial Narrow"/>
                <w:sz w:val="20"/>
                <w:szCs w:val="20"/>
              </w:rPr>
            </w:pPr>
            <w:r w:rsidRPr="00A45259">
              <w:rPr>
                <w:rFonts w:ascii="Arial Narrow" w:hAnsi="Arial Narrow"/>
                <w:sz w:val="20"/>
                <w:szCs w:val="20"/>
              </w:rPr>
              <w:t>10,0%</w:t>
            </w:r>
          </w:p>
        </w:tc>
        <w:tc>
          <w:tcPr>
            <w:tcW w:w="297" w:type="pct"/>
            <w:tcBorders>
              <w:top w:val="single" w:sz="4" w:space="0" w:color="auto"/>
              <w:left w:val="nil"/>
              <w:bottom w:val="single" w:sz="4" w:space="0" w:color="auto"/>
              <w:right w:val="single" w:sz="4" w:space="0" w:color="auto"/>
            </w:tcBorders>
            <w:shd w:val="clear" w:color="000000" w:fill="FFFFFF"/>
            <w:vAlign w:val="center"/>
            <w:hideMark/>
          </w:tcPr>
          <w:p w:rsidR="00A64028" w:rsidRPr="00A45259" w:rsidRDefault="00A64028" w:rsidP="00103148">
            <w:pPr>
              <w:spacing w:after="0"/>
              <w:ind w:left="-76" w:right="-151"/>
              <w:jc w:val="center"/>
              <w:rPr>
                <w:rFonts w:ascii="Arial Narrow" w:hAnsi="Arial Narrow"/>
                <w:sz w:val="20"/>
                <w:szCs w:val="20"/>
              </w:rPr>
            </w:pPr>
            <w:r w:rsidRPr="00A45259">
              <w:rPr>
                <w:rFonts w:ascii="Arial Narrow" w:hAnsi="Arial Narrow"/>
                <w:sz w:val="20"/>
                <w:szCs w:val="20"/>
              </w:rPr>
              <w:t>40,0%</w:t>
            </w:r>
          </w:p>
        </w:tc>
        <w:tc>
          <w:tcPr>
            <w:tcW w:w="297" w:type="pct"/>
            <w:tcBorders>
              <w:top w:val="single" w:sz="4" w:space="0" w:color="auto"/>
              <w:left w:val="nil"/>
              <w:bottom w:val="single" w:sz="4" w:space="0" w:color="auto"/>
              <w:right w:val="single" w:sz="4" w:space="0" w:color="auto"/>
            </w:tcBorders>
            <w:shd w:val="clear" w:color="000000" w:fill="FFFFFF"/>
            <w:vAlign w:val="center"/>
            <w:hideMark/>
          </w:tcPr>
          <w:p w:rsidR="00A64028" w:rsidRPr="00A45259" w:rsidRDefault="00A64028" w:rsidP="00103148">
            <w:pPr>
              <w:spacing w:after="0"/>
              <w:ind w:left="-76" w:right="-151"/>
              <w:jc w:val="center"/>
              <w:rPr>
                <w:rFonts w:ascii="Arial Narrow" w:hAnsi="Arial Narrow"/>
                <w:sz w:val="20"/>
                <w:szCs w:val="20"/>
              </w:rPr>
            </w:pPr>
            <w:r w:rsidRPr="00A45259">
              <w:rPr>
                <w:rFonts w:ascii="Arial Narrow" w:hAnsi="Arial Narrow"/>
                <w:sz w:val="20"/>
                <w:szCs w:val="20"/>
              </w:rPr>
              <w:t>20,0%</w:t>
            </w:r>
          </w:p>
        </w:tc>
        <w:tc>
          <w:tcPr>
            <w:tcW w:w="297" w:type="pct"/>
            <w:tcBorders>
              <w:top w:val="single" w:sz="4" w:space="0" w:color="auto"/>
              <w:left w:val="nil"/>
              <w:bottom w:val="single" w:sz="4" w:space="0" w:color="auto"/>
              <w:right w:val="single" w:sz="4" w:space="0" w:color="auto"/>
            </w:tcBorders>
            <w:shd w:val="clear" w:color="000000" w:fill="FFFFFF"/>
            <w:vAlign w:val="center"/>
            <w:hideMark/>
          </w:tcPr>
          <w:p w:rsidR="00A64028" w:rsidRPr="00A45259" w:rsidRDefault="00A64028" w:rsidP="00103148">
            <w:pPr>
              <w:spacing w:after="0"/>
              <w:ind w:left="-76" w:right="-151"/>
              <w:jc w:val="center"/>
              <w:rPr>
                <w:rFonts w:ascii="Arial Narrow" w:hAnsi="Arial Narrow"/>
                <w:sz w:val="20"/>
                <w:szCs w:val="20"/>
              </w:rPr>
            </w:pPr>
            <w:r w:rsidRPr="00A45259">
              <w:rPr>
                <w:rFonts w:ascii="Arial Narrow" w:hAnsi="Arial Narrow"/>
                <w:sz w:val="20"/>
                <w:szCs w:val="20"/>
              </w:rPr>
              <w:t>25,7%</w:t>
            </w:r>
          </w:p>
        </w:tc>
        <w:tc>
          <w:tcPr>
            <w:tcW w:w="297" w:type="pct"/>
            <w:tcBorders>
              <w:top w:val="single" w:sz="4" w:space="0" w:color="auto"/>
              <w:left w:val="nil"/>
              <w:bottom w:val="single" w:sz="4" w:space="0" w:color="auto"/>
              <w:right w:val="single" w:sz="4" w:space="0" w:color="auto"/>
            </w:tcBorders>
            <w:shd w:val="clear" w:color="000000" w:fill="FFFFFF"/>
            <w:vAlign w:val="center"/>
            <w:hideMark/>
          </w:tcPr>
          <w:p w:rsidR="00A64028" w:rsidRPr="00A45259" w:rsidRDefault="00A64028" w:rsidP="00103148">
            <w:pPr>
              <w:spacing w:after="0"/>
              <w:ind w:left="-76" w:right="-151"/>
              <w:jc w:val="center"/>
              <w:rPr>
                <w:rFonts w:ascii="Arial Narrow" w:hAnsi="Arial Narrow"/>
                <w:sz w:val="20"/>
                <w:szCs w:val="20"/>
              </w:rPr>
            </w:pPr>
            <w:r w:rsidRPr="00A45259">
              <w:rPr>
                <w:rFonts w:ascii="Arial Narrow" w:hAnsi="Arial Narrow"/>
                <w:sz w:val="20"/>
                <w:szCs w:val="20"/>
              </w:rPr>
              <w:t>20,0%</w:t>
            </w:r>
          </w:p>
        </w:tc>
        <w:tc>
          <w:tcPr>
            <w:tcW w:w="297" w:type="pct"/>
            <w:tcBorders>
              <w:top w:val="single" w:sz="4" w:space="0" w:color="auto"/>
              <w:left w:val="nil"/>
              <w:bottom w:val="single" w:sz="4" w:space="0" w:color="auto"/>
              <w:right w:val="single" w:sz="4" w:space="0" w:color="auto"/>
            </w:tcBorders>
            <w:shd w:val="clear" w:color="000000" w:fill="FFFFFF"/>
            <w:vAlign w:val="center"/>
            <w:hideMark/>
          </w:tcPr>
          <w:p w:rsidR="00A64028" w:rsidRPr="00A45259" w:rsidRDefault="00A64028" w:rsidP="00103148">
            <w:pPr>
              <w:spacing w:after="0"/>
              <w:ind w:left="-76" w:right="-151"/>
              <w:jc w:val="center"/>
              <w:rPr>
                <w:rFonts w:ascii="Arial Narrow" w:hAnsi="Arial Narrow"/>
                <w:sz w:val="20"/>
                <w:szCs w:val="20"/>
              </w:rPr>
            </w:pPr>
            <w:r w:rsidRPr="00A45259">
              <w:rPr>
                <w:rFonts w:ascii="Arial Narrow" w:hAnsi="Arial Narrow"/>
                <w:sz w:val="20"/>
                <w:szCs w:val="20"/>
              </w:rPr>
              <w:t>48,0%</w:t>
            </w:r>
          </w:p>
        </w:tc>
        <w:tc>
          <w:tcPr>
            <w:tcW w:w="297" w:type="pct"/>
            <w:tcBorders>
              <w:top w:val="single" w:sz="4" w:space="0" w:color="auto"/>
              <w:left w:val="nil"/>
              <w:bottom w:val="single" w:sz="4" w:space="0" w:color="auto"/>
              <w:right w:val="single" w:sz="4" w:space="0" w:color="auto"/>
            </w:tcBorders>
            <w:shd w:val="clear" w:color="000000" w:fill="FFFFFF"/>
            <w:vAlign w:val="center"/>
            <w:hideMark/>
          </w:tcPr>
          <w:p w:rsidR="00A64028" w:rsidRPr="00A45259" w:rsidRDefault="00A64028" w:rsidP="00103148">
            <w:pPr>
              <w:spacing w:after="0"/>
              <w:ind w:left="-76" w:right="-151"/>
              <w:jc w:val="center"/>
              <w:rPr>
                <w:rFonts w:ascii="Arial Narrow" w:hAnsi="Arial Narrow"/>
                <w:sz w:val="20"/>
                <w:szCs w:val="20"/>
              </w:rPr>
            </w:pPr>
            <w:r w:rsidRPr="00A45259">
              <w:rPr>
                <w:rFonts w:ascii="Arial Narrow" w:hAnsi="Arial Narrow"/>
                <w:sz w:val="20"/>
                <w:szCs w:val="20"/>
              </w:rPr>
              <w:t>27,1%</w:t>
            </w:r>
          </w:p>
        </w:tc>
        <w:tc>
          <w:tcPr>
            <w:tcW w:w="297" w:type="pct"/>
            <w:tcBorders>
              <w:top w:val="single" w:sz="4" w:space="0" w:color="auto"/>
              <w:left w:val="nil"/>
              <w:bottom w:val="single" w:sz="4" w:space="0" w:color="auto"/>
              <w:right w:val="single" w:sz="4" w:space="0" w:color="auto"/>
            </w:tcBorders>
            <w:shd w:val="clear" w:color="000000" w:fill="FFFFFF"/>
            <w:vAlign w:val="center"/>
            <w:hideMark/>
          </w:tcPr>
          <w:p w:rsidR="00A64028" w:rsidRPr="00A45259" w:rsidRDefault="00A64028" w:rsidP="00103148">
            <w:pPr>
              <w:spacing w:after="0"/>
              <w:ind w:left="-76" w:right="-151"/>
              <w:jc w:val="center"/>
              <w:rPr>
                <w:rFonts w:ascii="Arial Narrow" w:hAnsi="Arial Narrow"/>
                <w:sz w:val="20"/>
                <w:szCs w:val="20"/>
              </w:rPr>
            </w:pPr>
            <w:r w:rsidRPr="00A45259">
              <w:rPr>
                <w:rFonts w:ascii="Arial Narrow" w:hAnsi="Arial Narrow"/>
                <w:sz w:val="20"/>
                <w:szCs w:val="20"/>
              </w:rPr>
              <w:t>26,7%</w:t>
            </w:r>
          </w:p>
        </w:tc>
        <w:tc>
          <w:tcPr>
            <w:tcW w:w="430" w:type="pct"/>
            <w:tcBorders>
              <w:top w:val="single" w:sz="4" w:space="0" w:color="auto"/>
              <w:left w:val="nil"/>
              <w:bottom w:val="single" w:sz="4" w:space="0" w:color="auto"/>
              <w:right w:val="single" w:sz="4" w:space="0" w:color="auto"/>
            </w:tcBorders>
            <w:shd w:val="clear" w:color="000000" w:fill="FFFFFF"/>
            <w:vAlign w:val="center"/>
            <w:hideMark/>
          </w:tcPr>
          <w:p w:rsidR="00A64028" w:rsidRPr="00A45259" w:rsidRDefault="00A64028" w:rsidP="00103148">
            <w:pPr>
              <w:spacing w:after="0"/>
              <w:ind w:left="-76" w:right="-151"/>
              <w:jc w:val="center"/>
              <w:rPr>
                <w:rFonts w:ascii="Arial Narrow" w:hAnsi="Arial Narrow"/>
                <w:sz w:val="20"/>
                <w:szCs w:val="20"/>
              </w:rPr>
            </w:pPr>
            <w:r w:rsidRPr="00A45259">
              <w:rPr>
                <w:rFonts w:ascii="Arial Narrow" w:hAnsi="Arial Narrow"/>
                <w:sz w:val="20"/>
                <w:szCs w:val="20"/>
              </w:rPr>
              <w:t>10,0%</w:t>
            </w:r>
          </w:p>
        </w:tc>
        <w:tc>
          <w:tcPr>
            <w:tcW w:w="267" w:type="pct"/>
            <w:tcBorders>
              <w:top w:val="single" w:sz="4" w:space="0" w:color="auto"/>
              <w:left w:val="nil"/>
              <w:bottom w:val="single" w:sz="4" w:space="0" w:color="auto"/>
              <w:right w:val="single" w:sz="4" w:space="0" w:color="auto"/>
            </w:tcBorders>
            <w:shd w:val="clear" w:color="000000" w:fill="FFFFFF"/>
            <w:vAlign w:val="center"/>
            <w:hideMark/>
          </w:tcPr>
          <w:p w:rsidR="00A64028" w:rsidRPr="00A45259" w:rsidRDefault="00A64028" w:rsidP="00103148">
            <w:pPr>
              <w:spacing w:after="0"/>
              <w:ind w:left="-76" w:right="-151"/>
              <w:jc w:val="center"/>
              <w:rPr>
                <w:rFonts w:ascii="Arial Narrow" w:hAnsi="Arial Narrow"/>
                <w:sz w:val="20"/>
                <w:szCs w:val="20"/>
              </w:rPr>
            </w:pPr>
            <w:r w:rsidRPr="00A45259">
              <w:rPr>
                <w:rFonts w:ascii="Arial Narrow" w:hAnsi="Arial Narrow"/>
                <w:sz w:val="20"/>
                <w:szCs w:val="20"/>
              </w:rPr>
              <w:t>36,0%</w:t>
            </w:r>
          </w:p>
        </w:tc>
        <w:tc>
          <w:tcPr>
            <w:tcW w:w="297" w:type="pct"/>
            <w:tcBorders>
              <w:top w:val="single" w:sz="4" w:space="0" w:color="auto"/>
              <w:left w:val="nil"/>
              <w:bottom w:val="single" w:sz="4" w:space="0" w:color="auto"/>
              <w:right w:val="single" w:sz="4" w:space="0" w:color="auto"/>
            </w:tcBorders>
            <w:shd w:val="clear" w:color="000000" w:fill="FFFFFF"/>
            <w:vAlign w:val="center"/>
            <w:hideMark/>
          </w:tcPr>
          <w:p w:rsidR="00A64028" w:rsidRPr="00A45259" w:rsidRDefault="00A64028" w:rsidP="00103148">
            <w:pPr>
              <w:spacing w:after="0"/>
              <w:ind w:left="-76" w:right="-151"/>
              <w:jc w:val="center"/>
              <w:rPr>
                <w:rFonts w:ascii="Arial Narrow" w:hAnsi="Arial Narrow"/>
                <w:sz w:val="20"/>
                <w:szCs w:val="20"/>
              </w:rPr>
            </w:pPr>
            <w:r w:rsidRPr="00A45259">
              <w:rPr>
                <w:rFonts w:ascii="Arial Narrow" w:hAnsi="Arial Narrow"/>
                <w:sz w:val="20"/>
                <w:szCs w:val="20"/>
              </w:rPr>
              <w:t>24,0%</w:t>
            </w:r>
          </w:p>
        </w:tc>
        <w:tc>
          <w:tcPr>
            <w:tcW w:w="297" w:type="pct"/>
            <w:tcBorders>
              <w:top w:val="single" w:sz="4" w:space="0" w:color="auto"/>
              <w:left w:val="nil"/>
              <w:bottom w:val="single" w:sz="4" w:space="0" w:color="auto"/>
              <w:right w:val="single" w:sz="4" w:space="0" w:color="auto"/>
            </w:tcBorders>
            <w:shd w:val="clear" w:color="000000" w:fill="FFFFFF"/>
            <w:vAlign w:val="center"/>
            <w:hideMark/>
          </w:tcPr>
          <w:p w:rsidR="00A64028" w:rsidRPr="00A45259" w:rsidRDefault="00A64028" w:rsidP="00103148">
            <w:pPr>
              <w:spacing w:after="0"/>
              <w:ind w:left="-76" w:right="-151"/>
              <w:jc w:val="center"/>
              <w:rPr>
                <w:rFonts w:ascii="Arial Narrow" w:hAnsi="Arial Narrow"/>
                <w:sz w:val="20"/>
                <w:szCs w:val="20"/>
              </w:rPr>
            </w:pPr>
            <w:r w:rsidRPr="00A45259">
              <w:rPr>
                <w:rFonts w:ascii="Arial Narrow" w:hAnsi="Arial Narrow"/>
                <w:sz w:val="20"/>
                <w:szCs w:val="20"/>
              </w:rPr>
              <w:t>42,0%</w:t>
            </w:r>
          </w:p>
        </w:tc>
        <w:tc>
          <w:tcPr>
            <w:tcW w:w="284" w:type="pct"/>
            <w:tcBorders>
              <w:top w:val="single" w:sz="4" w:space="0" w:color="auto"/>
              <w:left w:val="nil"/>
              <w:bottom w:val="single" w:sz="4" w:space="0" w:color="auto"/>
              <w:right w:val="single" w:sz="4" w:space="0" w:color="auto"/>
            </w:tcBorders>
            <w:shd w:val="clear" w:color="000000" w:fill="FFFFFF"/>
            <w:vAlign w:val="center"/>
            <w:hideMark/>
          </w:tcPr>
          <w:p w:rsidR="00A64028" w:rsidRPr="00A45259" w:rsidRDefault="00A64028" w:rsidP="00103148">
            <w:pPr>
              <w:spacing w:after="0"/>
              <w:ind w:left="-76" w:right="-151"/>
              <w:jc w:val="center"/>
              <w:rPr>
                <w:rFonts w:ascii="Arial Narrow" w:hAnsi="Arial Narrow"/>
                <w:sz w:val="20"/>
                <w:szCs w:val="20"/>
              </w:rPr>
            </w:pPr>
            <w:r w:rsidRPr="00A45259">
              <w:rPr>
                <w:rFonts w:ascii="Arial Narrow" w:hAnsi="Arial Narrow"/>
                <w:sz w:val="20"/>
                <w:szCs w:val="20"/>
              </w:rPr>
              <w:t>10,0%</w:t>
            </w:r>
          </w:p>
        </w:tc>
      </w:tr>
      <w:tr w:rsidR="00A64028" w:rsidRPr="00A45259" w:rsidTr="00ED3C71">
        <w:trPr>
          <w:trHeight w:val="270"/>
        </w:trPr>
        <w:tc>
          <w:tcPr>
            <w:tcW w:w="35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A45259" w:rsidRDefault="00A64028" w:rsidP="00103148">
            <w:pPr>
              <w:spacing w:after="0"/>
              <w:ind w:left="-142" w:right="-97"/>
              <w:jc w:val="both"/>
              <w:rPr>
                <w:rFonts w:ascii="Arial Narrow" w:hAnsi="Arial Narrow"/>
                <w:sz w:val="20"/>
                <w:szCs w:val="20"/>
              </w:rPr>
            </w:pPr>
            <w:r w:rsidRPr="00A45259">
              <w:rPr>
                <w:rFonts w:ascii="Arial Narrow" w:hAnsi="Arial Narrow"/>
                <w:sz w:val="20"/>
                <w:szCs w:val="20"/>
              </w:rPr>
              <w:t> </w:t>
            </w:r>
          </w:p>
        </w:tc>
        <w:tc>
          <w:tcPr>
            <w:tcW w:w="391" w:type="pct"/>
            <w:tcBorders>
              <w:top w:val="single" w:sz="4" w:space="0" w:color="auto"/>
              <w:left w:val="nil"/>
              <w:bottom w:val="single" w:sz="4" w:space="0" w:color="auto"/>
              <w:right w:val="single" w:sz="4" w:space="0" w:color="auto"/>
            </w:tcBorders>
            <w:shd w:val="clear" w:color="auto" w:fill="auto"/>
            <w:vAlign w:val="center"/>
            <w:hideMark/>
          </w:tcPr>
          <w:p w:rsidR="00A64028" w:rsidRPr="00A45259" w:rsidRDefault="00A64028" w:rsidP="00E82802">
            <w:pPr>
              <w:spacing w:after="0"/>
              <w:ind w:right="-104"/>
              <w:rPr>
                <w:rFonts w:ascii="Arial Narrow" w:hAnsi="Arial Narrow"/>
                <w:sz w:val="20"/>
                <w:szCs w:val="20"/>
              </w:rPr>
            </w:pPr>
            <w:r w:rsidRPr="00A45259">
              <w:rPr>
                <w:rFonts w:ascii="Arial Narrow" w:hAnsi="Arial Narrow"/>
                <w:sz w:val="20"/>
                <w:szCs w:val="20"/>
              </w:rPr>
              <w:t>Слабая, %</w:t>
            </w:r>
          </w:p>
        </w:tc>
        <w:tc>
          <w:tcPr>
            <w:tcW w:w="299" w:type="pct"/>
            <w:tcBorders>
              <w:top w:val="single" w:sz="4" w:space="0" w:color="auto"/>
              <w:left w:val="nil"/>
              <w:bottom w:val="single" w:sz="4" w:space="0" w:color="auto"/>
              <w:right w:val="single" w:sz="4" w:space="0" w:color="auto"/>
            </w:tcBorders>
            <w:shd w:val="clear" w:color="auto" w:fill="auto"/>
            <w:noWrap/>
            <w:vAlign w:val="center"/>
            <w:hideMark/>
          </w:tcPr>
          <w:p w:rsidR="00A64028" w:rsidRPr="00A45259" w:rsidRDefault="00A64028" w:rsidP="00103148">
            <w:pPr>
              <w:spacing w:after="0"/>
              <w:ind w:left="-76" w:right="-151"/>
              <w:jc w:val="center"/>
              <w:rPr>
                <w:rFonts w:ascii="Arial Narrow" w:hAnsi="Arial Narrow"/>
                <w:sz w:val="20"/>
                <w:szCs w:val="20"/>
              </w:rPr>
            </w:pPr>
            <w:r w:rsidRPr="00A45259">
              <w:rPr>
                <w:rFonts w:ascii="Arial Narrow" w:hAnsi="Arial Narrow"/>
                <w:sz w:val="20"/>
                <w:szCs w:val="20"/>
              </w:rPr>
              <w:t>6,6%</w:t>
            </w:r>
          </w:p>
        </w:tc>
        <w:tc>
          <w:tcPr>
            <w:tcW w:w="299" w:type="pct"/>
            <w:tcBorders>
              <w:top w:val="single" w:sz="4" w:space="0" w:color="auto"/>
              <w:left w:val="nil"/>
              <w:bottom w:val="single" w:sz="4" w:space="0" w:color="auto"/>
              <w:right w:val="single" w:sz="4" w:space="0" w:color="auto"/>
            </w:tcBorders>
            <w:shd w:val="clear" w:color="000000" w:fill="FFFFFF"/>
            <w:vAlign w:val="center"/>
            <w:hideMark/>
          </w:tcPr>
          <w:p w:rsidR="00A64028" w:rsidRPr="00A45259" w:rsidRDefault="00A64028" w:rsidP="00103148">
            <w:pPr>
              <w:spacing w:after="0"/>
              <w:ind w:left="-76" w:right="-151"/>
              <w:jc w:val="center"/>
              <w:rPr>
                <w:rFonts w:ascii="Arial Narrow" w:hAnsi="Arial Narrow"/>
                <w:sz w:val="20"/>
                <w:szCs w:val="20"/>
              </w:rPr>
            </w:pPr>
            <w:r w:rsidRPr="00A45259">
              <w:rPr>
                <w:rFonts w:ascii="Arial Narrow" w:hAnsi="Arial Narrow"/>
                <w:sz w:val="20"/>
                <w:szCs w:val="20"/>
              </w:rPr>
              <w:t>10,0%</w:t>
            </w:r>
          </w:p>
        </w:tc>
        <w:tc>
          <w:tcPr>
            <w:tcW w:w="297" w:type="pct"/>
            <w:tcBorders>
              <w:top w:val="single" w:sz="4" w:space="0" w:color="auto"/>
              <w:left w:val="nil"/>
              <w:bottom w:val="single" w:sz="4" w:space="0" w:color="auto"/>
              <w:right w:val="single" w:sz="4" w:space="0" w:color="auto"/>
            </w:tcBorders>
            <w:shd w:val="clear" w:color="000000" w:fill="FFFFFF"/>
            <w:vAlign w:val="center"/>
            <w:hideMark/>
          </w:tcPr>
          <w:p w:rsidR="00A64028" w:rsidRPr="00A45259" w:rsidRDefault="00A64028" w:rsidP="00103148">
            <w:pPr>
              <w:spacing w:after="0"/>
              <w:ind w:left="-76" w:right="-151"/>
              <w:jc w:val="center"/>
              <w:rPr>
                <w:rFonts w:ascii="Arial Narrow" w:hAnsi="Arial Narrow"/>
                <w:sz w:val="20"/>
                <w:szCs w:val="20"/>
              </w:rPr>
            </w:pPr>
            <w:r w:rsidRPr="00A45259">
              <w:rPr>
                <w:rFonts w:ascii="Arial Narrow" w:hAnsi="Arial Narrow"/>
                <w:sz w:val="20"/>
                <w:szCs w:val="20"/>
              </w:rPr>
              <w:t>0,0%</w:t>
            </w:r>
          </w:p>
        </w:tc>
        <w:tc>
          <w:tcPr>
            <w:tcW w:w="297" w:type="pct"/>
            <w:tcBorders>
              <w:top w:val="single" w:sz="4" w:space="0" w:color="auto"/>
              <w:left w:val="nil"/>
              <w:bottom w:val="single" w:sz="4" w:space="0" w:color="auto"/>
              <w:right w:val="single" w:sz="4" w:space="0" w:color="auto"/>
            </w:tcBorders>
            <w:shd w:val="clear" w:color="000000" w:fill="FFFFFF"/>
            <w:vAlign w:val="center"/>
            <w:hideMark/>
          </w:tcPr>
          <w:p w:rsidR="00A64028" w:rsidRPr="00A45259" w:rsidRDefault="00A64028" w:rsidP="00103148">
            <w:pPr>
              <w:spacing w:after="0"/>
              <w:ind w:left="-76" w:right="-151"/>
              <w:jc w:val="center"/>
              <w:rPr>
                <w:rFonts w:ascii="Arial Narrow" w:hAnsi="Arial Narrow"/>
                <w:sz w:val="20"/>
                <w:szCs w:val="20"/>
              </w:rPr>
            </w:pPr>
            <w:r w:rsidRPr="00A45259">
              <w:rPr>
                <w:rFonts w:ascii="Arial Narrow" w:hAnsi="Arial Narrow"/>
                <w:sz w:val="20"/>
                <w:szCs w:val="20"/>
              </w:rPr>
              <w:t>8,0%</w:t>
            </w:r>
          </w:p>
        </w:tc>
        <w:tc>
          <w:tcPr>
            <w:tcW w:w="297" w:type="pct"/>
            <w:tcBorders>
              <w:top w:val="single" w:sz="4" w:space="0" w:color="auto"/>
              <w:left w:val="nil"/>
              <w:bottom w:val="single" w:sz="4" w:space="0" w:color="auto"/>
              <w:right w:val="single" w:sz="4" w:space="0" w:color="auto"/>
            </w:tcBorders>
            <w:shd w:val="clear" w:color="000000" w:fill="FFFFFF"/>
            <w:vAlign w:val="center"/>
            <w:hideMark/>
          </w:tcPr>
          <w:p w:rsidR="00A64028" w:rsidRPr="00A45259" w:rsidRDefault="00A64028" w:rsidP="00103148">
            <w:pPr>
              <w:spacing w:after="0"/>
              <w:ind w:left="-76" w:right="-151"/>
              <w:jc w:val="center"/>
              <w:rPr>
                <w:rFonts w:ascii="Arial Narrow" w:hAnsi="Arial Narrow"/>
                <w:sz w:val="20"/>
                <w:szCs w:val="20"/>
              </w:rPr>
            </w:pPr>
            <w:r w:rsidRPr="00A45259">
              <w:rPr>
                <w:rFonts w:ascii="Arial Narrow" w:hAnsi="Arial Narrow"/>
                <w:sz w:val="20"/>
                <w:szCs w:val="20"/>
              </w:rPr>
              <w:t>7,1%</w:t>
            </w:r>
          </w:p>
        </w:tc>
        <w:tc>
          <w:tcPr>
            <w:tcW w:w="297" w:type="pct"/>
            <w:tcBorders>
              <w:top w:val="single" w:sz="4" w:space="0" w:color="auto"/>
              <w:left w:val="nil"/>
              <w:bottom w:val="single" w:sz="4" w:space="0" w:color="auto"/>
              <w:right w:val="single" w:sz="4" w:space="0" w:color="auto"/>
            </w:tcBorders>
            <w:shd w:val="clear" w:color="000000" w:fill="FFFFFF"/>
            <w:vAlign w:val="center"/>
            <w:hideMark/>
          </w:tcPr>
          <w:p w:rsidR="00A64028" w:rsidRPr="00A45259" w:rsidRDefault="00A64028" w:rsidP="00103148">
            <w:pPr>
              <w:spacing w:after="0"/>
              <w:ind w:left="-76" w:right="-151"/>
              <w:jc w:val="center"/>
              <w:rPr>
                <w:rFonts w:ascii="Arial Narrow" w:hAnsi="Arial Narrow"/>
                <w:sz w:val="20"/>
                <w:szCs w:val="20"/>
              </w:rPr>
            </w:pPr>
            <w:r w:rsidRPr="00A45259">
              <w:rPr>
                <w:rFonts w:ascii="Arial Narrow" w:hAnsi="Arial Narrow"/>
                <w:sz w:val="20"/>
                <w:szCs w:val="20"/>
              </w:rPr>
              <w:t>16,0%</w:t>
            </w:r>
          </w:p>
        </w:tc>
        <w:tc>
          <w:tcPr>
            <w:tcW w:w="297" w:type="pct"/>
            <w:tcBorders>
              <w:top w:val="single" w:sz="4" w:space="0" w:color="auto"/>
              <w:left w:val="nil"/>
              <w:bottom w:val="single" w:sz="4" w:space="0" w:color="auto"/>
              <w:right w:val="single" w:sz="4" w:space="0" w:color="auto"/>
            </w:tcBorders>
            <w:shd w:val="clear" w:color="000000" w:fill="FFFFFF"/>
            <w:vAlign w:val="center"/>
            <w:hideMark/>
          </w:tcPr>
          <w:p w:rsidR="00A64028" w:rsidRPr="00A45259" w:rsidRDefault="00A64028" w:rsidP="00103148">
            <w:pPr>
              <w:spacing w:after="0"/>
              <w:ind w:left="-76" w:right="-151"/>
              <w:jc w:val="center"/>
              <w:rPr>
                <w:rFonts w:ascii="Arial Narrow" w:hAnsi="Arial Narrow"/>
                <w:sz w:val="20"/>
                <w:szCs w:val="20"/>
              </w:rPr>
            </w:pPr>
            <w:r w:rsidRPr="00A45259">
              <w:rPr>
                <w:rFonts w:ascii="Arial Narrow" w:hAnsi="Arial Narrow"/>
                <w:sz w:val="20"/>
                <w:szCs w:val="20"/>
              </w:rPr>
              <w:t>16,0%</w:t>
            </w:r>
          </w:p>
        </w:tc>
        <w:tc>
          <w:tcPr>
            <w:tcW w:w="297" w:type="pct"/>
            <w:tcBorders>
              <w:top w:val="single" w:sz="4" w:space="0" w:color="auto"/>
              <w:left w:val="nil"/>
              <w:bottom w:val="single" w:sz="4" w:space="0" w:color="auto"/>
              <w:right w:val="single" w:sz="4" w:space="0" w:color="auto"/>
            </w:tcBorders>
            <w:shd w:val="clear" w:color="000000" w:fill="FFFFFF"/>
            <w:vAlign w:val="center"/>
            <w:hideMark/>
          </w:tcPr>
          <w:p w:rsidR="00A64028" w:rsidRPr="00A45259" w:rsidRDefault="00A64028" w:rsidP="00103148">
            <w:pPr>
              <w:spacing w:after="0"/>
              <w:ind w:left="-76" w:right="-151"/>
              <w:jc w:val="center"/>
              <w:rPr>
                <w:rFonts w:ascii="Arial Narrow" w:hAnsi="Arial Narrow"/>
                <w:sz w:val="20"/>
                <w:szCs w:val="20"/>
              </w:rPr>
            </w:pPr>
            <w:r w:rsidRPr="00A45259">
              <w:rPr>
                <w:rFonts w:ascii="Arial Narrow" w:hAnsi="Arial Narrow"/>
                <w:sz w:val="20"/>
                <w:szCs w:val="20"/>
              </w:rPr>
              <w:t>11,4%</w:t>
            </w:r>
          </w:p>
        </w:tc>
        <w:tc>
          <w:tcPr>
            <w:tcW w:w="297" w:type="pct"/>
            <w:tcBorders>
              <w:top w:val="single" w:sz="4" w:space="0" w:color="auto"/>
              <w:left w:val="nil"/>
              <w:bottom w:val="single" w:sz="4" w:space="0" w:color="auto"/>
              <w:right w:val="single" w:sz="4" w:space="0" w:color="auto"/>
            </w:tcBorders>
            <w:shd w:val="clear" w:color="000000" w:fill="FFFFFF"/>
            <w:vAlign w:val="center"/>
            <w:hideMark/>
          </w:tcPr>
          <w:p w:rsidR="00A64028" w:rsidRPr="00A45259" w:rsidRDefault="00A64028" w:rsidP="00103148">
            <w:pPr>
              <w:spacing w:after="0"/>
              <w:ind w:left="-76" w:right="-151"/>
              <w:jc w:val="center"/>
              <w:rPr>
                <w:rFonts w:ascii="Arial Narrow" w:hAnsi="Arial Narrow"/>
                <w:sz w:val="20"/>
                <w:szCs w:val="20"/>
              </w:rPr>
            </w:pPr>
            <w:r w:rsidRPr="00A45259">
              <w:rPr>
                <w:rFonts w:ascii="Arial Narrow" w:hAnsi="Arial Narrow"/>
                <w:sz w:val="20"/>
                <w:szCs w:val="20"/>
              </w:rPr>
              <w:t>6,7%</w:t>
            </w:r>
          </w:p>
        </w:tc>
        <w:tc>
          <w:tcPr>
            <w:tcW w:w="430" w:type="pct"/>
            <w:tcBorders>
              <w:top w:val="single" w:sz="4" w:space="0" w:color="auto"/>
              <w:left w:val="nil"/>
              <w:bottom w:val="single" w:sz="4" w:space="0" w:color="auto"/>
              <w:right w:val="single" w:sz="4" w:space="0" w:color="auto"/>
            </w:tcBorders>
            <w:shd w:val="clear" w:color="000000" w:fill="FFFFFF"/>
            <w:vAlign w:val="center"/>
            <w:hideMark/>
          </w:tcPr>
          <w:p w:rsidR="00A64028" w:rsidRPr="00A45259" w:rsidRDefault="00A64028" w:rsidP="00103148">
            <w:pPr>
              <w:spacing w:after="0"/>
              <w:ind w:left="-76" w:right="-151"/>
              <w:jc w:val="center"/>
              <w:rPr>
                <w:rFonts w:ascii="Arial Narrow" w:hAnsi="Arial Narrow"/>
                <w:sz w:val="20"/>
                <w:szCs w:val="20"/>
              </w:rPr>
            </w:pPr>
            <w:r w:rsidRPr="00A45259">
              <w:rPr>
                <w:rFonts w:ascii="Arial Narrow" w:hAnsi="Arial Narrow"/>
                <w:sz w:val="20"/>
                <w:szCs w:val="20"/>
              </w:rPr>
              <w:t>10,0%</w:t>
            </w:r>
          </w:p>
        </w:tc>
        <w:tc>
          <w:tcPr>
            <w:tcW w:w="267" w:type="pct"/>
            <w:tcBorders>
              <w:top w:val="single" w:sz="4" w:space="0" w:color="auto"/>
              <w:left w:val="nil"/>
              <w:bottom w:val="single" w:sz="4" w:space="0" w:color="auto"/>
              <w:right w:val="single" w:sz="4" w:space="0" w:color="auto"/>
            </w:tcBorders>
            <w:shd w:val="clear" w:color="000000" w:fill="FFFFFF"/>
            <w:vAlign w:val="center"/>
            <w:hideMark/>
          </w:tcPr>
          <w:p w:rsidR="00A64028" w:rsidRPr="00A45259" w:rsidRDefault="00A64028" w:rsidP="00103148">
            <w:pPr>
              <w:spacing w:after="0"/>
              <w:ind w:left="-76" w:right="-151"/>
              <w:jc w:val="center"/>
              <w:rPr>
                <w:rFonts w:ascii="Arial Narrow" w:hAnsi="Arial Narrow"/>
                <w:sz w:val="20"/>
                <w:szCs w:val="20"/>
              </w:rPr>
            </w:pPr>
            <w:r w:rsidRPr="00A45259">
              <w:rPr>
                <w:rFonts w:ascii="Arial Narrow" w:hAnsi="Arial Narrow"/>
                <w:sz w:val="20"/>
                <w:szCs w:val="20"/>
              </w:rPr>
              <w:t>0,0%</w:t>
            </w:r>
          </w:p>
        </w:tc>
        <w:tc>
          <w:tcPr>
            <w:tcW w:w="297" w:type="pct"/>
            <w:tcBorders>
              <w:top w:val="single" w:sz="4" w:space="0" w:color="auto"/>
              <w:left w:val="nil"/>
              <w:bottom w:val="single" w:sz="4" w:space="0" w:color="auto"/>
              <w:right w:val="single" w:sz="4" w:space="0" w:color="auto"/>
            </w:tcBorders>
            <w:shd w:val="clear" w:color="000000" w:fill="FFFFFF"/>
            <w:vAlign w:val="center"/>
            <w:hideMark/>
          </w:tcPr>
          <w:p w:rsidR="00A64028" w:rsidRPr="00A45259" w:rsidRDefault="00A64028" w:rsidP="00103148">
            <w:pPr>
              <w:spacing w:after="0"/>
              <w:ind w:left="-76" w:right="-151"/>
              <w:jc w:val="center"/>
              <w:rPr>
                <w:rFonts w:ascii="Arial Narrow" w:hAnsi="Arial Narrow"/>
                <w:sz w:val="20"/>
                <w:szCs w:val="20"/>
              </w:rPr>
            </w:pPr>
            <w:r w:rsidRPr="00A45259">
              <w:rPr>
                <w:rFonts w:ascii="Arial Narrow" w:hAnsi="Arial Narrow"/>
                <w:sz w:val="20"/>
                <w:szCs w:val="20"/>
              </w:rPr>
              <w:t>20,0%</w:t>
            </w:r>
          </w:p>
        </w:tc>
        <w:tc>
          <w:tcPr>
            <w:tcW w:w="297" w:type="pct"/>
            <w:tcBorders>
              <w:top w:val="single" w:sz="4" w:space="0" w:color="auto"/>
              <w:left w:val="nil"/>
              <w:bottom w:val="single" w:sz="4" w:space="0" w:color="auto"/>
              <w:right w:val="single" w:sz="4" w:space="0" w:color="auto"/>
            </w:tcBorders>
            <w:shd w:val="clear" w:color="000000" w:fill="FFFFFF"/>
            <w:vAlign w:val="center"/>
            <w:hideMark/>
          </w:tcPr>
          <w:p w:rsidR="00A64028" w:rsidRPr="00A45259" w:rsidRDefault="00A64028" w:rsidP="00103148">
            <w:pPr>
              <w:spacing w:after="0"/>
              <w:ind w:left="-76" w:right="-151"/>
              <w:jc w:val="center"/>
              <w:rPr>
                <w:rFonts w:ascii="Arial Narrow" w:hAnsi="Arial Narrow"/>
                <w:sz w:val="20"/>
                <w:szCs w:val="20"/>
              </w:rPr>
            </w:pPr>
            <w:r w:rsidRPr="00A45259">
              <w:rPr>
                <w:rFonts w:ascii="Arial Narrow" w:hAnsi="Arial Narrow"/>
                <w:sz w:val="20"/>
                <w:szCs w:val="20"/>
              </w:rPr>
              <w:t>14,0%</w:t>
            </w:r>
          </w:p>
        </w:tc>
        <w:tc>
          <w:tcPr>
            <w:tcW w:w="284" w:type="pct"/>
            <w:tcBorders>
              <w:top w:val="single" w:sz="4" w:space="0" w:color="auto"/>
              <w:left w:val="nil"/>
              <w:bottom w:val="single" w:sz="4" w:space="0" w:color="auto"/>
              <w:right w:val="single" w:sz="4" w:space="0" w:color="auto"/>
            </w:tcBorders>
            <w:shd w:val="clear" w:color="000000" w:fill="FFFFFF"/>
            <w:vAlign w:val="center"/>
            <w:hideMark/>
          </w:tcPr>
          <w:p w:rsidR="00A64028" w:rsidRPr="00A45259" w:rsidRDefault="00A64028" w:rsidP="00103148">
            <w:pPr>
              <w:spacing w:after="0"/>
              <w:ind w:left="-76" w:right="-151"/>
              <w:jc w:val="center"/>
              <w:rPr>
                <w:rFonts w:ascii="Arial Narrow" w:hAnsi="Arial Narrow"/>
                <w:sz w:val="20"/>
                <w:szCs w:val="20"/>
              </w:rPr>
            </w:pPr>
            <w:r w:rsidRPr="00A45259">
              <w:rPr>
                <w:rFonts w:ascii="Arial Narrow" w:hAnsi="Arial Narrow"/>
                <w:sz w:val="20"/>
                <w:szCs w:val="20"/>
              </w:rPr>
              <w:t>10,0%</w:t>
            </w:r>
          </w:p>
        </w:tc>
      </w:tr>
      <w:tr w:rsidR="00A64028" w:rsidRPr="00A45259" w:rsidTr="00ED3C71">
        <w:trPr>
          <w:trHeight w:val="270"/>
        </w:trPr>
        <w:tc>
          <w:tcPr>
            <w:tcW w:w="357" w:type="pct"/>
            <w:tcBorders>
              <w:top w:val="nil"/>
              <w:left w:val="single" w:sz="4" w:space="0" w:color="auto"/>
              <w:bottom w:val="single" w:sz="4" w:space="0" w:color="auto"/>
              <w:right w:val="single" w:sz="4" w:space="0" w:color="auto"/>
            </w:tcBorders>
            <w:shd w:val="clear" w:color="auto" w:fill="auto"/>
            <w:vAlign w:val="center"/>
            <w:hideMark/>
          </w:tcPr>
          <w:p w:rsidR="00A64028" w:rsidRPr="00A45259" w:rsidRDefault="00A64028" w:rsidP="00103148">
            <w:pPr>
              <w:spacing w:after="0"/>
              <w:ind w:left="-142" w:right="-97"/>
              <w:jc w:val="both"/>
              <w:rPr>
                <w:rFonts w:ascii="Arial Narrow" w:hAnsi="Arial Narrow"/>
                <w:sz w:val="20"/>
                <w:szCs w:val="20"/>
              </w:rPr>
            </w:pPr>
            <w:r w:rsidRPr="00A45259">
              <w:rPr>
                <w:rFonts w:ascii="Arial Narrow" w:hAnsi="Arial Narrow"/>
                <w:sz w:val="20"/>
                <w:szCs w:val="20"/>
              </w:rPr>
              <w:t> </w:t>
            </w:r>
          </w:p>
        </w:tc>
        <w:tc>
          <w:tcPr>
            <w:tcW w:w="391" w:type="pct"/>
            <w:tcBorders>
              <w:top w:val="nil"/>
              <w:left w:val="nil"/>
              <w:bottom w:val="single" w:sz="4" w:space="0" w:color="auto"/>
              <w:right w:val="single" w:sz="4" w:space="0" w:color="auto"/>
            </w:tcBorders>
            <w:shd w:val="clear" w:color="auto" w:fill="auto"/>
            <w:vAlign w:val="center"/>
            <w:hideMark/>
          </w:tcPr>
          <w:p w:rsidR="00A64028" w:rsidRPr="00A45259" w:rsidRDefault="00A64028" w:rsidP="00E82802">
            <w:pPr>
              <w:spacing w:after="0"/>
              <w:ind w:right="-104"/>
              <w:rPr>
                <w:rFonts w:ascii="Arial Narrow" w:hAnsi="Arial Narrow"/>
                <w:sz w:val="20"/>
                <w:szCs w:val="20"/>
              </w:rPr>
            </w:pPr>
            <w:r w:rsidRPr="00A45259">
              <w:rPr>
                <w:rFonts w:ascii="Arial Narrow" w:hAnsi="Arial Narrow"/>
                <w:sz w:val="20"/>
                <w:szCs w:val="20"/>
              </w:rPr>
              <w:t>Отсутствует, %</w:t>
            </w:r>
          </w:p>
        </w:tc>
        <w:tc>
          <w:tcPr>
            <w:tcW w:w="299" w:type="pct"/>
            <w:tcBorders>
              <w:top w:val="nil"/>
              <w:left w:val="nil"/>
              <w:bottom w:val="single" w:sz="4" w:space="0" w:color="auto"/>
              <w:right w:val="single" w:sz="4" w:space="0" w:color="auto"/>
            </w:tcBorders>
            <w:shd w:val="clear" w:color="auto" w:fill="auto"/>
            <w:noWrap/>
            <w:vAlign w:val="center"/>
            <w:hideMark/>
          </w:tcPr>
          <w:p w:rsidR="00A64028" w:rsidRPr="00A45259" w:rsidRDefault="00A64028" w:rsidP="00103148">
            <w:pPr>
              <w:spacing w:after="0"/>
              <w:ind w:left="-76" w:right="-151"/>
              <w:jc w:val="center"/>
              <w:rPr>
                <w:rFonts w:ascii="Arial Narrow" w:hAnsi="Arial Narrow"/>
                <w:sz w:val="20"/>
                <w:szCs w:val="20"/>
              </w:rPr>
            </w:pPr>
            <w:r w:rsidRPr="00A45259">
              <w:rPr>
                <w:rFonts w:ascii="Arial Narrow" w:hAnsi="Arial Narrow"/>
                <w:sz w:val="20"/>
                <w:szCs w:val="20"/>
              </w:rPr>
              <w:t>5,7%</w:t>
            </w:r>
          </w:p>
        </w:tc>
        <w:tc>
          <w:tcPr>
            <w:tcW w:w="299" w:type="pct"/>
            <w:tcBorders>
              <w:top w:val="nil"/>
              <w:left w:val="nil"/>
              <w:bottom w:val="single" w:sz="4" w:space="0" w:color="auto"/>
              <w:right w:val="single" w:sz="4" w:space="0" w:color="auto"/>
            </w:tcBorders>
            <w:shd w:val="clear" w:color="000000" w:fill="FFFFFF"/>
            <w:vAlign w:val="center"/>
            <w:hideMark/>
          </w:tcPr>
          <w:p w:rsidR="00A64028" w:rsidRPr="00A45259" w:rsidRDefault="00A64028" w:rsidP="00103148">
            <w:pPr>
              <w:spacing w:after="0"/>
              <w:ind w:left="-76" w:right="-151"/>
              <w:jc w:val="center"/>
              <w:rPr>
                <w:rFonts w:ascii="Arial Narrow" w:hAnsi="Arial Narrow"/>
                <w:sz w:val="20"/>
                <w:szCs w:val="20"/>
              </w:rPr>
            </w:pPr>
            <w:r w:rsidRPr="00A45259">
              <w:rPr>
                <w:rFonts w:ascii="Arial Narrow" w:hAnsi="Arial Narrow"/>
                <w:sz w:val="20"/>
                <w:szCs w:val="20"/>
              </w:rPr>
              <w:t>20,0%</w:t>
            </w:r>
          </w:p>
        </w:tc>
        <w:tc>
          <w:tcPr>
            <w:tcW w:w="297" w:type="pct"/>
            <w:tcBorders>
              <w:top w:val="nil"/>
              <w:left w:val="nil"/>
              <w:bottom w:val="single" w:sz="4" w:space="0" w:color="auto"/>
              <w:right w:val="single" w:sz="4" w:space="0" w:color="auto"/>
            </w:tcBorders>
            <w:shd w:val="clear" w:color="000000" w:fill="FFFFFF"/>
            <w:vAlign w:val="center"/>
            <w:hideMark/>
          </w:tcPr>
          <w:p w:rsidR="00A64028" w:rsidRPr="00A45259" w:rsidRDefault="00A64028" w:rsidP="00103148">
            <w:pPr>
              <w:spacing w:after="0"/>
              <w:ind w:left="-76" w:right="-151"/>
              <w:jc w:val="center"/>
              <w:rPr>
                <w:rFonts w:ascii="Arial Narrow" w:hAnsi="Arial Narrow"/>
                <w:sz w:val="20"/>
                <w:szCs w:val="20"/>
              </w:rPr>
            </w:pPr>
            <w:r w:rsidRPr="00A45259">
              <w:rPr>
                <w:rFonts w:ascii="Arial Narrow" w:hAnsi="Arial Narrow"/>
                <w:sz w:val="20"/>
                <w:szCs w:val="20"/>
              </w:rPr>
              <w:t>0,0%</w:t>
            </w:r>
          </w:p>
        </w:tc>
        <w:tc>
          <w:tcPr>
            <w:tcW w:w="297" w:type="pct"/>
            <w:tcBorders>
              <w:top w:val="nil"/>
              <w:left w:val="nil"/>
              <w:bottom w:val="single" w:sz="4" w:space="0" w:color="auto"/>
              <w:right w:val="single" w:sz="4" w:space="0" w:color="auto"/>
            </w:tcBorders>
            <w:shd w:val="clear" w:color="000000" w:fill="FFFFFF"/>
            <w:vAlign w:val="center"/>
            <w:hideMark/>
          </w:tcPr>
          <w:p w:rsidR="00A64028" w:rsidRPr="00A45259" w:rsidRDefault="00A64028" w:rsidP="00103148">
            <w:pPr>
              <w:spacing w:after="0"/>
              <w:ind w:left="-76" w:right="-151"/>
              <w:jc w:val="center"/>
              <w:rPr>
                <w:rFonts w:ascii="Arial Narrow" w:hAnsi="Arial Narrow"/>
                <w:sz w:val="20"/>
                <w:szCs w:val="20"/>
              </w:rPr>
            </w:pPr>
            <w:r w:rsidRPr="00A45259">
              <w:rPr>
                <w:rFonts w:ascii="Arial Narrow" w:hAnsi="Arial Narrow"/>
                <w:sz w:val="20"/>
                <w:szCs w:val="20"/>
              </w:rPr>
              <w:t>20,0%</w:t>
            </w:r>
          </w:p>
        </w:tc>
        <w:tc>
          <w:tcPr>
            <w:tcW w:w="297" w:type="pct"/>
            <w:tcBorders>
              <w:top w:val="nil"/>
              <w:left w:val="nil"/>
              <w:bottom w:val="single" w:sz="4" w:space="0" w:color="auto"/>
              <w:right w:val="single" w:sz="4" w:space="0" w:color="auto"/>
            </w:tcBorders>
            <w:shd w:val="clear" w:color="000000" w:fill="FFFFFF"/>
            <w:vAlign w:val="center"/>
            <w:hideMark/>
          </w:tcPr>
          <w:p w:rsidR="00A64028" w:rsidRPr="00A45259" w:rsidRDefault="00A64028" w:rsidP="00103148">
            <w:pPr>
              <w:spacing w:after="0"/>
              <w:ind w:left="-76" w:right="-151"/>
              <w:jc w:val="center"/>
              <w:rPr>
                <w:rFonts w:ascii="Arial Narrow" w:hAnsi="Arial Narrow"/>
                <w:sz w:val="20"/>
                <w:szCs w:val="20"/>
              </w:rPr>
            </w:pPr>
            <w:r w:rsidRPr="00A45259">
              <w:rPr>
                <w:rFonts w:ascii="Arial Narrow" w:hAnsi="Arial Narrow"/>
                <w:sz w:val="20"/>
                <w:szCs w:val="20"/>
              </w:rPr>
              <w:t>7,1%</w:t>
            </w:r>
          </w:p>
        </w:tc>
        <w:tc>
          <w:tcPr>
            <w:tcW w:w="297" w:type="pct"/>
            <w:tcBorders>
              <w:top w:val="nil"/>
              <w:left w:val="nil"/>
              <w:bottom w:val="single" w:sz="4" w:space="0" w:color="auto"/>
              <w:right w:val="single" w:sz="4" w:space="0" w:color="auto"/>
            </w:tcBorders>
            <w:shd w:val="clear" w:color="000000" w:fill="FFFFFF"/>
            <w:vAlign w:val="center"/>
            <w:hideMark/>
          </w:tcPr>
          <w:p w:rsidR="00A64028" w:rsidRPr="00A45259" w:rsidRDefault="00A64028" w:rsidP="00103148">
            <w:pPr>
              <w:spacing w:after="0"/>
              <w:ind w:left="-76" w:right="-151"/>
              <w:jc w:val="center"/>
              <w:rPr>
                <w:rFonts w:ascii="Arial Narrow" w:hAnsi="Arial Narrow"/>
                <w:sz w:val="20"/>
                <w:szCs w:val="20"/>
              </w:rPr>
            </w:pPr>
            <w:r w:rsidRPr="00A45259">
              <w:rPr>
                <w:rFonts w:ascii="Arial Narrow" w:hAnsi="Arial Narrow"/>
                <w:sz w:val="20"/>
                <w:szCs w:val="20"/>
              </w:rPr>
              <w:t>32,0%</w:t>
            </w:r>
          </w:p>
        </w:tc>
        <w:tc>
          <w:tcPr>
            <w:tcW w:w="297" w:type="pct"/>
            <w:tcBorders>
              <w:top w:val="nil"/>
              <w:left w:val="nil"/>
              <w:bottom w:val="single" w:sz="4" w:space="0" w:color="auto"/>
              <w:right w:val="single" w:sz="4" w:space="0" w:color="auto"/>
            </w:tcBorders>
            <w:shd w:val="clear" w:color="000000" w:fill="FFFFFF"/>
            <w:vAlign w:val="center"/>
            <w:hideMark/>
          </w:tcPr>
          <w:p w:rsidR="00A64028" w:rsidRPr="00A45259" w:rsidRDefault="00A64028" w:rsidP="00103148">
            <w:pPr>
              <w:spacing w:after="0"/>
              <w:ind w:left="-76" w:right="-151"/>
              <w:jc w:val="center"/>
              <w:rPr>
                <w:rFonts w:ascii="Arial Narrow" w:hAnsi="Arial Narrow"/>
                <w:sz w:val="20"/>
                <w:szCs w:val="20"/>
              </w:rPr>
            </w:pPr>
            <w:r w:rsidRPr="00A45259">
              <w:rPr>
                <w:rFonts w:ascii="Arial Narrow" w:hAnsi="Arial Narrow"/>
                <w:sz w:val="20"/>
                <w:szCs w:val="20"/>
              </w:rPr>
              <w:t>8,0%</w:t>
            </w:r>
          </w:p>
        </w:tc>
        <w:tc>
          <w:tcPr>
            <w:tcW w:w="297" w:type="pct"/>
            <w:tcBorders>
              <w:top w:val="nil"/>
              <w:left w:val="nil"/>
              <w:bottom w:val="single" w:sz="4" w:space="0" w:color="auto"/>
              <w:right w:val="single" w:sz="4" w:space="0" w:color="auto"/>
            </w:tcBorders>
            <w:shd w:val="clear" w:color="000000" w:fill="FFFFFF"/>
            <w:vAlign w:val="center"/>
            <w:hideMark/>
          </w:tcPr>
          <w:p w:rsidR="00A64028" w:rsidRPr="00A45259" w:rsidRDefault="00A64028" w:rsidP="00103148">
            <w:pPr>
              <w:spacing w:after="0"/>
              <w:ind w:left="-76" w:right="-151"/>
              <w:jc w:val="center"/>
              <w:rPr>
                <w:rFonts w:ascii="Arial Narrow" w:hAnsi="Arial Narrow"/>
                <w:sz w:val="20"/>
                <w:szCs w:val="20"/>
              </w:rPr>
            </w:pPr>
            <w:r w:rsidRPr="00A45259">
              <w:rPr>
                <w:rFonts w:ascii="Arial Narrow" w:hAnsi="Arial Narrow"/>
                <w:sz w:val="20"/>
                <w:szCs w:val="20"/>
              </w:rPr>
              <w:t>15,7%</w:t>
            </w:r>
          </w:p>
        </w:tc>
        <w:tc>
          <w:tcPr>
            <w:tcW w:w="297" w:type="pct"/>
            <w:tcBorders>
              <w:top w:val="nil"/>
              <w:left w:val="nil"/>
              <w:bottom w:val="single" w:sz="4" w:space="0" w:color="auto"/>
              <w:right w:val="single" w:sz="4" w:space="0" w:color="auto"/>
            </w:tcBorders>
            <w:shd w:val="clear" w:color="000000" w:fill="FFFFFF"/>
            <w:vAlign w:val="center"/>
            <w:hideMark/>
          </w:tcPr>
          <w:p w:rsidR="00A64028" w:rsidRPr="00A45259" w:rsidRDefault="00A64028" w:rsidP="00103148">
            <w:pPr>
              <w:spacing w:after="0"/>
              <w:ind w:left="-76" w:right="-151"/>
              <w:jc w:val="center"/>
              <w:rPr>
                <w:rFonts w:ascii="Arial Narrow" w:hAnsi="Arial Narrow"/>
                <w:sz w:val="20"/>
                <w:szCs w:val="20"/>
              </w:rPr>
            </w:pPr>
            <w:r w:rsidRPr="00A45259">
              <w:rPr>
                <w:rFonts w:ascii="Arial Narrow" w:hAnsi="Arial Narrow"/>
                <w:sz w:val="20"/>
                <w:szCs w:val="20"/>
              </w:rPr>
              <w:t>1,7%</w:t>
            </w:r>
          </w:p>
        </w:tc>
        <w:tc>
          <w:tcPr>
            <w:tcW w:w="430" w:type="pct"/>
            <w:tcBorders>
              <w:top w:val="nil"/>
              <w:left w:val="nil"/>
              <w:bottom w:val="single" w:sz="4" w:space="0" w:color="auto"/>
              <w:right w:val="single" w:sz="4" w:space="0" w:color="auto"/>
            </w:tcBorders>
            <w:shd w:val="clear" w:color="000000" w:fill="FFFFFF"/>
            <w:vAlign w:val="center"/>
            <w:hideMark/>
          </w:tcPr>
          <w:p w:rsidR="00A64028" w:rsidRPr="00A45259" w:rsidRDefault="00A64028" w:rsidP="00103148">
            <w:pPr>
              <w:spacing w:after="0"/>
              <w:ind w:left="-76" w:right="-151"/>
              <w:jc w:val="center"/>
              <w:rPr>
                <w:rFonts w:ascii="Arial Narrow" w:hAnsi="Arial Narrow"/>
                <w:sz w:val="20"/>
                <w:szCs w:val="20"/>
              </w:rPr>
            </w:pPr>
            <w:r w:rsidRPr="00A45259">
              <w:rPr>
                <w:rFonts w:ascii="Arial Narrow" w:hAnsi="Arial Narrow"/>
                <w:sz w:val="20"/>
                <w:szCs w:val="20"/>
              </w:rPr>
              <w:t>3,3%</w:t>
            </w:r>
          </w:p>
        </w:tc>
        <w:tc>
          <w:tcPr>
            <w:tcW w:w="267" w:type="pct"/>
            <w:tcBorders>
              <w:top w:val="nil"/>
              <w:left w:val="nil"/>
              <w:bottom w:val="single" w:sz="4" w:space="0" w:color="auto"/>
              <w:right w:val="single" w:sz="4" w:space="0" w:color="auto"/>
            </w:tcBorders>
            <w:shd w:val="clear" w:color="000000" w:fill="FFFFFF"/>
            <w:vAlign w:val="center"/>
            <w:hideMark/>
          </w:tcPr>
          <w:p w:rsidR="00A64028" w:rsidRPr="00A45259" w:rsidRDefault="00A64028" w:rsidP="00103148">
            <w:pPr>
              <w:spacing w:after="0"/>
              <w:ind w:left="-76" w:right="-151"/>
              <w:jc w:val="center"/>
              <w:rPr>
                <w:rFonts w:ascii="Arial Narrow" w:hAnsi="Arial Narrow"/>
                <w:sz w:val="20"/>
                <w:szCs w:val="20"/>
              </w:rPr>
            </w:pPr>
            <w:r w:rsidRPr="00A45259">
              <w:rPr>
                <w:rFonts w:ascii="Arial Narrow" w:hAnsi="Arial Narrow"/>
                <w:sz w:val="20"/>
                <w:szCs w:val="20"/>
              </w:rPr>
              <w:t>8,0%</w:t>
            </w:r>
          </w:p>
        </w:tc>
        <w:tc>
          <w:tcPr>
            <w:tcW w:w="297" w:type="pct"/>
            <w:tcBorders>
              <w:top w:val="nil"/>
              <w:left w:val="nil"/>
              <w:bottom w:val="single" w:sz="4" w:space="0" w:color="auto"/>
              <w:right w:val="single" w:sz="4" w:space="0" w:color="auto"/>
            </w:tcBorders>
            <w:shd w:val="clear" w:color="000000" w:fill="FFFFFF"/>
            <w:vAlign w:val="center"/>
            <w:hideMark/>
          </w:tcPr>
          <w:p w:rsidR="00A64028" w:rsidRPr="00A45259" w:rsidRDefault="00A64028" w:rsidP="00103148">
            <w:pPr>
              <w:spacing w:after="0"/>
              <w:ind w:left="-76" w:right="-151"/>
              <w:jc w:val="center"/>
              <w:rPr>
                <w:rFonts w:ascii="Arial Narrow" w:hAnsi="Arial Narrow"/>
                <w:sz w:val="20"/>
                <w:szCs w:val="20"/>
              </w:rPr>
            </w:pPr>
            <w:r w:rsidRPr="00A45259">
              <w:rPr>
                <w:rFonts w:ascii="Arial Narrow" w:hAnsi="Arial Narrow"/>
                <w:sz w:val="20"/>
                <w:szCs w:val="20"/>
              </w:rPr>
              <w:t>24,0%</w:t>
            </w:r>
          </w:p>
        </w:tc>
        <w:tc>
          <w:tcPr>
            <w:tcW w:w="297" w:type="pct"/>
            <w:tcBorders>
              <w:top w:val="nil"/>
              <w:left w:val="nil"/>
              <w:bottom w:val="single" w:sz="4" w:space="0" w:color="auto"/>
              <w:right w:val="single" w:sz="4" w:space="0" w:color="auto"/>
            </w:tcBorders>
            <w:shd w:val="clear" w:color="000000" w:fill="FFFFFF"/>
            <w:vAlign w:val="center"/>
            <w:hideMark/>
          </w:tcPr>
          <w:p w:rsidR="00A64028" w:rsidRPr="00A45259" w:rsidRDefault="00A64028" w:rsidP="00103148">
            <w:pPr>
              <w:spacing w:after="0"/>
              <w:ind w:left="-76" w:right="-151"/>
              <w:jc w:val="center"/>
              <w:rPr>
                <w:rFonts w:ascii="Arial Narrow" w:hAnsi="Arial Narrow"/>
                <w:sz w:val="20"/>
                <w:szCs w:val="20"/>
              </w:rPr>
            </w:pPr>
            <w:r w:rsidRPr="00A45259">
              <w:rPr>
                <w:rFonts w:ascii="Arial Narrow" w:hAnsi="Arial Narrow"/>
                <w:sz w:val="20"/>
                <w:szCs w:val="20"/>
              </w:rPr>
              <w:t>9,0%</w:t>
            </w:r>
          </w:p>
        </w:tc>
        <w:tc>
          <w:tcPr>
            <w:tcW w:w="284" w:type="pct"/>
            <w:tcBorders>
              <w:top w:val="nil"/>
              <w:left w:val="nil"/>
              <w:bottom w:val="single" w:sz="4" w:space="0" w:color="auto"/>
              <w:right w:val="single" w:sz="4" w:space="0" w:color="auto"/>
            </w:tcBorders>
            <w:shd w:val="clear" w:color="000000" w:fill="FFFFFF"/>
            <w:vAlign w:val="center"/>
            <w:hideMark/>
          </w:tcPr>
          <w:p w:rsidR="00A64028" w:rsidRPr="00A45259" w:rsidRDefault="00A64028" w:rsidP="00103148">
            <w:pPr>
              <w:spacing w:after="0"/>
              <w:ind w:left="-76" w:right="-151"/>
              <w:jc w:val="center"/>
              <w:rPr>
                <w:rFonts w:ascii="Arial Narrow" w:hAnsi="Arial Narrow"/>
                <w:sz w:val="20"/>
                <w:szCs w:val="20"/>
              </w:rPr>
            </w:pPr>
            <w:r w:rsidRPr="00A45259">
              <w:rPr>
                <w:rFonts w:ascii="Arial Narrow" w:hAnsi="Arial Narrow"/>
                <w:sz w:val="20"/>
                <w:szCs w:val="20"/>
              </w:rPr>
              <w:t>0,0%</w:t>
            </w:r>
          </w:p>
        </w:tc>
      </w:tr>
    </w:tbl>
    <w:p w:rsidR="00A64028" w:rsidRPr="009B4A85" w:rsidRDefault="00A64028" w:rsidP="00103148">
      <w:pPr>
        <w:spacing w:after="0"/>
        <w:ind w:firstLine="284"/>
        <w:jc w:val="both"/>
        <w:rPr>
          <w:rFonts w:ascii="Arial Narrow" w:hAnsi="Arial Narrow"/>
          <w:b/>
          <w:sz w:val="24"/>
          <w:szCs w:val="24"/>
        </w:rPr>
      </w:pPr>
    </w:p>
    <w:p w:rsidR="00A64028" w:rsidRPr="009B4A85" w:rsidRDefault="00A64028" w:rsidP="00103148">
      <w:pPr>
        <w:spacing w:after="0" w:line="360" w:lineRule="auto"/>
        <w:ind w:firstLine="284"/>
        <w:jc w:val="both"/>
        <w:rPr>
          <w:rFonts w:ascii="Arial Narrow" w:hAnsi="Arial Narrow"/>
          <w:b/>
          <w:sz w:val="24"/>
          <w:szCs w:val="24"/>
        </w:rPr>
      </w:pPr>
      <w:r w:rsidRPr="009B4A85">
        <w:rPr>
          <w:rFonts w:ascii="Arial Narrow" w:hAnsi="Arial Narrow"/>
          <w:b/>
          <w:sz w:val="24"/>
          <w:szCs w:val="24"/>
        </w:rPr>
        <w:t>Значения показателя 1.2.3. Доля респондентов, считающих, что конкуренция усилилась в 2016 г. по сравнению с 2015 годом (% от числа опрошенных), а также причины усиления конкуренции (% от числа опрошенных).</w:t>
      </w:r>
    </w:p>
    <w:p w:rsidR="00A64028" w:rsidRPr="009B4A85" w:rsidRDefault="00A64028" w:rsidP="00103148">
      <w:pPr>
        <w:spacing w:after="0" w:line="360" w:lineRule="auto"/>
        <w:ind w:firstLine="284"/>
        <w:jc w:val="both"/>
        <w:rPr>
          <w:rFonts w:ascii="Arial Narrow" w:hAnsi="Arial Narrow"/>
          <w:sz w:val="24"/>
          <w:szCs w:val="24"/>
        </w:rPr>
      </w:pPr>
      <w:r w:rsidRPr="009B4A85">
        <w:rPr>
          <w:rFonts w:ascii="Arial Narrow" w:hAnsi="Arial Narrow"/>
          <w:sz w:val="24"/>
          <w:szCs w:val="24"/>
        </w:rPr>
        <w:t xml:space="preserve">Мнения, что </w:t>
      </w:r>
      <w:r w:rsidRPr="009B4A85">
        <w:rPr>
          <w:rFonts w:ascii="Arial Narrow" w:hAnsi="Arial Narrow"/>
          <w:b/>
          <w:sz w:val="24"/>
          <w:szCs w:val="24"/>
        </w:rPr>
        <w:t>конкуренция усилилась</w:t>
      </w:r>
      <w:r w:rsidRPr="009B4A85">
        <w:rPr>
          <w:rFonts w:ascii="Arial Narrow" w:hAnsi="Arial Narrow"/>
          <w:sz w:val="24"/>
          <w:szCs w:val="24"/>
        </w:rPr>
        <w:t xml:space="preserve"> в 2016 г. по сравнению с 2015 годом, придерживаются 45,2 % представителей субъектов предпринимательства. Мнение о положительной динамике наиболее распространено среди представителей рынков услуг перевозок пассажиров наземным транспортом (автобусные перевозки и такси) (63,3 %), услуг детского отдыха и оздоровления и услуг по сбору, сортировке и переработке твердых коммунальных (бытовых) отходов (по 60 %). Реже всего усиление конкуренции отмечали участники рынков услуг психолого-педагогического сопровождения детей с ограниченными возможностями здоровья (28 %), услуг дошкольного образования (30 %) и услуг ЖКХ (32,9 %). На остальных рынках от 36,0 до 52,8 % опрошенных считают, что конкуренция в 2016 г. усилилась по сравнению с 2015 г.</w:t>
      </w:r>
    </w:p>
    <w:p w:rsidR="00A64028" w:rsidRPr="009B4A85" w:rsidRDefault="00A64028" w:rsidP="00103148">
      <w:pPr>
        <w:spacing w:after="0" w:line="360" w:lineRule="auto"/>
        <w:ind w:firstLine="284"/>
        <w:jc w:val="both"/>
        <w:rPr>
          <w:rFonts w:ascii="Arial Narrow" w:eastAsia="Calibri" w:hAnsi="Arial Narrow"/>
          <w:bCs/>
          <w:sz w:val="24"/>
          <w:szCs w:val="24"/>
        </w:rPr>
      </w:pPr>
      <w:r w:rsidRPr="009B4A85">
        <w:rPr>
          <w:rFonts w:ascii="Arial Narrow" w:eastAsia="Calibri" w:hAnsi="Arial Narrow"/>
          <w:bCs/>
          <w:sz w:val="24"/>
          <w:szCs w:val="24"/>
        </w:rPr>
        <w:t xml:space="preserve">Основными </w:t>
      </w:r>
      <w:r w:rsidRPr="009B4A85">
        <w:rPr>
          <w:rFonts w:ascii="Arial Narrow" w:eastAsia="Calibri" w:hAnsi="Arial Narrow"/>
          <w:b/>
          <w:bCs/>
          <w:sz w:val="24"/>
          <w:szCs w:val="24"/>
        </w:rPr>
        <w:t>причинами усиления интенсивности конкуренции</w:t>
      </w:r>
      <w:r w:rsidRPr="009B4A85">
        <w:rPr>
          <w:rFonts w:ascii="Arial Narrow" w:eastAsia="Calibri" w:hAnsi="Arial Narrow"/>
          <w:bCs/>
          <w:sz w:val="24"/>
          <w:szCs w:val="24"/>
        </w:rPr>
        <w:t xml:space="preserve"> в 2016 г. представители субъектов предпринимательства считают: </w:t>
      </w:r>
    </w:p>
    <w:p w:rsidR="00A64028" w:rsidRPr="009B4A85" w:rsidRDefault="00A64028" w:rsidP="00103148">
      <w:pPr>
        <w:pStyle w:val="aff4"/>
        <w:widowControl/>
        <w:numPr>
          <w:ilvl w:val="0"/>
          <w:numId w:val="41"/>
        </w:numPr>
        <w:autoSpaceDE/>
        <w:autoSpaceDN/>
        <w:adjustRightInd/>
        <w:spacing w:line="360" w:lineRule="auto"/>
        <w:ind w:left="0" w:firstLine="284"/>
        <w:jc w:val="both"/>
        <w:rPr>
          <w:rFonts w:ascii="Arial Narrow" w:eastAsia="Calibri" w:hAnsi="Arial Narrow"/>
          <w:bCs/>
          <w:sz w:val="24"/>
          <w:szCs w:val="24"/>
        </w:rPr>
      </w:pPr>
      <w:r w:rsidRPr="009B4A85">
        <w:rPr>
          <w:rFonts w:ascii="Arial Narrow" w:eastAsia="Calibri" w:hAnsi="Arial Narrow"/>
          <w:bCs/>
          <w:sz w:val="24"/>
          <w:szCs w:val="24"/>
        </w:rPr>
        <w:t>увеличение числа организаций, открытие новых компаний и т. п. (отметили 37,2 %);</w:t>
      </w:r>
    </w:p>
    <w:p w:rsidR="00A64028" w:rsidRPr="009B4A85" w:rsidRDefault="00A64028" w:rsidP="00103148">
      <w:pPr>
        <w:pStyle w:val="aff4"/>
        <w:widowControl/>
        <w:numPr>
          <w:ilvl w:val="0"/>
          <w:numId w:val="41"/>
        </w:numPr>
        <w:autoSpaceDE/>
        <w:autoSpaceDN/>
        <w:adjustRightInd/>
        <w:spacing w:line="360" w:lineRule="auto"/>
        <w:ind w:left="0" w:firstLine="284"/>
        <w:jc w:val="both"/>
        <w:rPr>
          <w:rFonts w:ascii="Arial Narrow" w:eastAsia="Calibri" w:hAnsi="Arial Narrow"/>
          <w:bCs/>
          <w:sz w:val="24"/>
          <w:szCs w:val="24"/>
        </w:rPr>
      </w:pPr>
      <w:r w:rsidRPr="009B4A85">
        <w:rPr>
          <w:rFonts w:ascii="Arial Narrow" w:eastAsia="Calibri" w:hAnsi="Arial Narrow"/>
          <w:bCs/>
          <w:sz w:val="24"/>
          <w:szCs w:val="24"/>
        </w:rPr>
        <w:t>низкий спрос на продукцию/услугу, неплатежеспособность населения (отметили 13,6 %);</w:t>
      </w:r>
    </w:p>
    <w:p w:rsidR="00A64028" w:rsidRPr="009B4A85" w:rsidRDefault="00A64028" w:rsidP="00103148">
      <w:pPr>
        <w:pStyle w:val="aff4"/>
        <w:widowControl/>
        <w:numPr>
          <w:ilvl w:val="0"/>
          <w:numId w:val="41"/>
        </w:numPr>
        <w:autoSpaceDE/>
        <w:autoSpaceDN/>
        <w:adjustRightInd/>
        <w:spacing w:line="360" w:lineRule="auto"/>
        <w:ind w:left="0" w:firstLine="284"/>
        <w:jc w:val="both"/>
        <w:rPr>
          <w:rFonts w:ascii="Arial Narrow" w:eastAsia="Calibri" w:hAnsi="Arial Narrow"/>
          <w:bCs/>
          <w:sz w:val="24"/>
          <w:szCs w:val="24"/>
        </w:rPr>
      </w:pPr>
      <w:r w:rsidRPr="009B4A85">
        <w:rPr>
          <w:rFonts w:ascii="Arial Narrow" w:eastAsia="Calibri" w:hAnsi="Arial Narrow"/>
          <w:bCs/>
          <w:sz w:val="24"/>
          <w:szCs w:val="24"/>
        </w:rPr>
        <w:t>кризис, экономическую нестабильность (отметили 6,9 %);</w:t>
      </w:r>
    </w:p>
    <w:p w:rsidR="00A64028" w:rsidRPr="009B4A85" w:rsidRDefault="00A64028" w:rsidP="00103148">
      <w:pPr>
        <w:pStyle w:val="aff4"/>
        <w:widowControl/>
        <w:numPr>
          <w:ilvl w:val="0"/>
          <w:numId w:val="41"/>
        </w:numPr>
        <w:autoSpaceDE/>
        <w:autoSpaceDN/>
        <w:adjustRightInd/>
        <w:spacing w:line="360" w:lineRule="auto"/>
        <w:ind w:left="0" w:firstLine="284"/>
        <w:jc w:val="both"/>
        <w:rPr>
          <w:rFonts w:ascii="Arial Narrow" w:eastAsia="Calibri" w:hAnsi="Arial Narrow"/>
          <w:bCs/>
          <w:sz w:val="24"/>
          <w:szCs w:val="24"/>
        </w:rPr>
      </w:pPr>
      <w:r w:rsidRPr="009B4A85">
        <w:rPr>
          <w:rFonts w:ascii="Arial Narrow" w:eastAsia="Calibri" w:hAnsi="Arial Narrow"/>
          <w:bCs/>
          <w:sz w:val="24"/>
          <w:szCs w:val="24"/>
        </w:rPr>
        <w:t>снижение цен, демпинги цен (отметили 4,5 %);</w:t>
      </w:r>
    </w:p>
    <w:p w:rsidR="00A64028" w:rsidRPr="009B4A85" w:rsidRDefault="00A64028" w:rsidP="00103148">
      <w:pPr>
        <w:pStyle w:val="aff4"/>
        <w:widowControl/>
        <w:numPr>
          <w:ilvl w:val="0"/>
          <w:numId w:val="41"/>
        </w:numPr>
        <w:autoSpaceDE/>
        <w:autoSpaceDN/>
        <w:adjustRightInd/>
        <w:spacing w:line="360" w:lineRule="auto"/>
        <w:ind w:left="0" w:firstLine="284"/>
        <w:jc w:val="both"/>
        <w:rPr>
          <w:rFonts w:ascii="Arial Narrow" w:eastAsia="Calibri" w:hAnsi="Arial Narrow"/>
          <w:bCs/>
          <w:sz w:val="24"/>
          <w:szCs w:val="24"/>
        </w:rPr>
      </w:pPr>
      <w:r w:rsidRPr="009B4A85">
        <w:rPr>
          <w:rFonts w:ascii="Arial Narrow" w:eastAsia="Calibri" w:hAnsi="Arial Narrow"/>
          <w:bCs/>
          <w:sz w:val="24"/>
          <w:szCs w:val="24"/>
        </w:rPr>
        <w:t>увеличение спроса (отметили 3,9 %);</w:t>
      </w:r>
    </w:p>
    <w:p w:rsidR="00A64028" w:rsidRPr="009B4A85" w:rsidRDefault="00A64028" w:rsidP="00103148">
      <w:pPr>
        <w:pStyle w:val="aff4"/>
        <w:widowControl/>
        <w:numPr>
          <w:ilvl w:val="0"/>
          <w:numId w:val="41"/>
        </w:numPr>
        <w:autoSpaceDE/>
        <w:autoSpaceDN/>
        <w:adjustRightInd/>
        <w:spacing w:line="360" w:lineRule="auto"/>
        <w:ind w:left="0" w:firstLine="284"/>
        <w:jc w:val="both"/>
        <w:rPr>
          <w:rFonts w:ascii="Arial Narrow" w:eastAsia="Calibri" w:hAnsi="Arial Narrow"/>
          <w:bCs/>
          <w:sz w:val="24"/>
          <w:szCs w:val="24"/>
        </w:rPr>
      </w:pPr>
      <w:r w:rsidRPr="009B4A85">
        <w:rPr>
          <w:rFonts w:ascii="Arial Narrow" w:eastAsia="Calibri" w:hAnsi="Arial Narrow"/>
          <w:bCs/>
          <w:sz w:val="24"/>
          <w:szCs w:val="24"/>
        </w:rPr>
        <w:t>деятельность монополистов (отметили 3,1 %).</w:t>
      </w:r>
    </w:p>
    <w:p w:rsidR="00A64028" w:rsidRPr="009B4A85" w:rsidRDefault="00A64028" w:rsidP="00103148">
      <w:pPr>
        <w:spacing w:after="0" w:line="360" w:lineRule="auto"/>
        <w:ind w:firstLine="284"/>
        <w:jc w:val="both"/>
        <w:rPr>
          <w:rFonts w:ascii="Arial Narrow" w:eastAsia="Calibri" w:hAnsi="Arial Narrow"/>
          <w:bCs/>
          <w:sz w:val="24"/>
          <w:szCs w:val="24"/>
        </w:rPr>
      </w:pPr>
      <w:r w:rsidRPr="009B4A85">
        <w:rPr>
          <w:rFonts w:ascii="Arial Narrow" w:eastAsia="Calibri" w:hAnsi="Arial Narrow"/>
          <w:bCs/>
          <w:sz w:val="24"/>
          <w:szCs w:val="24"/>
        </w:rPr>
        <w:t>В разрезе рынков ситуация в большинстве случаев аналогичная, но имеются исключения. На рынке услуг детского отдыха и оздоровления конкуренция усилилась не за счет роста числа компаний (отметили 0 %), а за счет снижения спроса, роста неплатежеспособности населения (66,7 %). Увеличение спроса как причину роста конкуренции чаще отмечали на рынках услуг дошкольного образования (отметили 33,3 %), услуг в сфере культуры (отметили 11,1 %), услуг ЖКХ (отметили 8,7 %). Ценовой демпинг играет наибольшую роль в усилении конкуренции на рынке услуг по сбору, сортировке и переработке ТБО (16,7 %).</w:t>
      </w:r>
    </w:p>
    <w:p w:rsidR="00A64028" w:rsidRPr="009B4A85" w:rsidRDefault="00A64028" w:rsidP="00103148">
      <w:pPr>
        <w:spacing w:after="0"/>
        <w:jc w:val="both"/>
        <w:rPr>
          <w:rFonts w:ascii="Arial Narrow" w:eastAsia="Calibri" w:hAnsi="Arial Narrow"/>
          <w:sz w:val="24"/>
          <w:szCs w:val="24"/>
        </w:rPr>
      </w:pPr>
    </w:p>
    <w:p w:rsidR="00E82802" w:rsidRDefault="00E82802">
      <w:pPr>
        <w:rPr>
          <w:rFonts w:ascii="Arial Narrow" w:eastAsia="Calibri" w:hAnsi="Arial Narrow"/>
          <w:sz w:val="24"/>
          <w:szCs w:val="24"/>
        </w:rPr>
      </w:pPr>
      <w:r>
        <w:rPr>
          <w:rFonts w:ascii="Arial Narrow" w:eastAsia="Calibri" w:hAnsi="Arial Narrow"/>
          <w:sz w:val="24"/>
          <w:szCs w:val="24"/>
        </w:rPr>
        <w:br w:type="page"/>
      </w:r>
    </w:p>
    <w:p w:rsidR="00A64028" w:rsidRPr="009B4A85" w:rsidRDefault="00A64028" w:rsidP="00EB3EA8">
      <w:pPr>
        <w:spacing w:after="0" w:line="240" w:lineRule="auto"/>
        <w:rPr>
          <w:rFonts w:ascii="Arial Narrow" w:hAnsi="Arial Narrow"/>
          <w:b/>
          <w:sz w:val="24"/>
          <w:szCs w:val="24"/>
        </w:rPr>
      </w:pPr>
      <w:r>
        <w:rPr>
          <w:rFonts w:ascii="Arial Narrow" w:eastAsia="Calibri" w:hAnsi="Arial Narrow"/>
          <w:sz w:val="24"/>
          <w:szCs w:val="24"/>
        </w:rPr>
        <w:lastRenderedPageBreak/>
        <w:t>Таблица</w:t>
      </w:r>
      <w:r w:rsidR="00262F71">
        <w:rPr>
          <w:rFonts w:ascii="Arial Narrow" w:eastAsia="Calibri" w:hAnsi="Arial Narrow"/>
          <w:sz w:val="24"/>
          <w:szCs w:val="24"/>
        </w:rPr>
        <w:t>7.17</w:t>
      </w:r>
      <w:r w:rsidRPr="009B4A85">
        <w:rPr>
          <w:rFonts w:ascii="Arial Narrow" w:eastAsia="Calibri" w:hAnsi="Arial Narrow"/>
          <w:sz w:val="24"/>
          <w:szCs w:val="24"/>
        </w:rPr>
        <w:t xml:space="preserve">. – </w:t>
      </w:r>
      <w:r w:rsidRPr="009B4A85">
        <w:rPr>
          <w:rFonts w:ascii="Arial Narrow" w:hAnsi="Arial Narrow"/>
          <w:b/>
          <w:sz w:val="24"/>
          <w:szCs w:val="24"/>
        </w:rPr>
        <w:t>Значение показателя 1.2.3. Доля респондентов, считающих, что конкуренция усилилась в 2016 г. по сравнению с 2015 годом (% от числа опрошенных)</w:t>
      </w:r>
    </w:p>
    <w:tbl>
      <w:tblPr>
        <w:tblW w:w="9999" w:type="dxa"/>
        <w:tblInd w:w="-279" w:type="dxa"/>
        <w:tblLayout w:type="fixed"/>
        <w:tblCellMar>
          <w:left w:w="0" w:type="dxa"/>
          <w:right w:w="0" w:type="dxa"/>
        </w:tblCellMar>
        <w:tblLook w:val="04A0"/>
      </w:tblPr>
      <w:tblGrid>
        <w:gridCol w:w="426"/>
        <w:gridCol w:w="2279"/>
        <w:gridCol w:w="567"/>
        <w:gridCol w:w="708"/>
        <w:gridCol w:w="502"/>
        <w:gridCol w:w="501"/>
        <w:gridCol w:w="502"/>
        <w:gridCol w:w="501"/>
        <w:gridCol w:w="502"/>
        <w:gridCol w:w="501"/>
        <w:gridCol w:w="502"/>
        <w:gridCol w:w="501"/>
        <w:gridCol w:w="502"/>
        <w:gridCol w:w="501"/>
        <w:gridCol w:w="502"/>
        <w:gridCol w:w="502"/>
      </w:tblGrid>
      <w:tr w:rsidR="00A64028" w:rsidRPr="00A45259" w:rsidTr="00ED3C71">
        <w:trPr>
          <w:cantSplit/>
          <w:trHeight w:val="4231"/>
        </w:trPr>
        <w:tc>
          <w:tcPr>
            <w:tcW w:w="426" w:type="dxa"/>
            <w:tcBorders>
              <w:top w:val="single" w:sz="4" w:space="0" w:color="auto"/>
              <w:left w:val="single" w:sz="4" w:space="0" w:color="auto"/>
              <w:bottom w:val="single" w:sz="4" w:space="0" w:color="auto"/>
              <w:right w:val="single" w:sz="4" w:space="0" w:color="auto"/>
            </w:tcBorders>
            <w:vAlign w:val="center"/>
            <w:hideMark/>
          </w:tcPr>
          <w:p w:rsidR="00A64028" w:rsidRPr="00A45259" w:rsidRDefault="00A64028" w:rsidP="00103148">
            <w:pPr>
              <w:spacing w:after="0" w:line="256" w:lineRule="auto"/>
              <w:jc w:val="center"/>
              <w:rPr>
                <w:rFonts w:ascii="Arial Narrow" w:hAnsi="Arial Narrow" w:cs="Arial"/>
                <w:sz w:val="20"/>
                <w:szCs w:val="20"/>
              </w:rPr>
            </w:pPr>
            <w:r w:rsidRPr="00A45259">
              <w:rPr>
                <w:rFonts w:ascii="Arial Narrow" w:hAnsi="Arial Narrow" w:cs="Arial"/>
                <w:sz w:val="20"/>
                <w:szCs w:val="20"/>
              </w:rPr>
              <w:t>№</w:t>
            </w:r>
          </w:p>
        </w:tc>
        <w:tc>
          <w:tcPr>
            <w:tcW w:w="2279" w:type="dxa"/>
            <w:tcBorders>
              <w:top w:val="single" w:sz="4" w:space="0" w:color="auto"/>
              <w:left w:val="nil"/>
              <w:bottom w:val="single" w:sz="4" w:space="0" w:color="auto"/>
              <w:right w:val="single" w:sz="4" w:space="0" w:color="auto"/>
            </w:tcBorders>
            <w:vAlign w:val="center"/>
            <w:hideMark/>
          </w:tcPr>
          <w:p w:rsidR="00A64028" w:rsidRPr="00E82802" w:rsidRDefault="00A64028" w:rsidP="00E82802">
            <w:pPr>
              <w:spacing w:after="0" w:line="240" w:lineRule="auto"/>
              <w:ind w:left="148" w:right="141"/>
              <w:rPr>
                <w:rFonts w:ascii="Arial Narrow" w:hAnsi="Arial Narrow" w:cs="Arial"/>
                <w:sz w:val="18"/>
                <w:szCs w:val="20"/>
              </w:rPr>
            </w:pPr>
            <w:r w:rsidRPr="00E82802">
              <w:rPr>
                <w:rFonts w:ascii="Arial Narrow" w:hAnsi="Arial Narrow" w:cs="Arial"/>
                <w:sz w:val="18"/>
                <w:szCs w:val="20"/>
              </w:rPr>
              <w:t>Наименование показателя, единица измерения</w:t>
            </w:r>
          </w:p>
        </w:tc>
        <w:tc>
          <w:tcPr>
            <w:tcW w:w="567" w:type="dxa"/>
            <w:tcBorders>
              <w:top w:val="single" w:sz="4" w:space="0" w:color="auto"/>
              <w:left w:val="nil"/>
              <w:bottom w:val="single" w:sz="4" w:space="0" w:color="auto"/>
              <w:right w:val="single" w:sz="4" w:space="0" w:color="auto"/>
            </w:tcBorders>
            <w:textDirection w:val="btLr"/>
            <w:vAlign w:val="center"/>
            <w:hideMark/>
          </w:tcPr>
          <w:p w:rsidR="00A64028" w:rsidRPr="00E82802" w:rsidRDefault="00A64028" w:rsidP="00E82802">
            <w:pPr>
              <w:spacing w:after="0" w:line="240" w:lineRule="auto"/>
              <w:ind w:left="113" w:right="113"/>
              <w:jc w:val="center"/>
              <w:rPr>
                <w:rFonts w:ascii="Arial Narrow" w:hAnsi="Arial Narrow" w:cs="Arial"/>
                <w:sz w:val="18"/>
                <w:szCs w:val="20"/>
              </w:rPr>
            </w:pPr>
            <w:r w:rsidRPr="00E82802">
              <w:rPr>
                <w:rFonts w:ascii="Arial Narrow" w:hAnsi="Arial Narrow" w:cs="Arial"/>
                <w:sz w:val="18"/>
                <w:szCs w:val="20"/>
              </w:rPr>
              <w:t>Общий по Новосибирской области</w:t>
            </w:r>
          </w:p>
        </w:tc>
        <w:tc>
          <w:tcPr>
            <w:tcW w:w="708" w:type="dxa"/>
            <w:tcBorders>
              <w:top w:val="single" w:sz="4" w:space="0" w:color="auto"/>
              <w:left w:val="nil"/>
              <w:bottom w:val="single" w:sz="4" w:space="0" w:color="auto"/>
              <w:right w:val="single" w:sz="4" w:space="0" w:color="auto"/>
            </w:tcBorders>
            <w:noWrap/>
            <w:textDirection w:val="btLr"/>
            <w:vAlign w:val="center"/>
            <w:hideMark/>
          </w:tcPr>
          <w:p w:rsidR="00A64028" w:rsidRPr="00E82802" w:rsidRDefault="00A64028" w:rsidP="00E82802">
            <w:pPr>
              <w:spacing w:after="0" w:line="240" w:lineRule="auto"/>
              <w:ind w:left="113" w:right="113"/>
              <w:jc w:val="center"/>
              <w:rPr>
                <w:rFonts w:ascii="Arial Narrow" w:hAnsi="Arial Narrow" w:cs="Arial"/>
                <w:sz w:val="18"/>
                <w:szCs w:val="20"/>
              </w:rPr>
            </w:pPr>
            <w:r w:rsidRPr="00E82802">
              <w:rPr>
                <w:rFonts w:ascii="Arial Narrow" w:hAnsi="Arial Narrow" w:cs="Arial"/>
                <w:sz w:val="18"/>
                <w:szCs w:val="20"/>
              </w:rPr>
              <w:t>Рынок услуг дошкольного образования (коммерческие детские сады и учреждения пребывания неполного дня)</w:t>
            </w:r>
          </w:p>
        </w:tc>
        <w:tc>
          <w:tcPr>
            <w:tcW w:w="502" w:type="dxa"/>
            <w:tcBorders>
              <w:top w:val="single" w:sz="4" w:space="0" w:color="auto"/>
              <w:left w:val="nil"/>
              <w:bottom w:val="single" w:sz="4" w:space="0" w:color="auto"/>
              <w:right w:val="single" w:sz="4" w:space="0" w:color="auto"/>
            </w:tcBorders>
            <w:noWrap/>
            <w:textDirection w:val="btLr"/>
            <w:vAlign w:val="center"/>
            <w:hideMark/>
          </w:tcPr>
          <w:p w:rsidR="00A64028" w:rsidRPr="00E82802" w:rsidRDefault="00A64028" w:rsidP="00E82802">
            <w:pPr>
              <w:spacing w:after="0" w:line="240" w:lineRule="auto"/>
              <w:ind w:left="113" w:right="113"/>
              <w:jc w:val="center"/>
              <w:rPr>
                <w:rFonts w:ascii="Arial Narrow" w:hAnsi="Arial Narrow" w:cs="Arial"/>
                <w:sz w:val="18"/>
                <w:szCs w:val="20"/>
              </w:rPr>
            </w:pPr>
            <w:r w:rsidRPr="00E82802">
              <w:rPr>
                <w:rFonts w:ascii="Arial Narrow" w:hAnsi="Arial Narrow" w:cs="Arial"/>
                <w:sz w:val="18"/>
                <w:szCs w:val="20"/>
              </w:rPr>
              <w:t>Рынок услуг детского отдыха и оздоровления</w:t>
            </w:r>
          </w:p>
        </w:tc>
        <w:tc>
          <w:tcPr>
            <w:tcW w:w="501" w:type="dxa"/>
            <w:tcBorders>
              <w:top w:val="single" w:sz="4" w:space="0" w:color="auto"/>
              <w:left w:val="nil"/>
              <w:bottom w:val="single" w:sz="4" w:space="0" w:color="auto"/>
              <w:right w:val="single" w:sz="4" w:space="0" w:color="auto"/>
            </w:tcBorders>
            <w:noWrap/>
            <w:textDirection w:val="btLr"/>
            <w:vAlign w:val="center"/>
            <w:hideMark/>
          </w:tcPr>
          <w:p w:rsidR="00A64028" w:rsidRPr="00E82802" w:rsidRDefault="00A64028" w:rsidP="00E82802">
            <w:pPr>
              <w:spacing w:after="0" w:line="240" w:lineRule="auto"/>
              <w:ind w:left="113" w:right="113"/>
              <w:jc w:val="center"/>
              <w:rPr>
                <w:rFonts w:ascii="Arial Narrow" w:hAnsi="Arial Narrow" w:cs="Arial"/>
                <w:sz w:val="18"/>
                <w:szCs w:val="20"/>
              </w:rPr>
            </w:pPr>
            <w:r w:rsidRPr="00E82802">
              <w:rPr>
                <w:rFonts w:ascii="Arial Narrow" w:hAnsi="Arial Narrow" w:cs="Arial"/>
                <w:sz w:val="18"/>
                <w:szCs w:val="20"/>
              </w:rPr>
              <w:t>Рынок дополнительного образования детей</w:t>
            </w:r>
          </w:p>
        </w:tc>
        <w:tc>
          <w:tcPr>
            <w:tcW w:w="502" w:type="dxa"/>
            <w:tcBorders>
              <w:top w:val="single" w:sz="4" w:space="0" w:color="auto"/>
              <w:left w:val="nil"/>
              <w:bottom w:val="single" w:sz="4" w:space="0" w:color="auto"/>
              <w:right w:val="single" w:sz="4" w:space="0" w:color="auto"/>
            </w:tcBorders>
            <w:noWrap/>
            <w:textDirection w:val="btLr"/>
            <w:vAlign w:val="center"/>
            <w:hideMark/>
          </w:tcPr>
          <w:p w:rsidR="00A64028" w:rsidRPr="00E82802" w:rsidRDefault="00A64028" w:rsidP="00E82802">
            <w:pPr>
              <w:spacing w:after="0" w:line="240" w:lineRule="auto"/>
              <w:ind w:left="113" w:right="113"/>
              <w:jc w:val="center"/>
              <w:rPr>
                <w:rFonts w:ascii="Arial Narrow" w:hAnsi="Arial Narrow" w:cs="Arial"/>
                <w:sz w:val="18"/>
                <w:szCs w:val="20"/>
              </w:rPr>
            </w:pPr>
            <w:r w:rsidRPr="00E82802">
              <w:rPr>
                <w:rFonts w:ascii="Arial Narrow" w:hAnsi="Arial Narrow" w:cs="Arial"/>
                <w:sz w:val="18"/>
                <w:szCs w:val="20"/>
              </w:rPr>
              <w:t>Рынок медицинских услуг</w:t>
            </w:r>
          </w:p>
        </w:tc>
        <w:tc>
          <w:tcPr>
            <w:tcW w:w="501" w:type="dxa"/>
            <w:tcBorders>
              <w:top w:val="single" w:sz="4" w:space="0" w:color="auto"/>
              <w:left w:val="nil"/>
              <w:bottom w:val="single" w:sz="4" w:space="0" w:color="auto"/>
              <w:right w:val="single" w:sz="4" w:space="0" w:color="auto"/>
            </w:tcBorders>
            <w:noWrap/>
            <w:textDirection w:val="btLr"/>
            <w:vAlign w:val="center"/>
            <w:hideMark/>
          </w:tcPr>
          <w:p w:rsidR="00A64028" w:rsidRPr="00E82802" w:rsidRDefault="00A64028" w:rsidP="00E82802">
            <w:pPr>
              <w:spacing w:after="0" w:line="240" w:lineRule="auto"/>
              <w:ind w:left="113" w:right="113"/>
              <w:jc w:val="center"/>
              <w:rPr>
                <w:rFonts w:ascii="Arial Narrow" w:hAnsi="Arial Narrow" w:cs="Arial"/>
                <w:sz w:val="18"/>
                <w:szCs w:val="20"/>
              </w:rPr>
            </w:pPr>
            <w:r w:rsidRPr="00E82802">
              <w:rPr>
                <w:rFonts w:ascii="Arial Narrow" w:hAnsi="Arial Narrow" w:cs="Arial"/>
                <w:sz w:val="18"/>
                <w:szCs w:val="20"/>
              </w:rPr>
              <w:t>Рынок услуг психолого-педагогического сопровождения детей с ограниченными возможностями здоровья</w:t>
            </w:r>
          </w:p>
        </w:tc>
        <w:tc>
          <w:tcPr>
            <w:tcW w:w="502" w:type="dxa"/>
            <w:tcBorders>
              <w:top w:val="single" w:sz="4" w:space="0" w:color="auto"/>
              <w:left w:val="nil"/>
              <w:bottom w:val="single" w:sz="4" w:space="0" w:color="auto"/>
              <w:right w:val="single" w:sz="4" w:space="0" w:color="auto"/>
            </w:tcBorders>
            <w:noWrap/>
            <w:textDirection w:val="btLr"/>
            <w:vAlign w:val="center"/>
            <w:hideMark/>
          </w:tcPr>
          <w:p w:rsidR="00A64028" w:rsidRPr="00E82802" w:rsidRDefault="00A64028" w:rsidP="00E82802">
            <w:pPr>
              <w:spacing w:after="0" w:line="240" w:lineRule="auto"/>
              <w:ind w:left="113" w:right="113"/>
              <w:jc w:val="center"/>
              <w:rPr>
                <w:rFonts w:ascii="Arial Narrow" w:hAnsi="Arial Narrow" w:cs="Arial"/>
                <w:sz w:val="18"/>
                <w:szCs w:val="20"/>
              </w:rPr>
            </w:pPr>
            <w:r w:rsidRPr="00E82802">
              <w:rPr>
                <w:rFonts w:ascii="Arial Narrow" w:hAnsi="Arial Narrow" w:cs="Arial"/>
                <w:sz w:val="18"/>
                <w:szCs w:val="20"/>
              </w:rPr>
              <w:t>Рынок услуг в сфере культуры</w:t>
            </w:r>
          </w:p>
        </w:tc>
        <w:tc>
          <w:tcPr>
            <w:tcW w:w="501" w:type="dxa"/>
            <w:tcBorders>
              <w:top w:val="single" w:sz="4" w:space="0" w:color="auto"/>
              <w:left w:val="nil"/>
              <w:bottom w:val="single" w:sz="4" w:space="0" w:color="auto"/>
              <w:right w:val="single" w:sz="4" w:space="0" w:color="auto"/>
            </w:tcBorders>
            <w:noWrap/>
            <w:textDirection w:val="btLr"/>
            <w:vAlign w:val="center"/>
            <w:hideMark/>
          </w:tcPr>
          <w:p w:rsidR="00A64028" w:rsidRPr="00E82802" w:rsidRDefault="00A64028" w:rsidP="00E82802">
            <w:pPr>
              <w:spacing w:after="0" w:line="240" w:lineRule="auto"/>
              <w:ind w:left="113" w:right="113"/>
              <w:jc w:val="center"/>
              <w:rPr>
                <w:rFonts w:ascii="Arial Narrow" w:hAnsi="Arial Narrow" w:cs="Arial"/>
                <w:sz w:val="18"/>
                <w:szCs w:val="20"/>
              </w:rPr>
            </w:pPr>
            <w:r w:rsidRPr="00E82802">
              <w:rPr>
                <w:rFonts w:ascii="Arial Narrow" w:hAnsi="Arial Narrow" w:cs="Arial"/>
                <w:sz w:val="18"/>
                <w:szCs w:val="20"/>
              </w:rPr>
              <w:t>Рынок услуг ЖКХ (управляющие компании)</w:t>
            </w:r>
          </w:p>
        </w:tc>
        <w:tc>
          <w:tcPr>
            <w:tcW w:w="502" w:type="dxa"/>
            <w:tcBorders>
              <w:top w:val="single" w:sz="4" w:space="0" w:color="auto"/>
              <w:left w:val="nil"/>
              <w:bottom w:val="single" w:sz="4" w:space="0" w:color="auto"/>
              <w:right w:val="single" w:sz="4" w:space="0" w:color="auto"/>
            </w:tcBorders>
            <w:noWrap/>
            <w:textDirection w:val="btLr"/>
            <w:vAlign w:val="center"/>
            <w:hideMark/>
          </w:tcPr>
          <w:p w:rsidR="00A64028" w:rsidRPr="00E82802" w:rsidRDefault="00A64028" w:rsidP="00E82802">
            <w:pPr>
              <w:spacing w:after="0" w:line="240" w:lineRule="auto"/>
              <w:ind w:left="113" w:right="113"/>
              <w:jc w:val="center"/>
              <w:rPr>
                <w:rFonts w:ascii="Arial Narrow" w:hAnsi="Arial Narrow" w:cs="Arial"/>
                <w:sz w:val="18"/>
                <w:szCs w:val="20"/>
              </w:rPr>
            </w:pPr>
            <w:r w:rsidRPr="00E82802">
              <w:rPr>
                <w:rFonts w:ascii="Arial Narrow" w:hAnsi="Arial Narrow" w:cs="Arial"/>
                <w:sz w:val="18"/>
                <w:szCs w:val="20"/>
              </w:rPr>
              <w:t>Розничная торговля (продажа продуктов питания и непродовольственных товаров)</w:t>
            </w:r>
          </w:p>
        </w:tc>
        <w:tc>
          <w:tcPr>
            <w:tcW w:w="501" w:type="dxa"/>
            <w:tcBorders>
              <w:top w:val="single" w:sz="4" w:space="0" w:color="auto"/>
              <w:left w:val="nil"/>
              <w:bottom w:val="single" w:sz="4" w:space="0" w:color="auto"/>
              <w:right w:val="single" w:sz="4" w:space="0" w:color="auto"/>
            </w:tcBorders>
            <w:noWrap/>
            <w:textDirection w:val="btLr"/>
            <w:vAlign w:val="center"/>
            <w:hideMark/>
          </w:tcPr>
          <w:p w:rsidR="00A64028" w:rsidRPr="00E82802" w:rsidRDefault="00A64028" w:rsidP="00E82802">
            <w:pPr>
              <w:spacing w:after="0" w:line="240" w:lineRule="auto"/>
              <w:ind w:left="113" w:right="113"/>
              <w:jc w:val="center"/>
              <w:rPr>
                <w:rFonts w:ascii="Arial Narrow" w:hAnsi="Arial Narrow" w:cs="Arial"/>
                <w:sz w:val="18"/>
                <w:szCs w:val="20"/>
              </w:rPr>
            </w:pPr>
            <w:r w:rsidRPr="00E82802">
              <w:rPr>
                <w:rFonts w:ascii="Arial Narrow" w:hAnsi="Arial Narrow" w:cs="Arial"/>
                <w:sz w:val="18"/>
                <w:szCs w:val="20"/>
              </w:rPr>
              <w:t>Рынок услуг перевозок пассажиров наземным транспортом (автобусные перевозки и такси)</w:t>
            </w:r>
          </w:p>
        </w:tc>
        <w:tc>
          <w:tcPr>
            <w:tcW w:w="502" w:type="dxa"/>
            <w:tcBorders>
              <w:top w:val="single" w:sz="4" w:space="0" w:color="auto"/>
              <w:left w:val="nil"/>
              <w:bottom w:val="single" w:sz="4" w:space="0" w:color="auto"/>
              <w:right w:val="single" w:sz="4" w:space="0" w:color="auto"/>
            </w:tcBorders>
            <w:noWrap/>
            <w:textDirection w:val="btLr"/>
            <w:vAlign w:val="center"/>
            <w:hideMark/>
          </w:tcPr>
          <w:p w:rsidR="00A64028" w:rsidRPr="00E82802" w:rsidRDefault="00A64028" w:rsidP="00E82802">
            <w:pPr>
              <w:spacing w:after="0" w:line="240" w:lineRule="auto"/>
              <w:ind w:left="113" w:right="113"/>
              <w:jc w:val="center"/>
              <w:rPr>
                <w:rFonts w:ascii="Arial Narrow" w:hAnsi="Arial Narrow" w:cs="Arial"/>
                <w:sz w:val="18"/>
                <w:szCs w:val="20"/>
              </w:rPr>
            </w:pPr>
            <w:r w:rsidRPr="00E82802">
              <w:rPr>
                <w:rFonts w:ascii="Arial Narrow" w:hAnsi="Arial Narrow" w:cs="Arial"/>
                <w:sz w:val="18"/>
                <w:szCs w:val="20"/>
              </w:rPr>
              <w:t>Рынок услуг связи</w:t>
            </w:r>
          </w:p>
        </w:tc>
        <w:tc>
          <w:tcPr>
            <w:tcW w:w="501" w:type="dxa"/>
            <w:tcBorders>
              <w:top w:val="single" w:sz="4" w:space="0" w:color="auto"/>
              <w:left w:val="nil"/>
              <w:bottom w:val="single" w:sz="4" w:space="0" w:color="auto"/>
              <w:right w:val="single" w:sz="4" w:space="0" w:color="auto"/>
            </w:tcBorders>
            <w:noWrap/>
            <w:textDirection w:val="btLr"/>
            <w:vAlign w:val="center"/>
            <w:hideMark/>
          </w:tcPr>
          <w:p w:rsidR="00A64028" w:rsidRPr="00E82802" w:rsidRDefault="00A64028" w:rsidP="00E82802">
            <w:pPr>
              <w:spacing w:after="0" w:line="240" w:lineRule="auto"/>
              <w:ind w:left="113" w:right="113"/>
              <w:jc w:val="center"/>
              <w:rPr>
                <w:rFonts w:ascii="Arial Narrow" w:hAnsi="Arial Narrow" w:cs="Arial"/>
                <w:sz w:val="18"/>
                <w:szCs w:val="20"/>
              </w:rPr>
            </w:pPr>
            <w:r w:rsidRPr="00E82802">
              <w:rPr>
                <w:rFonts w:ascii="Arial Narrow" w:hAnsi="Arial Narrow" w:cs="Arial"/>
                <w:sz w:val="18"/>
                <w:szCs w:val="20"/>
              </w:rPr>
              <w:t>Рынок услуг социального обслуживания населения</w:t>
            </w:r>
          </w:p>
        </w:tc>
        <w:tc>
          <w:tcPr>
            <w:tcW w:w="502" w:type="dxa"/>
            <w:tcBorders>
              <w:top w:val="single" w:sz="4" w:space="0" w:color="auto"/>
              <w:left w:val="nil"/>
              <w:bottom w:val="single" w:sz="4" w:space="0" w:color="auto"/>
              <w:right w:val="single" w:sz="4" w:space="0" w:color="auto"/>
            </w:tcBorders>
            <w:noWrap/>
            <w:textDirection w:val="btLr"/>
            <w:vAlign w:val="center"/>
            <w:hideMark/>
          </w:tcPr>
          <w:p w:rsidR="00A64028" w:rsidRPr="00E82802" w:rsidRDefault="00A64028" w:rsidP="00E82802">
            <w:pPr>
              <w:spacing w:after="0" w:line="240" w:lineRule="auto"/>
              <w:ind w:left="113" w:right="113"/>
              <w:jc w:val="center"/>
              <w:rPr>
                <w:rFonts w:ascii="Arial Narrow" w:hAnsi="Arial Narrow" w:cs="Arial"/>
                <w:sz w:val="18"/>
                <w:szCs w:val="20"/>
              </w:rPr>
            </w:pPr>
            <w:r w:rsidRPr="00E82802">
              <w:rPr>
                <w:rFonts w:ascii="Arial Narrow" w:hAnsi="Arial Narrow" w:cs="Arial"/>
                <w:sz w:val="18"/>
                <w:szCs w:val="20"/>
              </w:rPr>
              <w:t>Рынок развития, производства, переработки и хранения сельскохозяйственной продукции</w:t>
            </w:r>
          </w:p>
        </w:tc>
        <w:tc>
          <w:tcPr>
            <w:tcW w:w="502" w:type="dxa"/>
            <w:tcBorders>
              <w:top w:val="single" w:sz="4" w:space="0" w:color="auto"/>
              <w:left w:val="nil"/>
              <w:bottom w:val="single" w:sz="4" w:space="0" w:color="auto"/>
              <w:right w:val="single" w:sz="4" w:space="0" w:color="auto"/>
            </w:tcBorders>
            <w:noWrap/>
            <w:textDirection w:val="btLr"/>
            <w:vAlign w:val="center"/>
            <w:hideMark/>
          </w:tcPr>
          <w:p w:rsidR="00A64028" w:rsidRPr="00E82802" w:rsidRDefault="00A64028" w:rsidP="00E82802">
            <w:pPr>
              <w:spacing w:after="0" w:line="240" w:lineRule="auto"/>
              <w:ind w:left="113" w:right="113"/>
              <w:jc w:val="center"/>
              <w:rPr>
                <w:rFonts w:ascii="Arial Narrow" w:hAnsi="Arial Narrow" w:cs="Arial"/>
                <w:sz w:val="18"/>
                <w:szCs w:val="20"/>
              </w:rPr>
            </w:pPr>
            <w:r w:rsidRPr="00E82802">
              <w:rPr>
                <w:rFonts w:ascii="Arial Narrow" w:hAnsi="Arial Narrow" w:cs="Arial"/>
                <w:sz w:val="18"/>
                <w:szCs w:val="20"/>
              </w:rPr>
              <w:t>Рынок услуг по сбору, сортировке и переработке твердых коммунальных (бытовых) отходов</w:t>
            </w:r>
          </w:p>
        </w:tc>
      </w:tr>
      <w:tr w:rsidR="00A64028" w:rsidRPr="00A45259" w:rsidTr="00ED3C71">
        <w:tc>
          <w:tcPr>
            <w:tcW w:w="426" w:type="dxa"/>
            <w:tcBorders>
              <w:top w:val="nil"/>
              <w:left w:val="single" w:sz="4" w:space="0" w:color="auto"/>
              <w:bottom w:val="single" w:sz="4" w:space="0" w:color="auto"/>
              <w:right w:val="single" w:sz="4" w:space="0" w:color="auto"/>
            </w:tcBorders>
            <w:vAlign w:val="center"/>
            <w:hideMark/>
          </w:tcPr>
          <w:p w:rsidR="00A64028" w:rsidRPr="00A45259" w:rsidRDefault="00A64028" w:rsidP="00103148">
            <w:pPr>
              <w:spacing w:after="0"/>
              <w:jc w:val="both"/>
              <w:rPr>
                <w:rFonts w:ascii="Arial Narrow" w:hAnsi="Arial Narrow"/>
                <w:sz w:val="20"/>
                <w:szCs w:val="20"/>
              </w:rPr>
            </w:pPr>
            <w:r w:rsidRPr="00A45259">
              <w:rPr>
                <w:rFonts w:ascii="Arial Narrow" w:hAnsi="Arial Narrow"/>
                <w:sz w:val="20"/>
                <w:szCs w:val="20"/>
              </w:rPr>
              <w:t>1.2.3.</w:t>
            </w:r>
          </w:p>
        </w:tc>
        <w:tc>
          <w:tcPr>
            <w:tcW w:w="2279" w:type="dxa"/>
            <w:tcBorders>
              <w:top w:val="nil"/>
              <w:left w:val="nil"/>
              <w:bottom w:val="single" w:sz="4" w:space="0" w:color="auto"/>
              <w:right w:val="single" w:sz="4" w:space="0" w:color="auto"/>
            </w:tcBorders>
            <w:vAlign w:val="center"/>
            <w:hideMark/>
          </w:tcPr>
          <w:p w:rsidR="00A64028" w:rsidRPr="00A45259" w:rsidRDefault="00A64028" w:rsidP="00E82802">
            <w:pPr>
              <w:spacing w:after="0"/>
              <w:ind w:left="142" w:right="153"/>
              <w:jc w:val="both"/>
              <w:rPr>
                <w:rFonts w:ascii="Arial Narrow" w:hAnsi="Arial Narrow"/>
                <w:sz w:val="20"/>
                <w:szCs w:val="20"/>
              </w:rPr>
            </w:pPr>
            <w:r w:rsidRPr="00A45259">
              <w:rPr>
                <w:rFonts w:ascii="Arial Narrow" w:hAnsi="Arial Narrow"/>
                <w:sz w:val="20"/>
                <w:szCs w:val="20"/>
              </w:rPr>
              <w:t>Доля респондентов, считающих, что конкуренция усилилась в 2016 г. по сравнению с 2015 годом (% от числа опрошенных)</w:t>
            </w:r>
          </w:p>
        </w:tc>
        <w:tc>
          <w:tcPr>
            <w:tcW w:w="567" w:type="dxa"/>
            <w:tcBorders>
              <w:top w:val="nil"/>
              <w:left w:val="nil"/>
              <w:bottom w:val="single" w:sz="4" w:space="0" w:color="auto"/>
              <w:right w:val="single" w:sz="4" w:space="0" w:color="auto"/>
            </w:tcBorders>
            <w:noWrap/>
            <w:vAlign w:val="center"/>
            <w:hideMark/>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45,2%</w:t>
            </w:r>
          </w:p>
        </w:tc>
        <w:tc>
          <w:tcPr>
            <w:tcW w:w="708" w:type="dxa"/>
            <w:tcBorders>
              <w:top w:val="nil"/>
              <w:left w:val="nil"/>
              <w:bottom w:val="single" w:sz="4" w:space="0" w:color="auto"/>
              <w:right w:val="single" w:sz="4" w:space="0" w:color="auto"/>
            </w:tcBorders>
            <w:noWrap/>
            <w:vAlign w:val="center"/>
            <w:hideMark/>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30,0%</w:t>
            </w:r>
          </w:p>
        </w:tc>
        <w:tc>
          <w:tcPr>
            <w:tcW w:w="502" w:type="dxa"/>
            <w:tcBorders>
              <w:top w:val="nil"/>
              <w:left w:val="nil"/>
              <w:bottom w:val="single" w:sz="4" w:space="0" w:color="auto"/>
              <w:right w:val="single" w:sz="4" w:space="0" w:color="auto"/>
            </w:tcBorders>
            <w:noWrap/>
            <w:vAlign w:val="center"/>
            <w:hideMark/>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60,0%</w:t>
            </w:r>
          </w:p>
        </w:tc>
        <w:tc>
          <w:tcPr>
            <w:tcW w:w="501" w:type="dxa"/>
            <w:tcBorders>
              <w:top w:val="nil"/>
              <w:left w:val="nil"/>
              <w:bottom w:val="single" w:sz="4" w:space="0" w:color="auto"/>
              <w:right w:val="single" w:sz="4" w:space="0" w:color="auto"/>
            </w:tcBorders>
            <w:noWrap/>
            <w:vAlign w:val="center"/>
            <w:hideMark/>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44,0%</w:t>
            </w:r>
          </w:p>
        </w:tc>
        <w:tc>
          <w:tcPr>
            <w:tcW w:w="502" w:type="dxa"/>
            <w:tcBorders>
              <w:top w:val="nil"/>
              <w:left w:val="nil"/>
              <w:bottom w:val="single" w:sz="4" w:space="0" w:color="auto"/>
              <w:right w:val="single" w:sz="4" w:space="0" w:color="auto"/>
            </w:tcBorders>
            <w:noWrap/>
            <w:vAlign w:val="center"/>
            <w:hideMark/>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50,0%</w:t>
            </w:r>
          </w:p>
        </w:tc>
        <w:tc>
          <w:tcPr>
            <w:tcW w:w="501" w:type="dxa"/>
            <w:tcBorders>
              <w:top w:val="nil"/>
              <w:left w:val="nil"/>
              <w:bottom w:val="single" w:sz="4" w:space="0" w:color="auto"/>
              <w:right w:val="single" w:sz="4" w:space="0" w:color="auto"/>
            </w:tcBorders>
            <w:noWrap/>
            <w:vAlign w:val="center"/>
            <w:hideMark/>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28,0%</w:t>
            </w:r>
          </w:p>
        </w:tc>
        <w:tc>
          <w:tcPr>
            <w:tcW w:w="502" w:type="dxa"/>
            <w:tcBorders>
              <w:top w:val="nil"/>
              <w:left w:val="nil"/>
              <w:bottom w:val="single" w:sz="4" w:space="0" w:color="auto"/>
              <w:right w:val="single" w:sz="4" w:space="0" w:color="auto"/>
            </w:tcBorders>
            <w:noWrap/>
            <w:vAlign w:val="center"/>
            <w:hideMark/>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36,0%</w:t>
            </w:r>
          </w:p>
        </w:tc>
        <w:tc>
          <w:tcPr>
            <w:tcW w:w="501" w:type="dxa"/>
            <w:tcBorders>
              <w:top w:val="nil"/>
              <w:left w:val="nil"/>
              <w:bottom w:val="single" w:sz="4" w:space="0" w:color="auto"/>
              <w:right w:val="single" w:sz="4" w:space="0" w:color="auto"/>
            </w:tcBorders>
            <w:noWrap/>
            <w:vAlign w:val="center"/>
            <w:hideMark/>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32,9%</w:t>
            </w:r>
          </w:p>
        </w:tc>
        <w:tc>
          <w:tcPr>
            <w:tcW w:w="502" w:type="dxa"/>
            <w:tcBorders>
              <w:top w:val="nil"/>
              <w:left w:val="nil"/>
              <w:bottom w:val="single" w:sz="4" w:space="0" w:color="auto"/>
              <w:right w:val="single" w:sz="4" w:space="0" w:color="auto"/>
            </w:tcBorders>
            <w:noWrap/>
            <w:vAlign w:val="center"/>
            <w:hideMark/>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52,8%</w:t>
            </w:r>
          </w:p>
        </w:tc>
        <w:tc>
          <w:tcPr>
            <w:tcW w:w="501" w:type="dxa"/>
            <w:tcBorders>
              <w:top w:val="nil"/>
              <w:left w:val="nil"/>
              <w:bottom w:val="single" w:sz="4" w:space="0" w:color="auto"/>
              <w:right w:val="single" w:sz="4" w:space="0" w:color="auto"/>
            </w:tcBorders>
            <w:noWrap/>
            <w:vAlign w:val="center"/>
            <w:hideMark/>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63,3%</w:t>
            </w:r>
          </w:p>
        </w:tc>
        <w:tc>
          <w:tcPr>
            <w:tcW w:w="502" w:type="dxa"/>
            <w:tcBorders>
              <w:top w:val="nil"/>
              <w:left w:val="nil"/>
              <w:bottom w:val="single" w:sz="4" w:space="0" w:color="auto"/>
              <w:right w:val="single" w:sz="4" w:space="0" w:color="auto"/>
            </w:tcBorders>
            <w:noWrap/>
            <w:vAlign w:val="center"/>
            <w:hideMark/>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48,0%</w:t>
            </w:r>
          </w:p>
        </w:tc>
        <w:tc>
          <w:tcPr>
            <w:tcW w:w="501" w:type="dxa"/>
            <w:tcBorders>
              <w:top w:val="nil"/>
              <w:left w:val="nil"/>
              <w:bottom w:val="single" w:sz="4" w:space="0" w:color="auto"/>
              <w:right w:val="single" w:sz="4" w:space="0" w:color="auto"/>
            </w:tcBorders>
            <w:noWrap/>
            <w:vAlign w:val="center"/>
            <w:hideMark/>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52,0%</w:t>
            </w:r>
          </w:p>
        </w:tc>
        <w:tc>
          <w:tcPr>
            <w:tcW w:w="502" w:type="dxa"/>
            <w:tcBorders>
              <w:top w:val="nil"/>
              <w:left w:val="nil"/>
              <w:bottom w:val="single" w:sz="4" w:space="0" w:color="auto"/>
              <w:right w:val="single" w:sz="4" w:space="0" w:color="auto"/>
            </w:tcBorders>
            <w:noWrap/>
            <w:vAlign w:val="center"/>
            <w:hideMark/>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37,0%</w:t>
            </w:r>
          </w:p>
        </w:tc>
        <w:tc>
          <w:tcPr>
            <w:tcW w:w="502" w:type="dxa"/>
            <w:tcBorders>
              <w:top w:val="nil"/>
              <w:left w:val="nil"/>
              <w:bottom w:val="single" w:sz="4" w:space="0" w:color="auto"/>
              <w:right w:val="single" w:sz="4" w:space="0" w:color="auto"/>
            </w:tcBorders>
            <w:noWrap/>
            <w:vAlign w:val="center"/>
            <w:hideMark/>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60,0%</w:t>
            </w:r>
          </w:p>
        </w:tc>
      </w:tr>
    </w:tbl>
    <w:p w:rsidR="00A64028" w:rsidRPr="009B4A85" w:rsidRDefault="00A64028" w:rsidP="00103148">
      <w:pPr>
        <w:spacing w:after="0"/>
        <w:jc w:val="both"/>
        <w:rPr>
          <w:rFonts w:ascii="Arial Narrow" w:hAnsi="Arial Narrow"/>
          <w:b/>
          <w:sz w:val="24"/>
          <w:szCs w:val="24"/>
        </w:rPr>
      </w:pPr>
    </w:p>
    <w:p w:rsidR="00A64028" w:rsidRPr="009B4A85" w:rsidRDefault="00A64028" w:rsidP="00103148">
      <w:pPr>
        <w:spacing w:after="0"/>
        <w:rPr>
          <w:rFonts w:ascii="Arial Narrow" w:eastAsia="Calibri" w:hAnsi="Arial Narrow"/>
          <w:sz w:val="24"/>
          <w:szCs w:val="24"/>
        </w:rPr>
      </w:pPr>
    </w:p>
    <w:p w:rsidR="00A64028" w:rsidRPr="009B4A85" w:rsidRDefault="00A64028" w:rsidP="00EB3EA8">
      <w:pPr>
        <w:spacing w:after="0" w:line="240" w:lineRule="auto"/>
        <w:rPr>
          <w:rFonts w:ascii="Arial Narrow" w:hAnsi="Arial Narrow"/>
          <w:b/>
          <w:sz w:val="24"/>
          <w:szCs w:val="24"/>
        </w:rPr>
      </w:pPr>
      <w:r>
        <w:rPr>
          <w:rFonts w:ascii="Arial Narrow" w:eastAsia="Calibri" w:hAnsi="Arial Narrow"/>
          <w:sz w:val="24"/>
          <w:szCs w:val="24"/>
        </w:rPr>
        <w:t xml:space="preserve">Таблица </w:t>
      </w:r>
      <w:r w:rsidR="00262F71">
        <w:rPr>
          <w:rFonts w:ascii="Arial Narrow" w:eastAsia="Calibri" w:hAnsi="Arial Narrow"/>
          <w:sz w:val="24"/>
          <w:szCs w:val="24"/>
        </w:rPr>
        <w:t>7.18.</w:t>
      </w:r>
      <w:r w:rsidRPr="009B4A85">
        <w:rPr>
          <w:rFonts w:ascii="Arial Narrow" w:eastAsia="Calibri" w:hAnsi="Arial Narrow"/>
          <w:sz w:val="24"/>
          <w:szCs w:val="24"/>
        </w:rPr>
        <w:t xml:space="preserve"> – </w:t>
      </w:r>
      <w:r w:rsidRPr="009B4A85">
        <w:rPr>
          <w:rFonts w:ascii="Arial Narrow" w:hAnsi="Arial Narrow"/>
          <w:b/>
          <w:sz w:val="24"/>
          <w:szCs w:val="24"/>
        </w:rPr>
        <w:t>Значение показателя 1.2.3. Причины усиления конкуренции (% от числа опрошенных)</w:t>
      </w:r>
    </w:p>
    <w:tbl>
      <w:tblPr>
        <w:tblW w:w="5089"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1"/>
        <w:gridCol w:w="2039"/>
        <w:gridCol w:w="567"/>
        <w:gridCol w:w="463"/>
        <w:gridCol w:w="463"/>
        <w:gridCol w:w="517"/>
        <w:gridCol w:w="461"/>
        <w:gridCol w:w="660"/>
        <w:gridCol w:w="461"/>
        <w:gridCol w:w="461"/>
        <w:gridCol w:w="461"/>
        <w:gridCol w:w="531"/>
        <w:gridCol w:w="531"/>
        <w:gridCol w:w="531"/>
        <w:gridCol w:w="531"/>
        <w:gridCol w:w="720"/>
      </w:tblGrid>
      <w:tr w:rsidR="00ED3C71" w:rsidRPr="00A45259" w:rsidTr="00ED3C71">
        <w:trPr>
          <w:cantSplit/>
          <w:trHeight w:val="3090"/>
          <w:tblHeader/>
        </w:trPr>
        <w:tc>
          <w:tcPr>
            <w:tcW w:w="314" w:type="pct"/>
            <w:shd w:val="clear" w:color="auto" w:fill="auto"/>
            <w:noWrap/>
            <w:vAlign w:val="center"/>
            <w:hideMark/>
          </w:tcPr>
          <w:p w:rsidR="00A64028" w:rsidRPr="00A45259" w:rsidRDefault="00A64028" w:rsidP="00103148">
            <w:pPr>
              <w:spacing w:after="0" w:line="254" w:lineRule="auto"/>
              <w:jc w:val="center"/>
              <w:rPr>
                <w:rFonts w:ascii="Arial Narrow" w:hAnsi="Arial Narrow" w:cs="Arial"/>
                <w:sz w:val="20"/>
                <w:szCs w:val="20"/>
              </w:rPr>
            </w:pPr>
            <w:r w:rsidRPr="00A45259">
              <w:rPr>
                <w:rFonts w:ascii="Arial Narrow" w:hAnsi="Arial Narrow" w:cs="Arial"/>
                <w:sz w:val="20"/>
                <w:szCs w:val="20"/>
              </w:rPr>
              <w:t>№</w:t>
            </w:r>
          </w:p>
        </w:tc>
        <w:tc>
          <w:tcPr>
            <w:tcW w:w="1016" w:type="pct"/>
            <w:shd w:val="clear" w:color="000000" w:fill="FFFFFF"/>
            <w:vAlign w:val="center"/>
            <w:hideMark/>
          </w:tcPr>
          <w:p w:rsidR="00A64028" w:rsidRPr="00E82802" w:rsidRDefault="00A64028" w:rsidP="00E82802">
            <w:pPr>
              <w:spacing w:after="0" w:line="240" w:lineRule="auto"/>
              <w:ind w:left="148" w:right="141"/>
              <w:rPr>
                <w:rFonts w:ascii="Arial Narrow" w:hAnsi="Arial Narrow" w:cs="Arial"/>
                <w:sz w:val="18"/>
                <w:szCs w:val="20"/>
              </w:rPr>
            </w:pPr>
            <w:r w:rsidRPr="00E82802">
              <w:rPr>
                <w:rFonts w:ascii="Arial Narrow" w:hAnsi="Arial Narrow" w:cs="Arial"/>
                <w:sz w:val="18"/>
                <w:szCs w:val="20"/>
              </w:rPr>
              <w:t>Наименование показателя, единица измерения</w:t>
            </w:r>
          </w:p>
        </w:tc>
        <w:tc>
          <w:tcPr>
            <w:tcW w:w="282" w:type="pct"/>
            <w:shd w:val="clear" w:color="000000" w:fill="FFFFFF"/>
            <w:textDirection w:val="btLr"/>
          </w:tcPr>
          <w:p w:rsidR="00A64028" w:rsidRPr="00E82802" w:rsidRDefault="00A64028" w:rsidP="00E82802">
            <w:pPr>
              <w:spacing w:after="0" w:line="240" w:lineRule="auto"/>
              <w:ind w:left="113" w:right="113"/>
              <w:jc w:val="center"/>
              <w:rPr>
                <w:rFonts w:ascii="Arial Narrow" w:hAnsi="Arial Narrow"/>
                <w:sz w:val="18"/>
                <w:szCs w:val="20"/>
              </w:rPr>
            </w:pPr>
            <w:r w:rsidRPr="00E82802">
              <w:rPr>
                <w:rFonts w:ascii="Arial Narrow" w:hAnsi="Arial Narrow" w:cs="Arial"/>
                <w:sz w:val="18"/>
                <w:szCs w:val="20"/>
              </w:rPr>
              <w:t>Общий по Новосибирской области</w:t>
            </w:r>
          </w:p>
        </w:tc>
        <w:tc>
          <w:tcPr>
            <w:tcW w:w="231" w:type="pct"/>
            <w:shd w:val="clear" w:color="000000" w:fill="FFFFFF"/>
            <w:textDirection w:val="btLr"/>
            <w:vAlign w:val="center"/>
            <w:hideMark/>
          </w:tcPr>
          <w:p w:rsidR="00A64028" w:rsidRPr="00E82802" w:rsidRDefault="00A64028" w:rsidP="00E82802">
            <w:pPr>
              <w:spacing w:after="0" w:line="240" w:lineRule="auto"/>
              <w:ind w:left="113" w:right="113"/>
              <w:jc w:val="center"/>
              <w:rPr>
                <w:rFonts w:ascii="Arial Narrow" w:hAnsi="Arial Narrow"/>
                <w:sz w:val="18"/>
                <w:szCs w:val="20"/>
              </w:rPr>
            </w:pPr>
            <w:r w:rsidRPr="00E82802">
              <w:rPr>
                <w:rFonts w:ascii="Arial Narrow" w:hAnsi="Arial Narrow"/>
                <w:sz w:val="18"/>
                <w:szCs w:val="20"/>
              </w:rPr>
              <w:t>Рынок услуг дошкольного образования</w:t>
            </w:r>
          </w:p>
        </w:tc>
        <w:tc>
          <w:tcPr>
            <w:tcW w:w="231" w:type="pct"/>
            <w:shd w:val="clear" w:color="000000" w:fill="FFFFFF"/>
            <w:textDirection w:val="btLr"/>
            <w:vAlign w:val="center"/>
            <w:hideMark/>
          </w:tcPr>
          <w:p w:rsidR="00A64028" w:rsidRPr="00E82802" w:rsidRDefault="00A64028" w:rsidP="00E82802">
            <w:pPr>
              <w:spacing w:after="0" w:line="240" w:lineRule="auto"/>
              <w:ind w:left="113" w:right="113"/>
              <w:jc w:val="center"/>
              <w:rPr>
                <w:rFonts w:ascii="Arial Narrow" w:hAnsi="Arial Narrow"/>
                <w:sz w:val="18"/>
                <w:szCs w:val="20"/>
              </w:rPr>
            </w:pPr>
            <w:r w:rsidRPr="00E82802">
              <w:rPr>
                <w:rFonts w:ascii="Arial Narrow" w:hAnsi="Arial Narrow"/>
                <w:sz w:val="18"/>
                <w:szCs w:val="20"/>
              </w:rPr>
              <w:t>Рынок услуг детского отдыха и оздоровления</w:t>
            </w:r>
          </w:p>
        </w:tc>
        <w:tc>
          <w:tcPr>
            <w:tcW w:w="258" w:type="pct"/>
            <w:shd w:val="clear" w:color="000000" w:fill="FFFFFF"/>
            <w:textDirection w:val="btLr"/>
            <w:vAlign w:val="center"/>
            <w:hideMark/>
          </w:tcPr>
          <w:p w:rsidR="00A64028" w:rsidRPr="00E82802" w:rsidRDefault="00A64028" w:rsidP="00E82802">
            <w:pPr>
              <w:spacing w:after="0" w:line="240" w:lineRule="auto"/>
              <w:ind w:left="113" w:right="113"/>
              <w:jc w:val="center"/>
              <w:rPr>
                <w:rFonts w:ascii="Arial Narrow" w:hAnsi="Arial Narrow"/>
                <w:sz w:val="18"/>
                <w:szCs w:val="20"/>
              </w:rPr>
            </w:pPr>
            <w:r w:rsidRPr="00E82802">
              <w:rPr>
                <w:rFonts w:ascii="Arial Narrow" w:hAnsi="Arial Narrow"/>
                <w:sz w:val="18"/>
                <w:szCs w:val="20"/>
              </w:rPr>
              <w:t>Рынок дополнительного образования детей</w:t>
            </w:r>
          </w:p>
        </w:tc>
        <w:tc>
          <w:tcPr>
            <w:tcW w:w="230" w:type="pct"/>
            <w:shd w:val="clear" w:color="000000" w:fill="FFFFFF"/>
            <w:textDirection w:val="btLr"/>
            <w:vAlign w:val="center"/>
            <w:hideMark/>
          </w:tcPr>
          <w:p w:rsidR="00A64028" w:rsidRPr="00E82802" w:rsidRDefault="00A64028" w:rsidP="00E82802">
            <w:pPr>
              <w:spacing w:after="0" w:line="240" w:lineRule="auto"/>
              <w:ind w:left="113" w:right="113"/>
              <w:jc w:val="center"/>
              <w:rPr>
                <w:rFonts w:ascii="Arial Narrow" w:hAnsi="Arial Narrow"/>
                <w:sz w:val="18"/>
                <w:szCs w:val="20"/>
              </w:rPr>
            </w:pPr>
            <w:r w:rsidRPr="00E82802">
              <w:rPr>
                <w:rFonts w:ascii="Arial Narrow" w:hAnsi="Arial Narrow"/>
                <w:sz w:val="18"/>
                <w:szCs w:val="20"/>
              </w:rPr>
              <w:t>Рынок медицинских услуг</w:t>
            </w:r>
          </w:p>
        </w:tc>
        <w:tc>
          <w:tcPr>
            <w:tcW w:w="329" w:type="pct"/>
            <w:shd w:val="clear" w:color="000000" w:fill="FFFFFF"/>
            <w:textDirection w:val="btLr"/>
            <w:vAlign w:val="center"/>
            <w:hideMark/>
          </w:tcPr>
          <w:p w:rsidR="00A64028" w:rsidRPr="00E82802" w:rsidRDefault="00A64028" w:rsidP="00E82802">
            <w:pPr>
              <w:spacing w:after="0" w:line="240" w:lineRule="auto"/>
              <w:ind w:left="113" w:right="113"/>
              <w:jc w:val="center"/>
              <w:rPr>
                <w:rFonts w:ascii="Arial Narrow" w:hAnsi="Arial Narrow"/>
                <w:sz w:val="18"/>
                <w:szCs w:val="20"/>
              </w:rPr>
            </w:pPr>
            <w:r w:rsidRPr="00E82802">
              <w:rPr>
                <w:rFonts w:ascii="Arial Narrow" w:hAnsi="Arial Narrow"/>
                <w:sz w:val="18"/>
                <w:szCs w:val="20"/>
              </w:rPr>
              <w:t>Рынок услуг психолого-педагогического сопровождения детей с ограниченными возможностями здоровья</w:t>
            </w:r>
          </w:p>
        </w:tc>
        <w:tc>
          <w:tcPr>
            <w:tcW w:w="230" w:type="pct"/>
            <w:shd w:val="clear" w:color="000000" w:fill="FFFFFF"/>
            <w:textDirection w:val="btLr"/>
            <w:vAlign w:val="center"/>
            <w:hideMark/>
          </w:tcPr>
          <w:p w:rsidR="00A64028" w:rsidRPr="00E82802" w:rsidRDefault="00A64028" w:rsidP="00E82802">
            <w:pPr>
              <w:spacing w:after="0" w:line="240" w:lineRule="auto"/>
              <w:ind w:left="113" w:right="113"/>
              <w:jc w:val="center"/>
              <w:rPr>
                <w:rFonts w:ascii="Arial Narrow" w:hAnsi="Arial Narrow"/>
                <w:sz w:val="18"/>
                <w:szCs w:val="20"/>
              </w:rPr>
            </w:pPr>
            <w:r w:rsidRPr="00E82802">
              <w:rPr>
                <w:rFonts w:ascii="Arial Narrow" w:hAnsi="Arial Narrow"/>
                <w:sz w:val="18"/>
                <w:szCs w:val="20"/>
              </w:rPr>
              <w:t>Рынок услуг в сфере культуры</w:t>
            </w:r>
          </w:p>
        </w:tc>
        <w:tc>
          <w:tcPr>
            <w:tcW w:w="230" w:type="pct"/>
            <w:shd w:val="clear" w:color="000000" w:fill="FFFFFF"/>
            <w:textDirection w:val="btLr"/>
            <w:vAlign w:val="center"/>
            <w:hideMark/>
          </w:tcPr>
          <w:p w:rsidR="00A64028" w:rsidRPr="00E82802" w:rsidRDefault="00A64028" w:rsidP="00E82802">
            <w:pPr>
              <w:spacing w:after="0" w:line="240" w:lineRule="auto"/>
              <w:ind w:left="113" w:right="113"/>
              <w:jc w:val="center"/>
              <w:rPr>
                <w:rFonts w:ascii="Arial Narrow" w:hAnsi="Arial Narrow"/>
                <w:sz w:val="18"/>
                <w:szCs w:val="20"/>
              </w:rPr>
            </w:pPr>
            <w:r w:rsidRPr="00E82802">
              <w:rPr>
                <w:rFonts w:ascii="Arial Narrow" w:hAnsi="Arial Narrow"/>
                <w:sz w:val="18"/>
                <w:szCs w:val="20"/>
              </w:rPr>
              <w:t>Рынок услуг ЖКХ</w:t>
            </w:r>
          </w:p>
        </w:tc>
        <w:tc>
          <w:tcPr>
            <w:tcW w:w="230" w:type="pct"/>
            <w:shd w:val="clear" w:color="000000" w:fill="FFFFFF"/>
            <w:textDirection w:val="btLr"/>
            <w:vAlign w:val="center"/>
            <w:hideMark/>
          </w:tcPr>
          <w:p w:rsidR="00A64028" w:rsidRPr="00E82802" w:rsidRDefault="00A64028" w:rsidP="00E82802">
            <w:pPr>
              <w:spacing w:after="0" w:line="240" w:lineRule="auto"/>
              <w:ind w:left="113" w:right="113"/>
              <w:jc w:val="center"/>
              <w:rPr>
                <w:rFonts w:ascii="Arial Narrow" w:hAnsi="Arial Narrow"/>
                <w:sz w:val="18"/>
                <w:szCs w:val="20"/>
              </w:rPr>
            </w:pPr>
            <w:r w:rsidRPr="00E82802">
              <w:rPr>
                <w:rFonts w:ascii="Arial Narrow" w:hAnsi="Arial Narrow"/>
                <w:sz w:val="18"/>
                <w:szCs w:val="20"/>
              </w:rPr>
              <w:t>Розничная торговля</w:t>
            </w:r>
          </w:p>
        </w:tc>
        <w:tc>
          <w:tcPr>
            <w:tcW w:w="265" w:type="pct"/>
            <w:shd w:val="clear" w:color="000000" w:fill="FFFFFF"/>
            <w:textDirection w:val="btLr"/>
            <w:vAlign w:val="center"/>
            <w:hideMark/>
          </w:tcPr>
          <w:p w:rsidR="00A64028" w:rsidRPr="00E82802" w:rsidRDefault="00A64028" w:rsidP="00E82802">
            <w:pPr>
              <w:spacing w:after="0" w:line="240" w:lineRule="auto"/>
              <w:ind w:left="113" w:right="113"/>
              <w:jc w:val="center"/>
              <w:rPr>
                <w:rFonts w:ascii="Arial Narrow" w:hAnsi="Arial Narrow"/>
                <w:sz w:val="18"/>
                <w:szCs w:val="20"/>
              </w:rPr>
            </w:pPr>
            <w:r w:rsidRPr="00E82802">
              <w:rPr>
                <w:rFonts w:ascii="Arial Narrow" w:hAnsi="Arial Narrow"/>
                <w:sz w:val="18"/>
                <w:szCs w:val="20"/>
              </w:rPr>
              <w:t>Рынок услуг перевозок пассажиров наземным транспортом</w:t>
            </w:r>
          </w:p>
        </w:tc>
        <w:tc>
          <w:tcPr>
            <w:tcW w:w="265" w:type="pct"/>
            <w:shd w:val="clear" w:color="000000" w:fill="FFFFFF"/>
            <w:textDirection w:val="btLr"/>
            <w:vAlign w:val="center"/>
            <w:hideMark/>
          </w:tcPr>
          <w:p w:rsidR="00A64028" w:rsidRPr="00E82802" w:rsidRDefault="00A64028" w:rsidP="00E82802">
            <w:pPr>
              <w:spacing w:after="0" w:line="240" w:lineRule="auto"/>
              <w:ind w:left="113" w:right="113"/>
              <w:jc w:val="center"/>
              <w:rPr>
                <w:rFonts w:ascii="Arial Narrow" w:hAnsi="Arial Narrow"/>
                <w:sz w:val="18"/>
                <w:szCs w:val="20"/>
              </w:rPr>
            </w:pPr>
            <w:r w:rsidRPr="00E82802">
              <w:rPr>
                <w:rFonts w:ascii="Arial Narrow" w:hAnsi="Arial Narrow"/>
                <w:sz w:val="18"/>
                <w:szCs w:val="20"/>
              </w:rPr>
              <w:t>Рынок услуг связи</w:t>
            </w:r>
          </w:p>
        </w:tc>
        <w:tc>
          <w:tcPr>
            <w:tcW w:w="265" w:type="pct"/>
            <w:shd w:val="clear" w:color="000000" w:fill="FFFFFF"/>
            <w:textDirection w:val="btLr"/>
            <w:vAlign w:val="center"/>
            <w:hideMark/>
          </w:tcPr>
          <w:p w:rsidR="00A64028" w:rsidRPr="00E82802" w:rsidRDefault="00A64028" w:rsidP="00E82802">
            <w:pPr>
              <w:spacing w:after="0" w:line="240" w:lineRule="auto"/>
              <w:ind w:left="113" w:right="113"/>
              <w:jc w:val="center"/>
              <w:rPr>
                <w:rFonts w:ascii="Arial Narrow" w:hAnsi="Arial Narrow"/>
                <w:sz w:val="18"/>
                <w:szCs w:val="20"/>
              </w:rPr>
            </w:pPr>
            <w:r w:rsidRPr="00E82802">
              <w:rPr>
                <w:rFonts w:ascii="Arial Narrow" w:hAnsi="Arial Narrow"/>
                <w:sz w:val="18"/>
                <w:szCs w:val="20"/>
              </w:rPr>
              <w:t>Рынок услуг социального обслуживания населения</w:t>
            </w:r>
          </w:p>
        </w:tc>
        <w:tc>
          <w:tcPr>
            <w:tcW w:w="265" w:type="pct"/>
            <w:shd w:val="clear" w:color="000000" w:fill="FFFFFF"/>
            <w:textDirection w:val="btLr"/>
            <w:vAlign w:val="center"/>
            <w:hideMark/>
          </w:tcPr>
          <w:p w:rsidR="00A64028" w:rsidRPr="00E82802" w:rsidRDefault="00A64028" w:rsidP="00E82802">
            <w:pPr>
              <w:spacing w:after="0" w:line="240" w:lineRule="auto"/>
              <w:ind w:left="113" w:right="113"/>
              <w:jc w:val="center"/>
              <w:rPr>
                <w:rFonts w:ascii="Arial Narrow" w:hAnsi="Arial Narrow"/>
                <w:sz w:val="18"/>
                <w:szCs w:val="20"/>
              </w:rPr>
            </w:pPr>
            <w:r w:rsidRPr="00E82802">
              <w:rPr>
                <w:rFonts w:ascii="Arial Narrow" w:hAnsi="Arial Narrow"/>
                <w:sz w:val="18"/>
                <w:szCs w:val="20"/>
              </w:rPr>
              <w:t>Рынок развития, производства, переработки и хранения с/х продукции</w:t>
            </w:r>
          </w:p>
        </w:tc>
        <w:tc>
          <w:tcPr>
            <w:tcW w:w="362" w:type="pct"/>
            <w:shd w:val="clear" w:color="000000" w:fill="FFFFFF"/>
            <w:textDirection w:val="btLr"/>
            <w:vAlign w:val="center"/>
            <w:hideMark/>
          </w:tcPr>
          <w:p w:rsidR="00A64028" w:rsidRPr="00E82802" w:rsidRDefault="00A64028" w:rsidP="00E82802">
            <w:pPr>
              <w:spacing w:after="0" w:line="240" w:lineRule="auto"/>
              <w:ind w:left="113" w:right="113"/>
              <w:jc w:val="center"/>
              <w:rPr>
                <w:rFonts w:ascii="Arial Narrow" w:hAnsi="Arial Narrow"/>
                <w:sz w:val="18"/>
                <w:szCs w:val="20"/>
              </w:rPr>
            </w:pPr>
            <w:r w:rsidRPr="00E82802">
              <w:rPr>
                <w:rFonts w:ascii="Arial Narrow" w:hAnsi="Arial Narrow"/>
                <w:sz w:val="18"/>
                <w:szCs w:val="20"/>
              </w:rPr>
              <w:t>Рынок услуг по сбору, сортировке и переработке твердых коммунальных (бытовых) отходов</w:t>
            </w:r>
          </w:p>
        </w:tc>
      </w:tr>
      <w:tr w:rsidR="00A64028" w:rsidRPr="00A45259" w:rsidTr="00ED3C71">
        <w:trPr>
          <w:cantSplit/>
          <w:trHeight w:val="20"/>
        </w:trPr>
        <w:tc>
          <w:tcPr>
            <w:tcW w:w="314" w:type="pct"/>
            <w:shd w:val="clear" w:color="auto" w:fill="auto"/>
            <w:noWrap/>
            <w:vAlign w:val="center"/>
            <w:hideMark/>
          </w:tcPr>
          <w:p w:rsidR="00A64028" w:rsidRPr="00A45259" w:rsidRDefault="00A64028" w:rsidP="00103148">
            <w:pPr>
              <w:spacing w:after="0"/>
              <w:jc w:val="both"/>
              <w:rPr>
                <w:rFonts w:ascii="Arial Narrow" w:hAnsi="Arial Narrow"/>
                <w:sz w:val="20"/>
                <w:szCs w:val="20"/>
              </w:rPr>
            </w:pPr>
            <w:r w:rsidRPr="00A45259">
              <w:rPr>
                <w:rFonts w:ascii="Arial Narrow" w:hAnsi="Arial Narrow"/>
                <w:sz w:val="20"/>
                <w:szCs w:val="20"/>
              </w:rPr>
              <w:t>1.2.3.</w:t>
            </w:r>
          </w:p>
        </w:tc>
        <w:tc>
          <w:tcPr>
            <w:tcW w:w="4686" w:type="pct"/>
            <w:gridSpan w:val="15"/>
            <w:shd w:val="clear" w:color="000000" w:fill="FFFFFF"/>
            <w:vAlign w:val="center"/>
            <w:hideMark/>
          </w:tcPr>
          <w:p w:rsidR="00A64028" w:rsidRPr="00A45259" w:rsidRDefault="00A64028" w:rsidP="00103148">
            <w:pPr>
              <w:spacing w:after="0"/>
              <w:jc w:val="both"/>
              <w:rPr>
                <w:rFonts w:ascii="Arial Narrow" w:hAnsi="Arial Narrow"/>
                <w:sz w:val="20"/>
                <w:szCs w:val="20"/>
              </w:rPr>
            </w:pPr>
            <w:r w:rsidRPr="00A45259">
              <w:rPr>
                <w:rFonts w:ascii="Arial Narrow" w:hAnsi="Arial Narrow"/>
                <w:sz w:val="20"/>
                <w:szCs w:val="20"/>
              </w:rPr>
              <w:t>Причины усиления конкуренции (% от числа опрошенных)</w:t>
            </w:r>
          </w:p>
        </w:tc>
      </w:tr>
      <w:tr w:rsidR="00ED3C71" w:rsidRPr="00A45259" w:rsidTr="00ED3C71">
        <w:trPr>
          <w:cantSplit/>
          <w:trHeight w:val="20"/>
        </w:trPr>
        <w:tc>
          <w:tcPr>
            <w:tcW w:w="314" w:type="pct"/>
            <w:shd w:val="clear" w:color="auto" w:fill="auto"/>
            <w:noWrap/>
            <w:vAlign w:val="bottom"/>
            <w:hideMark/>
          </w:tcPr>
          <w:p w:rsidR="00A64028" w:rsidRPr="00A45259" w:rsidRDefault="00A64028" w:rsidP="00103148">
            <w:pPr>
              <w:spacing w:after="0"/>
              <w:rPr>
                <w:rFonts w:ascii="Arial Narrow" w:hAnsi="Arial Narrow"/>
                <w:sz w:val="20"/>
                <w:szCs w:val="20"/>
              </w:rPr>
            </w:pPr>
            <w:r w:rsidRPr="00A45259">
              <w:rPr>
                <w:rFonts w:ascii="Arial Narrow" w:hAnsi="Arial Narrow"/>
                <w:sz w:val="20"/>
                <w:szCs w:val="20"/>
              </w:rPr>
              <w:t> </w:t>
            </w:r>
          </w:p>
        </w:tc>
        <w:tc>
          <w:tcPr>
            <w:tcW w:w="1016" w:type="pct"/>
            <w:shd w:val="clear" w:color="000000" w:fill="FFFFFF"/>
            <w:vAlign w:val="center"/>
            <w:hideMark/>
          </w:tcPr>
          <w:p w:rsidR="00A64028" w:rsidRPr="00A45259" w:rsidRDefault="00A64028" w:rsidP="00103148">
            <w:pPr>
              <w:spacing w:after="0"/>
              <w:ind w:left="-60" w:right="-113"/>
              <w:rPr>
                <w:rFonts w:ascii="Arial Narrow" w:hAnsi="Arial Narrow"/>
                <w:sz w:val="20"/>
                <w:szCs w:val="20"/>
              </w:rPr>
            </w:pPr>
            <w:r w:rsidRPr="00A45259">
              <w:rPr>
                <w:rFonts w:ascii="Arial Narrow" w:hAnsi="Arial Narrow"/>
                <w:sz w:val="20"/>
                <w:szCs w:val="20"/>
              </w:rPr>
              <w:t>Усилилась конкуренция: стало больше организаций, открылись новые компании и т. п.</w:t>
            </w:r>
          </w:p>
        </w:tc>
        <w:tc>
          <w:tcPr>
            <w:tcW w:w="282" w:type="pct"/>
            <w:shd w:val="clear" w:color="000000" w:fill="FFFFFF"/>
            <w:vAlign w:val="center"/>
          </w:tcPr>
          <w:p w:rsidR="00A64028" w:rsidRPr="00A45259" w:rsidRDefault="00A64028" w:rsidP="00103148">
            <w:pPr>
              <w:spacing w:after="0"/>
              <w:ind w:left="-113" w:right="-113"/>
              <w:jc w:val="center"/>
              <w:rPr>
                <w:rFonts w:ascii="Arial Narrow" w:hAnsi="Arial Narrow" w:cs="Arial"/>
                <w:sz w:val="20"/>
                <w:szCs w:val="20"/>
              </w:rPr>
            </w:pPr>
            <w:r w:rsidRPr="00A45259">
              <w:rPr>
                <w:rFonts w:ascii="Arial Narrow" w:hAnsi="Arial Narrow" w:cs="Arial"/>
                <w:sz w:val="20"/>
                <w:szCs w:val="20"/>
              </w:rPr>
              <w:t>37,2%</w:t>
            </w:r>
          </w:p>
        </w:tc>
        <w:tc>
          <w:tcPr>
            <w:tcW w:w="231"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33,3%</w:t>
            </w:r>
          </w:p>
        </w:tc>
        <w:tc>
          <w:tcPr>
            <w:tcW w:w="231"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58"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81,8%</w:t>
            </w:r>
          </w:p>
        </w:tc>
        <w:tc>
          <w:tcPr>
            <w:tcW w:w="230"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48,6%</w:t>
            </w:r>
          </w:p>
        </w:tc>
        <w:tc>
          <w:tcPr>
            <w:tcW w:w="329"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57,1%</w:t>
            </w:r>
          </w:p>
        </w:tc>
        <w:tc>
          <w:tcPr>
            <w:tcW w:w="230"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66,7%</w:t>
            </w:r>
          </w:p>
        </w:tc>
        <w:tc>
          <w:tcPr>
            <w:tcW w:w="230"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39,1%</w:t>
            </w:r>
          </w:p>
        </w:tc>
        <w:tc>
          <w:tcPr>
            <w:tcW w:w="230"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42,1%</w:t>
            </w:r>
          </w:p>
        </w:tc>
        <w:tc>
          <w:tcPr>
            <w:tcW w:w="265"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26,3%</w:t>
            </w:r>
          </w:p>
        </w:tc>
        <w:tc>
          <w:tcPr>
            <w:tcW w:w="265"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50,0%</w:t>
            </w:r>
          </w:p>
        </w:tc>
        <w:tc>
          <w:tcPr>
            <w:tcW w:w="265"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76,9%</w:t>
            </w:r>
          </w:p>
        </w:tc>
        <w:tc>
          <w:tcPr>
            <w:tcW w:w="265"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29,7%</w:t>
            </w:r>
          </w:p>
        </w:tc>
        <w:tc>
          <w:tcPr>
            <w:tcW w:w="362"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16,7%</w:t>
            </w:r>
          </w:p>
        </w:tc>
      </w:tr>
      <w:tr w:rsidR="00ED3C71" w:rsidRPr="00A45259" w:rsidTr="00ED3C71">
        <w:trPr>
          <w:cantSplit/>
          <w:trHeight w:val="20"/>
        </w:trPr>
        <w:tc>
          <w:tcPr>
            <w:tcW w:w="314" w:type="pct"/>
            <w:shd w:val="clear" w:color="auto" w:fill="auto"/>
            <w:noWrap/>
            <w:vAlign w:val="bottom"/>
            <w:hideMark/>
          </w:tcPr>
          <w:p w:rsidR="00A64028" w:rsidRPr="00A45259" w:rsidRDefault="00A64028" w:rsidP="00103148">
            <w:pPr>
              <w:spacing w:after="0"/>
              <w:rPr>
                <w:rFonts w:ascii="Arial Narrow" w:hAnsi="Arial Narrow"/>
                <w:sz w:val="20"/>
                <w:szCs w:val="20"/>
              </w:rPr>
            </w:pPr>
            <w:r w:rsidRPr="00A45259">
              <w:rPr>
                <w:rFonts w:ascii="Arial Narrow" w:hAnsi="Arial Narrow"/>
                <w:sz w:val="20"/>
                <w:szCs w:val="20"/>
              </w:rPr>
              <w:t> </w:t>
            </w:r>
          </w:p>
        </w:tc>
        <w:tc>
          <w:tcPr>
            <w:tcW w:w="1016" w:type="pct"/>
            <w:shd w:val="clear" w:color="000000" w:fill="FFFFFF"/>
            <w:vAlign w:val="center"/>
            <w:hideMark/>
          </w:tcPr>
          <w:p w:rsidR="00A64028" w:rsidRPr="00A45259" w:rsidRDefault="00A64028" w:rsidP="00103148">
            <w:pPr>
              <w:spacing w:after="0"/>
              <w:ind w:left="-60" w:right="-113"/>
              <w:rPr>
                <w:rFonts w:ascii="Arial Narrow" w:hAnsi="Arial Narrow"/>
                <w:sz w:val="20"/>
                <w:szCs w:val="20"/>
              </w:rPr>
            </w:pPr>
            <w:r w:rsidRPr="00A45259">
              <w:rPr>
                <w:rFonts w:ascii="Arial Narrow" w:hAnsi="Arial Narrow"/>
                <w:sz w:val="20"/>
                <w:szCs w:val="20"/>
              </w:rPr>
              <w:t>Низкий спрос на продукцию/услугу, неплатежеспособность населения</w:t>
            </w:r>
          </w:p>
        </w:tc>
        <w:tc>
          <w:tcPr>
            <w:tcW w:w="282" w:type="pct"/>
            <w:shd w:val="clear" w:color="000000" w:fill="FFFFFF"/>
            <w:vAlign w:val="center"/>
          </w:tcPr>
          <w:p w:rsidR="00A64028" w:rsidRPr="00A45259" w:rsidRDefault="00A64028" w:rsidP="00103148">
            <w:pPr>
              <w:spacing w:after="0"/>
              <w:ind w:left="-113" w:right="-113"/>
              <w:jc w:val="center"/>
              <w:rPr>
                <w:rFonts w:ascii="Arial Narrow" w:hAnsi="Arial Narrow" w:cs="Arial"/>
                <w:sz w:val="20"/>
                <w:szCs w:val="20"/>
              </w:rPr>
            </w:pPr>
            <w:r w:rsidRPr="00A45259">
              <w:rPr>
                <w:rFonts w:ascii="Arial Narrow" w:hAnsi="Arial Narrow" w:cs="Arial"/>
                <w:sz w:val="20"/>
                <w:szCs w:val="20"/>
              </w:rPr>
              <w:t>13,6%</w:t>
            </w:r>
          </w:p>
        </w:tc>
        <w:tc>
          <w:tcPr>
            <w:tcW w:w="231"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31"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66,7%</w:t>
            </w:r>
          </w:p>
        </w:tc>
        <w:tc>
          <w:tcPr>
            <w:tcW w:w="258"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30"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14,3%</w:t>
            </w:r>
          </w:p>
        </w:tc>
        <w:tc>
          <w:tcPr>
            <w:tcW w:w="329"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30"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30"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4,3%</w:t>
            </w:r>
          </w:p>
        </w:tc>
        <w:tc>
          <w:tcPr>
            <w:tcW w:w="230"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8,4%</w:t>
            </w:r>
          </w:p>
        </w:tc>
        <w:tc>
          <w:tcPr>
            <w:tcW w:w="265"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13,2%</w:t>
            </w:r>
          </w:p>
        </w:tc>
        <w:tc>
          <w:tcPr>
            <w:tcW w:w="265"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8,3%</w:t>
            </w:r>
          </w:p>
        </w:tc>
        <w:tc>
          <w:tcPr>
            <w:tcW w:w="265"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65"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13,5%</w:t>
            </w:r>
          </w:p>
        </w:tc>
        <w:tc>
          <w:tcPr>
            <w:tcW w:w="362"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r>
      <w:tr w:rsidR="00ED3C71" w:rsidRPr="00A45259" w:rsidTr="00ED3C71">
        <w:trPr>
          <w:cantSplit/>
          <w:trHeight w:val="20"/>
        </w:trPr>
        <w:tc>
          <w:tcPr>
            <w:tcW w:w="314" w:type="pct"/>
            <w:shd w:val="clear" w:color="auto" w:fill="auto"/>
            <w:noWrap/>
            <w:vAlign w:val="bottom"/>
            <w:hideMark/>
          </w:tcPr>
          <w:p w:rsidR="00A64028" w:rsidRPr="00A45259" w:rsidRDefault="00A64028" w:rsidP="00103148">
            <w:pPr>
              <w:spacing w:after="0"/>
              <w:rPr>
                <w:rFonts w:ascii="Arial Narrow" w:hAnsi="Arial Narrow"/>
                <w:sz w:val="20"/>
                <w:szCs w:val="20"/>
              </w:rPr>
            </w:pPr>
            <w:r w:rsidRPr="00A45259">
              <w:rPr>
                <w:rFonts w:ascii="Arial Narrow" w:hAnsi="Arial Narrow"/>
                <w:sz w:val="20"/>
                <w:szCs w:val="20"/>
              </w:rPr>
              <w:t> </w:t>
            </w:r>
          </w:p>
        </w:tc>
        <w:tc>
          <w:tcPr>
            <w:tcW w:w="1016" w:type="pct"/>
            <w:shd w:val="clear" w:color="000000" w:fill="FFFFFF"/>
            <w:vAlign w:val="center"/>
            <w:hideMark/>
          </w:tcPr>
          <w:p w:rsidR="00A64028" w:rsidRPr="00A45259" w:rsidRDefault="00A64028" w:rsidP="00103148">
            <w:pPr>
              <w:spacing w:after="0"/>
              <w:ind w:left="-60" w:right="-113"/>
              <w:rPr>
                <w:rFonts w:ascii="Arial Narrow" w:hAnsi="Arial Narrow"/>
                <w:sz w:val="20"/>
                <w:szCs w:val="20"/>
              </w:rPr>
            </w:pPr>
            <w:r w:rsidRPr="00A45259">
              <w:rPr>
                <w:rFonts w:ascii="Arial Narrow" w:hAnsi="Arial Narrow"/>
                <w:sz w:val="20"/>
                <w:szCs w:val="20"/>
              </w:rPr>
              <w:t>Кризис, экономическая нестабильность</w:t>
            </w:r>
          </w:p>
        </w:tc>
        <w:tc>
          <w:tcPr>
            <w:tcW w:w="282" w:type="pct"/>
            <w:shd w:val="clear" w:color="000000" w:fill="FFFFFF"/>
            <w:vAlign w:val="center"/>
          </w:tcPr>
          <w:p w:rsidR="00A64028" w:rsidRPr="00A45259" w:rsidRDefault="00A64028" w:rsidP="00103148">
            <w:pPr>
              <w:spacing w:after="0"/>
              <w:ind w:left="-113" w:right="-113"/>
              <w:jc w:val="center"/>
              <w:rPr>
                <w:rFonts w:ascii="Arial Narrow" w:hAnsi="Arial Narrow" w:cs="Arial"/>
                <w:sz w:val="20"/>
                <w:szCs w:val="20"/>
              </w:rPr>
            </w:pPr>
            <w:r w:rsidRPr="00A45259">
              <w:rPr>
                <w:rFonts w:ascii="Arial Narrow" w:hAnsi="Arial Narrow" w:cs="Arial"/>
                <w:sz w:val="20"/>
                <w:szCs w:val="20"/>
              </w:rPr>
              <w:t>6,9%</w:t>
            </w:r>
          </w:p>
        </w:tc>
        <w:tc>
          <w:tcPr>
            <w:tcW w:w="231"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31"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58"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30"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5,7%</w:t>
            </w:r>
          </w:p>
        </w:tc>
        <w:tc>
          <w:tcPr>
            <w:tcW w:w="329"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30"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30"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4,3%</w:t>
            </w:r>
          </w:p>
        </w:tc>
        <w:tc>
          <w:tcPr>
            <w:tcW w:w="230"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4,2%</w:t>
            </w:r>
          </w:p>
        </w:tc>
        <w:tc>
          <w:tcPr>
            <w:tcW w:w="265"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5,3%</w:t>
            </w:r>
          </w:p>
        </w:tc>
        <w:tc>
          <w:tcPr>
            <w:tcW w:w="265"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16,7%</w:t>
            </w:r>
          </w:p>
        </w:tc>
        <w:tc>
          <w:tcPr>
            <w:tcW w:w="265"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7,7%</w:t>
            </w:r>
          </w:p>
        </w:tc>
        <w:tc>
          <w:tcPr>
            <w:tcW w:w="265"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10,8%</w:t>
            </w:r>
          </w:p>
        </w:tc>
        <w:tc>
          <w:tcPr>
            <w:tcW w:w="362"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16,7%</w:t>
            </w:r>
          </w:p>
        </w:tc>
      </w:tr>
      <w:tr w:rsidR="00ED3C71" w:rsidRPr="00A45259" w:rsidTr="00ED3C71">
        <w:trPr>
          <w:cantSplit/>
          <w:trHeight w:val="20"/>
        </w:trPr>
        <w:tc>
          <w:tcPr>
            <w:tcW w:w="314" w:type="pct"/>
            <w:shd w:val="clear" w:color="auto" w:fill="auto"/>
            <w:noWrap/>
            <w:vAlign w:val="bottom"/>
            <w:hideMark/>
          </w:tcPr>
          <w:p w:rsidR="00A64028" w:rsidRPr="00A45259" w:rsidRDefault="00A64028" w:rsidP="00103148">
            <w:pPr>
              <w:spacing w:after="0"/>
              <w:rPr>
                <w:rFonts w:ascii="Arial Narrow" w:hAnsi="Arial Narrow"/>
                <w:sz w:val="20"/>
                <w:szCs w:val="20"/>
              </w:rPr>
            </w:pPr>
            <w:r w:rsidRPr="00A45259">
              <w:rPr>
                <w:rFonts w:ascii="Arial Narrow" w:hAnsi="Arial Narrow"/>
                <w:sz w:val="20"/>
                <w:szCs w:val="20"/>
              </w:rPr>
              <w:t> </w:t>
            </w:r>
          </w:p>
        </w:tc>
        <w:tc>
          <w:tcPr>
            <w:tcW w:w="1016" w:type="pct"/>
            <w:shd w:val="clear" w:color="000000" w:fill="FFFFFF"/>
            <w:vAlign w:val="center"/>
            <w:hideMark/>
          </w:tcPr>
          <w:p w:rsidR="00A64028" w:rsidRPr="00A45259" w:rsidRDefault="00A64028" w:rsidP="00103148">
            <w:pPr>
              <w:spacing w:after="0"/>
              <w:ind w:left="-60" w:right="-113"/>
              <w:rPr>
                <w:rFonts w:ascii="Arial Narrow" w:hAnsi="Arial Narrow"/>
                <w:sz w:val="20"/>
                <w:szCs w:val="20"/>
              </w:rPr>
            </w:pPr>
            <w:r w:rsidRPr="00A45259">
              <w:rPr>
                <w:rFonts w:ascii="Arial Narrow" w:hAnsi="Arial Narrow"/>
                <w:sz w:val="20"/>
                <w:szCs w:val="20"/>
              </w:rPr>
              <w:t>Снижение цен, демпинги цен</w:t>
            </w:r>
          </w:p>
        </w:tc>
        <w:tc>
          <w:tcPr>
            <w:tcW w:w="282" w:type="pct"/>
            <w:shd w:val="clear" w:color="000000" w:fill="FFFFFF"/>
            <w:vAlign w:val="center"/>
          </w:tcPr>
          <w:p w:rsidR="00A64028" w:rsidRPr="00A45259" w:rsidRDefault="00A64028" w:rsidP="00103148">
            <w:pPr>
              <w:spacing w:after="0"/>
              <w:ind w:left="-113" w:right="-113"/>
              <w:jc w:val="center"/>
              <w:rPr>
                <w:rFonts w:ascii="Arial Narrow" w:hAnsi="Arial Narrow" w:cs="Arial"/>
                <w:sz w:val="20"/>
                <w:szCs w:val="20"/>
              </w:rPr>
            </w:pPr>
            <w:r w:rsidRPr="00A45259">
              <w:rPr>
                <w:rFonts w:ascii="Arial Narrow" w:hAnsi="Arial Narrow" w:cs="Arial"/>
                <w:sz w:val="20"/>
                <w:szCs w:val="20"/>
              </w:rPr>
              <w:t>4,5%</w:t>
            </w:r>
          </w:p>
        </w:tc>
        <w:tc>
          <w:tcPr>
            <w:tcW w:w="231"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31"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58"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30"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329"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30"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30"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13,0%</w:t>
            </w:r>
          </w:p>
        </w:tc>
        <w:tc>
          <w:tcPr>
            <w:tcW w:w="230"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2,1%</w:t>
            </w:r>
          </w:p>
        </w:tc>
        <w:tc>
          <w:tcPr>
            <w:tcW w:w="265"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5,3%</w:t>
            </w:r>
          </w:p>
        </w:tc>
        <w:tc>
          <w:tcPr>
            <w:tcW w:w="265"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65"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65"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5,4%</w:t>
            </w:r>
          </w:p>
        </w:tc>
        <w:tc>
          <w:tcPr>
            <w:tcW w:w="362"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16,7%</w:t>
            </w:r>
          </w:p>
        </w:tc>
      </w:tr>
      <w:tr w:rsidR="00ED3C71" w:rsidRPr="00A45259" w:rsidTr="00ED3C71">
        <w:trPr>
          <w:cantSplit/>
          <w:trHeight w:val="20"/>
        </w:trPr>
        <w:tc>
          <w:tcPr>
            <w:tcW w:w="314" w:type="pct"/>
            <w:shd w:val="clear" w:color="auto" w:fill="auto"/>
            <w:noWrap/>
            <w:vAlign w:val="bottom"/>
            <w:hideMark/>
          </w:tcPr>
          <w:p w:rsidR="00A64028" w:rsidRPr="00A45259" w:rsidRDefault="00A64028" w:rsidP="00103148">
            <w:pPr>
              <w:spacing w:after="0"/>
              <w:rPr>
                <w:rFonts w:ascii="Arial Narrow" w:hAnsi="Arial Narrow"/>
                <w:sz w:val="20"/>
                <w:szCs w:val="20"/>
              </w:rPr>
            </w:pPr>
            <w:r w:rsidRPr="00A45259">
              <w:rPr>
                <w:rFonts w:ascii="Arial Narrow" w:hAnsi="Arial Narrow"/>
                <w:sz w:val="20"/>
                <w:szCs w:val="20"/>
              </w:rPr>
              <w:t> </w:t>
            </w:r>
          </w:p>
        </w:tc>
        <w:tc>
          <w:tcPr>
            <w:tcW w:w="1016" w:type="pct"/>
            <w:shd w:val="clear" w:color="000000" w:fill="FFFFFF"/>
            <w:vAlign w:val="center"/>
            <w:hideMark/>
          </w:tcPr>
          <w:p w:rsidR="00A64028" w:rsidRPr="00A45259" w:rsidRDefault="00A64028" w:rsidP="00103148">
            <w:pPr>
              <w:spacing w:after="0"/>
              <w:ind w:left="-60" w:right="-113"/>
              <w:rPr>
                <w:rFonts w:ascii="Arial Narrow" w:hAnsi="Arial Narrow"/>
                <w:sz w:val="20"/>
                <w:szCs w:val="20"/>
              </w:rPr>
            </w:pPr>
            <w:r w:rsidRPr="00A45259">
              <w:rPr>
                <w:rFonts w:ascii="Arial Narrow" w:hAnsi="Arial Narrow"/>
                <w:sz w:val="20"/>
                <w:szCs w:val="20"/>
              </w:rPr>
              <w:t>Увеличился спрос</w:t>
            </w:r>
          </w:p>
        </w:tc>
        <w:tc>
          <w:tcPr>
            <w:tcW w:w="282" w:type="pct"/>
            <w:shd w:val="clear" w:color="000000" w:fill="FFFFFF"/>
            <w:vAlign w:val="center"/>
          </w:tcPr>
          <w:p w:rsidR="00A64028" w:rsidRPr="00A45259" w:rsidRDefault="00A64028" w:rsidP="00103148">
            <w:pPr>
              <w:spacing w:after="0"/>
              <w:ind w:left="-113" w:right="-113"/>
              <w:jc w:val="center"/>
              <w:rPr>
                <w:rFonts w:ascii="Arial Narrow" w:hAnsi="Arial Narrow" w:cs="Arial"/>
                <w:sz w:val="20"/>
                <w:szCs w:val="20"/>
              </w:rPr>
            </w:pPr>
            <w:r w:rsidRPr="00A45259">
              <w:rPr>
                <w:rFonts w:ascii="Arial Narrow" w:hAnsi="Arial Narrow" w:cs="Arial"/>
                <w:sz w:val="20"/>
                <w:szCs w:val="20"/>
              </w:rPr>
              <w:t>3,9%</w:t>
            </w:r>
          </w:p>
        </w:tc>
        <w:tc>
          <w:tcPr>
            <w:tcW w:w="231"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33,3%</w:t>
            </w:r>
          </w:p>
        </w:tc>
        <w:tc>
          <w:tcPr>
            <w:tcW w:w="231"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58"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30"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5,7%</w:t>
            </w:r>
          </w:p>
        </w:tc>
        <w:tc>
          <w:tcPr>
            <w:tcW w:w="329"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30"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11,1%</w:t>
            </w:r>
          </w:p>
        </w:tc>
        <w:tc>
          <w:tcPr>
            <w:tcW w:w="230"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8,7%</w:t>
            </w:r>
          </w:p>
        </w:tc>
        <w:tc>
          <w:tcPr>
            <w:tcW w:w="230"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6,3%</w:t>
            </w:r>
          </w:p>
        </w:tc>
        <w:tc>
          <w:tcPr>
            <w:tcW w:w="265"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2,6%</w:t>
            </w:r>
          </w:p>
        </w:tc>
        <w:tc>
          <w:tcPr>
            <w:tcW w:w="265"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65"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65"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5,4%</w:t>
            </w:r>
          </w:p>
        </w:tc>
        <w:tc>
          <w:tcPr>
            <w:tcW w:w="362"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r>
    </w:tbl>
    <w:p w:rsidR="00EB3EA8" w:rsidRDefault="00EB3EA8" w:rsidP="00ED3C71">
      <w:pPr>
        <w:spacing w:after="0" w:line="240" w:lineRule="auto"/>
        <w:jc w:val="right"/>
        <w:rPr>
          <w:rFonts w:ascii="Arial Narrow" w:hAnsi="Arial Narrow"/>
          <w:sz w:val="24"/>
          <w:szCs w:val="24"/>
        </w:rPr>
      </w:pPr>
    </w:p>
    <w:p w:rsidR="00ED3C71" w:rsidRPr="00ED3C71" w:rsidRDefault="00ED3C71" w:rsidP="00ED3C71">
      <w:pPr>
        <w:spacing w:after="0" w:line="240" w:lineRule="auto"/>
        <w:jc w:val="right"/>
        <w:rPr>
          <w:rFonts w:ascii="Arial Narrow" w:hAnsi="Arial Narrow"/>
          <w:sz w:val="24"/>
          <w:szCs w:val="24"/>
        </w:rPr>
      </w:pPr>
      <w:r w:rsidRPr="00BF6DC4">
        <w:rPr>
          <w:rFonts w:ascii="Arial Narrow" w:hAnsi="Arial Narrow"/>
          <w:sz w:val="24"/>
          <w:szCs w:val="24"/>
        </w:rPr>
        <w:lastRenderedPageBreak/>
        <w:t xml:space="preserve">Продолжение Таблицы </w:t>
      </w:r>
      <w:r>
        <w:rPr>
          <w:rFonts w:ascii="Arial Narrow" w:hAnsi="Arial Narrow"/>
          <w:sz w:val="24"/>
          <w:szCs w:val="24"/>
        </w:rPr>
        <w:t>7.18</w:t>
      </w:r>
    </w:p>
    <w:tbl>
      <w:tblPr>
        <w:tblW w:w="5089"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29"/>
        <w:gridCol w:w="2037"/>
        <w:gridCol w:w="565"/>
        <w:gridCol w:w="463"/>
        <w:gridCol w:w="463"/>
        <w:gridCol w:w="517"/>
        <w:gridCol w:w="461"/>
        <w:gridCol w:w="660"/>
        <w:gridCol w:w="461"/>
        <w:gridCol w:w="461"/>
        <w:gridCol w:w="461"/>
        <w:gridCol w:w="531"/>
        <w:gridCol w:w="531"/>
        <w:gridCol w:w="531"/>
        <w:gridCol w:w="531"/>
        <w:gridCol w:w="726"/>
      </w:tblGrid>
      <w:tr w:rsidR="00ED3C71" w:rsidRPr="00A45259" w:rsidTr="00ED3C71">
        <w:trPr>
          <w:cantSplit/>
          <w:trHeight w:val="20"/>
        </w:trPr>
        <w:tc>
          <w:tcPr>
            <w:tcW w:w="313" w:type="pct"/>
            <w:shd w:val="clear" w:color="auto" w:fill="auto"/>
            <w:noWrap/>
            <w:vAlign w:val="bottom"/>
            <w:hideMark/>
          </w:tcPr>
          <w:p w:rsidR="00A64028" w:rsidRPr="00A45259" w:rsidRDefault="00A64028" w:rsidP="00103148">
            <w:pPr>
              <w:spacing w:after="0"/>
              <w:rPr>
                <w:rFonts w:ascii="Arial Narrow" w:hAnsi="Arial Narrow"/>
                <w:sz w:val="20"/>
                <w:szCs w:val="20"/>
              </w:rPr>
            </w:pPr>
            <w:r w:rsidRPr="00A45259">
              <w:rPr>
                <w:rFonts w:ascii="Arial Narrow" w:hAnsi="Arial Narrow"/>
                <w:sz w:val="20"/>
                <w:szCs w:val="20"/>
              </w:rPr>
              <w:t> </w:t>
            </w:r>
          </w:p>
        </w:tc>
        <w:tc>
          <w:tcPr>
            <w:tcW w:w="1015" w:type="pct"/>
            <w:shd w:val="clear" w:color="000000" w:fill="FFFFFF"/>
            <w:vAlign w:val="center"/>
            <w:hideMark/>
          </w:tcPr>
          <w:p w:rsidR="00A64028" w:rsidRPr="00A45259" w:rsidRDefault="00A64028" w:rsidP="00103148">
            <w:pPr>
              <w:spacing w:after="0"/>
              <w:ind w:left="-60" w:right="-113"/>
              <w:rPr>
                <w:rFonts w:ascii="Arial Narrow" w:hAnsi="Arial Narrow"/>
                <w:sz w:val="20"/>
                <w:szCs w:val="20"/>
              </w:rPr>
            </w:pPr>
            <w:r w:rsidRPr="00A45259">
              <w:rPr>
                <w:rFonts w:ascii="Arial Narrow" w:hAnsi="Arial Narrow"/>
                <w:sz w:val="20"/>
                <w:szCs w:val="20"/>
              </w:rPr>
              <w:t>Деятельность монополистов</w:t>
            </w:r>
          </w:p>
        </w:tc>
        <w:tc>
          <w:tcPr>
            <w:tcW w:w="281" w:type="pct"/>
            <w:shd w:val="clear" w:color="000000" w:fill="FFFFFF"/>
            <w:vAlign w:val="center"/>
          </w:tcPr>
          <w:p w:rsidR="00A64028" w:rsidRPr="00A45259" w:rsidRDefault="00A64028" w:rsidP="00103148">
            <w:pPr>
              <w:spacing w:after="0"/>
              <w:ind w:left="-113" w:right="-113"/>
              <w:jc w:val="center"/>
              <w:rPr>
                <w:rFonts w:ascii="Arial Narrow" w:hAnsi="Arial Narrow" w:cs="Arial"/>
                <w:sz w:val="20"/>
                <w:szCs w:val="20"/>
              </w:rPr>
            </w:pPr>
            <w:r w:rsidRPr="00A45259">
              <w:rPr>
                <w:rFonts w:ascii="Arial Narrow" w:hAnsi="Arial Narrow" w:cs="Arial"/>
                <w:sz w:val="20"/>
                <w:szCs w:val="20"/>
              </w:rPr>
              <w:t>3,1%</w:t>
            </w:r>
          </w:p>
        </w:tc>
        <w:tc>
          <w:tcPr>
            <w:tcW w:w="231"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31"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58"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30"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329"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30"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30"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8,7%</w:t>
            </w:r>
          </w:p>
        </w:tc>
        <w:tc>
          <w:tcPr>
            <w:tcW w:w="230"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10,5%</w:t>
            </w:r>
          </w:p>
        </w:tc>
        <w:tc>
          <w:tcPr>
            <w:tcW w:w="265"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5,3%</w:t>
            </w:r>
          </w:p>
        </w:tc>
        <w:tc>
          <w:tcPr>
            <w:tcW w:w="265"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8,3%</w:t>
            </w:r>
          </w:p>
        </w:tc>
        <w:tc>
          <w:tcPr>
            <w:tcW w:w="265"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65"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2,7%</w:t>
            </w:r>
          </w:p>
        </w:tc>
        <w:tc>
          <w:tcPr>
            <w:tcW w:w="362"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r>
      <w:tr w:rsidR="00ED3C71" w:rsidRPr="00A45259" w:rsidTr="00ED3C71">
        <w:trPr>
          <w:cantSplit/>
          <w:trHeight w:val="20"/>
        </w:trPr>
        <w:tc>
          <w:tcPr>
            <w:tcW w:w="313" w:type="pct"/>
            <w:shd w:val="clear" w:color="auto" w:fill="auto"/>
            <w:noWrap/>
            <w:vAlign w:val="bottom"/>
            <w:hideMark/>
          </w:tcPr>
          <w:p w:rsidR="00A64028" w:rsidRPr="00A45259" w:rsidRDefault="00A64028" w:rsidP="00103148">
            <w:pPr>
              <w:spacing w:after="0"/>
              <w:rPr>
                <w:rFonts w:ascii="Arial Narrow" w:hAnsi="Arial Narrow"/>
                <w:sz w:val="20"/>
                <w:szCs w:val="20"/>
              </w:rPr>
            </w:pPr>
            <w:r w:rsidRPr="00A45259">
              <w:rPr>
                <w:rFonts w:ascii="Arial Narrow" w:hAnsi="Arial Narrow"/>
                <w:sz w:val="20"/>
                <w:szCs w:val="20"/>
              </w:rPr>
              <w:t> </w:t>
            </w:r>
          </w:p>
        </w:tc>
        <w:tc>
          <w:tcPr>
            <w:tcW w:w="1015" w:type="pct"/>
            <w:shd w:val="clear" w:color="000000" w:fill="FFFFFF"/>
            <w:vAlign w:val="center"/>
            <w:hideMark/>
          </w:tcPr>
          <w:p w:rsidR="00A64028" w:rsidRPr="00A45259" w:rsidRDefault="00A64028" w:rsidP="00103148">
            <w:pPr>
              <w:spacing w:after="0"/>
              <w:ind w:left="-60" w:right="-113"/>
              <w:rPr>
                <w:rFonts w:ascii="Arial Narrow" w:hAnsi="Arial Narrow"/>
                <w:sz w:val="20"/>
                <w:szCs w:val="20"/>
              </w:rPr>
            </w:pPr>
            <w:r w:rsidRPr="00A45259">
              <w:rPr>
                <w:rFonts w:ascii="Arial Narrow" w:hAnsi="Arial Narrow"/>
                <w:sz w:val="20"/>
                <w:szCs w:val="20"/>
              </w:rPr>
              <w:t>Простой, доступный бизнес для старта</w:t>
            </w:r>
          </w:p>
        </w:tc>
        <w:tc>
          <w:tcPr>
            <w:tcW w:w="281" w:type="pct"/>
            <w:shd w:val="clear" w:color="000000" w:fill="FFFFFF"/>
            <w:vAlign w:val="center"/>
          </w:tcPr>
          <w:p w:rsidR="00A64028" w:rsidRPr="00A45259" w:rsidRDefault="00A64028" w:rsidP="00103148">
            <w:pPr>
              <w:spacing w:after="0"/>
              <w:ind w:left="-113" w:right="-113"/>
              <w:jc w:val="center"/>
              <w:rPr>
                <w:rFonts w:ascii="Arial Narrow" w:hAnsi="Arial Narrow" w:cs="Arial"/>
                <w:sz w:val="20"/>
                <w:szCs w:val="20"/>
              </w:rPr>
            </w:pPr>
            <w:r w:rsidRPr="00A45259">
              <w:rPr>
                <w:rFonts w:ascii="Arial Narrow" w:hAnsi="Arial Narrow" w:cs="Arial"/>
                <w:sz w:val="20"/>
                <w:szCs w:val="20"/>
              </w:rPr>
              <w:t>3,0%</w:t>
            </w:r>
          </w:p>
        </w:tc>
        <w:tc>
          <w:tcPr>
            <w:tcW w:w="231"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33,3%</w:t>
            </w:r>
          </w:p>
        </w:tc>
        <w:tc>
          <w:tcPr>
            <w:tcW w:w="231"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58"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30"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5,7%</w:t>
            </w:r>
          </w:p>
        </w:tc>
        <w:tc>
          <w:tcPr>
            <w:tcW w:w="329"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30"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11,1%</w:t>
            </w:r>
          </w:p>
        </w:tc>
        <w:tc>
          <w:tcPr>
            <w:tcW w:w="230"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4,3%</w:t>
            </w:r>
          </w:p>
        </w:tc>
        <w:tc>
          <w:tcPr>
            <w:tcW w:w="230"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2,1%</w:t>
            </w:r>
          </w:p>
        </w:tc>
        <w:tc>
          <w:tcPr>
            <w:tcW w:w="265"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5,3%</w:t>
            </w:r>
          </w:p>
        </w:tc>
        <w:tc>
          <w:tcPr>
            <w:tcW w:w="265"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65"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7,7%</w:t>
            </w:r>
          </w:p>
        </w:tc>
        <w:tc>
          <w:tcPr>
            <w:tcW w:w="265"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5,4%</w:t>
            </w:r>
          </w:p>
        </w:tc>
        <w:tc>
          <w:tcPr>
            <w:tcW w:w="362"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r>
      <w:tr w:rsidR="00ED3C71" w:rsidRPr="00A45259" w:rsidTr="00ED3C71">
        <w:trPr>
          <w:cantSplit/>
          <w:trHeight w:val="20"/>
        </w:trPr>
        <w:tc>
          <w:tcPr>
            <w:tcW w:w="313" w:type="pct"/>
            <w:shd w:val="clear" w:color="auto" w:fill="auto"/>
            <w:noWrap/>
            <w:vAlign w:val="bottom"/>
            <w:hideMark/>
          </w:tcPr>
          <w:p w:rsidR="00A64028" w:rsidRPr="00A45259" w:rsidRDefault="00A64028" w:rsidP="00103148">
            <w:pPr>
              <w:spacing w:after="0"/>
              <w:rPr>
                <w:rFonts w:ascii="Arial Narrow" w:hAnsi="Arial Narrow"/>
                <w:sz w:val="20"/>
                <w:szCs w:val="20"/>
              </w:rPr>
            </w:pPr>
            <w:r w:rsidRPr="00A45259">
              <w:rPr>
                <w:rFonts w:ascii="Arial Narrow" w:hAnsi="Arial Narrow"/>
                <w:sz w:val="20"/>
                <w:szCs w:val="20"/>
              </w:rPr>
              <w:t> </w:t>
            </w:r>
          </w:p>
        </w:tc>
        <w:tc>
          <w:tcPr>
            <w:tcW w:w="1015" w:type="pct"/>
            <w:shd w:val="clear" w:color="000000" w:fill="FFFFFF"/>
            <w:vAlign w:val="center"/>
            <w:hideMark/>
          </w:tcPr>
          <w:p w:rsidR="00A64028" w:rsidRPr="00A45259" w:rsidRDefault="00A64028" w:rsidP="00103148">
            <w:pPr>
              <w:spacing w:after="0"/>
              <w:ind w:left="-60" w:right="-113"/>
              <w:rPr>
                <w:rFonts w:ascii="Arial Narrow" w:hAnsi="Arial Narrow"/>
                <w:sz w:val="20"/>
                <w:szCs w:val="20"/>
              </w:rPr>
            </w:pPr>
            <w:r w:rsidRPr="00A45259">
              <w:rPr>
                <w:rFonts w:ascii="Arial Narrow" w:hAnsi="Arial Narrow"/>
                <w:sz w:val="20"/>
                <w:szCs w:val="20"/>
              </w:rPr>
              <w:t>Уменьшилось финансирование</w:t>
            </w:r>
          </w:p>
        </w:tc>
        <w:tc>
          <w:tcPr>
            <w:tcW w:w="281" w:type="pct"/>
            <w:shd w:val="clear" w:color="000000" w:fill="FFFFFF"/>
            <w:vAlign w:val="center"/>
          </w:tcPr>
          <w:p w:rsidR="00A64028" w:rsidRPr="00A45259" w:rsidRDefault="00A64028" w:rsidP="00103148">
            <w:pPr>
              <w:spacing w:after="0"/>
              <w:ind w:left="-113" w:right="-113"/>
              <w:jc w:val="center"/>
              <w:rPr>
                <w:rFonts w:ascii="Arial Narrow" w:hAnsi="Arial Narrow" w:cs="Arial"/>
                <w:sz w:val="20"/>
                <w:szCs w:val="20"/>
              </w:rPr>
            </w:pPr>
            <w:r w:rsidRPr="00A45259">
              <w:rPr>
                <w:rFonts w:ascii="Arial Narrow" w:hAnsi="Arial Narrow" w:cs="Arial"/>
                <w:sz w:val="20"/>
                <w:szCs w:val="20"/>
              </w:rPr>
              <w:t>2,6%</w:t>
            </w:r>
          </w:p>
        </w:tc>
        <w:tc>
          <w:tcPr>
            <w:tcW w:w="231"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31"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58"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30"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329"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30"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30"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30"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1,1%</w:t>
            </w:r>
          </w:p>
        </w:tc>
        <w:tc>
          <w:tcPr>
            <w:tcW w:w="265"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65"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8,3%</w:t>
            </w:r>
          </w:p>
        </w:tc>
        <w:tc>
          <w:tcPr>
            <w:tcW w:w="265"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65"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2,7%</w:t>
            </w:r>
          </w:p>
        </w:tc>
        <w:tc>
          <w:tcPr>
            <w:tcW w:w="362"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r>
      <w:tr w:rsidR="00ED3C71" w:rsidRPr="00A45259" w:rsidTr="00ED3C71">
        <w:trPr>
          <w:cantSplit/>
          <w:trHeight w:val="20"/>
        </w:trPr>
        <w:tc>
          <w:tcPr>
            <w:tcW w:w="313" w:type="pct"/>
            <w:shd w:val="clear" w:color="auto" w:fill="auto"/>
            <w:noWrap/>
            <w:vAlign w:val="bottom"/>
            <w:hideMark/>
          </w:tcPr>
          <w:p w:rsidR="00A64028" w:rsidRPr="00A45259" w:rsidRDefault="00A64028" w:rsidP="00103148">
            <w:pPr>
              <w:spacing w:after="0"/>
              <w:rPr>
                <w:rFonts w:ascii="Arial Narrow" w:hAnsi="Arial Narrow"/>
                <w:sz w:val="20"/>
                <w:szCs w:val="20"/>
              </w:rPr>
            </w:pPr>
            <w:r w:rsidRPr="00A45259">
              <w:rPr>
                <w:rFonts w:ascii="Arial Narrow" w:hAnsi="Arial Narrow"/>
                <w:sz w:val="20"/>
                <w:szCs w:val="20"/>
              </w:rPr>
              <w:t> </w:t>
            </w:r>
          </w:p>
        </w:tc>
        <w:tc>
          <w:tcPr>
            <w:tcW w:w="1015" w:type="pct"/>
            <w:shd w:val="clear" w:color="000000" w:fill="FFFFFF"/>
            <w:vAlign w:val="center"/>
            <w:hideMark/>
          </w:tcPr>
          <w:p w:rsidR="00A64028" w:rsidRPr="00A45259" w:rsidRDefault="00A64028" w:rsidP="00103148">
            <w:pPr>
              <w:spacing w:after="0"/>
              <w:ind w:left="-60" w:right="-113"/>
              <w:rPr>
                <w:rFonts w:ascii="Arial Narrow" w:hAnsi="Arial Narrow"/>
                <w:sz w:val="20"/>
                <w:szCs w:val="20"/>
              </w:rPr>
            </w:pPr>
            <w:r w:rsidRPr="00A45259">
              <w:rPr>
                <w:rFonts w:ascii="Arial Narrow" w:hAnsi="Arial Narrow"/>
                <w:sz w:val="20"/>
                <w:szCs w:val="20"/>
              </w:rPr>
              <w:t>Оптимизация ресурсов</w:t>
            </w:r>
          </w:p>
        </w:tc>
        <w:tc>
          <w:tcPr>
            <w:tcW w:w="281" w:type="pct"/>
            <w:shd w:val="clear" w:color="000000" w:fill="FFFFFF"/>
            <w:vAlign w:val="center"/>
          </w:tcPr>
          <w:p w:rsidR="00A64028" w:rsidRPr="00A45259" w:rsidRDefault="00A64028" w:rsidP="00103148">
            <w:pPr>
              <w:spacing w:after="0"/>
              <w:ind w:left="-113" w:right="-113"/>
              <w:jc w:val="center"/>
              <w:rPr>
                <w:rFonts w:ascii="Arial Narrow" w:hAnsi="Arial Narrow" w:cs="Arial"/>
                <w:sz w:val="20"/>
                <w:szCs w:val="20"/>
              </w:rPr>
            </w:pPr>
            <w:r w:rsidRPr="00A45259">
              <w:rPr>
                <w:rFonts w:ascii="Arial Narrow" w:hAnsi="Arial Narrow" w:cs="Arial"/>
                <w:sz w:val="20"/>
                <w:szCs w:val="20"/>
              </w:rPr>
              <w:t>1,7%</w:t>
            </w:r>
          </w:p>
        </w:tc>
        <w:tc>
          <w:tcPr>
            <w:tcW w:w="231"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31"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58"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30"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2,9%</w:t>
            </w:r>
          </w:p>
        </w:tc>
        <w:tc>
          <w:tcPr>
            <w:tcW w:w="329"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30"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30"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30"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2,1%</w:t>
            </w:r>
          </w:p>
        </w:tc>
        <w:tc>
          <w:tcPr>
            <w:tcW w:w="265"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65"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65"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65"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2,7%</w:t>
            </w:r>
          </w:p>
        </w:tc>
        <w:tc>
          <w:tcPr>
            <w:tcW w:w="362"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r>
      <w:tr w:rsidR="00ED3C71" w:rsidRPr="00A45259" w:rsidTr="00ED3C71">
        <w:trPr>
          <w:cantSplit/>
          <w:trHeight w:val="20"/>
        </w:trPr>
        <w:tc>
          <w:tcPr>
            <w:tcW w:w="313" w:type="pct"/>
            <w:shd w:val="clear" w:color="auto" w:fill="auto"/>
            <w:noWrap/>
            <w:vAlign w:val="bottom"/>
            <w:hideMark/>
          </w:tcPr>
          <w:p w:rsidR="00A64028" w:rsidRPr="00A45259" w:rsidRDefault="00A64028" w:rsidP="00103148">
            <w:pPr>
              <w:spacing w:after="0"/>
              <w:rPr>
                <w:rFonts w:ascii="Arial Narrow" w:hAnsi="Arial Narrow"/>
                <w:sz w:val="20"/>
                <w:szCs w:val="20"/>
              </w:rPr>
            </w:pPr>
            <w:r w:rsidRPr="00A45259">
              <w:rPr>
                <w:rFonts w:ascii="Arial Narrow" w:hAnsi="Arial Narrow"/>
                <w:sz w:val="20"/>
                <w:szCs w:val="20"/>
              </w:rPr>
              <w:t> </w:t>
            </w:r>
          </w:p>
        </w:tc>
        <w:tc>
          <w:tcPr>
            <w:tcW w:w="1015" w:type="pct"/>
            <w:shd w:val="clear" w:color="000000" w:fill="FFFFFF"/>
            <w:vAlign w:val="center"/>
            <w:hideMark/>
          </w:tcPr>
          <w:p w:rsidR="00A64028" w:rsidRPr="00A45259" w:rsidRDefault="00A64028" w:rsidP="00103148">
            <w:pPr>
              <w:spacing w:after="0"/>
              <w:ind w:left="-60" w:right="-113"/>
              <w:rPr>
                <w:rFonts w:ascii="Arial Narrow" w:hAnsi="Arial Narrow"/>
                <w:sz w:val="20"/>
                <w:szCs w:val="20"/>
              </w:rPr>
            </w:pPr>
            <w:r w:rsidRPr="00A45259">
              <w:rPr>
                <w:rFonts w:ascii="Arial Narrow" w:hAnsi="Arial Narrow"/>
                <w:sz w:val="20"/>
                <w:szCs w:val="20"/>
              </w:rPr>
              <w:t>Отсутствует господдержка</w:t>
            </w:r>
          </w:p>
        </w:tc>
        <w:tc>
          <w:tcPr>
            <w:tcW w:w="281" w:type="pct"/>
            <w:shd w:val="clear" w:color="000000" w:fill="FFFFFF"/>
            <w:vAlign w:val="center"/>
          </w:tcPr>
          <w:p w:rsidR="00A64028" w:rsidRPr="00A45259" w:rsidRDefault="00A64028" w:rsidP="00103148">
            <w:pPr>
              <w:spacing w:after="0"/>
              <w:ind w:left="-113" w:right="-113"/>
              <w:jc w:val="center"/>
              <w:rPr>
                <w:rFonts w:ascii="Arial Narrow" w:hAnsi="Arial Narrow" w:cs="Arial"/>
                <w:sz w:val="20"/>
                <w:szCs w:val="20"/>
              </w:rPr>
            </w:pPr>
            <w:r w:rsidRPr="00A45259">
              <w:rPr>
                <w:rFonts w:ascii="Arial Narrow" w:hAnsi="Arial Narrow" w:cs="Arial"/>
                <w:sz w:val="20"/>
                <w:szCs w:val="20"/>
              </w:rPr>
              <w:t>1,2%</w:t>
            </w:r>
          </w:p>
        </w:tc>
        <w:tc>
          <w:tcPr>
            <w:tcW w:w="231"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31"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58"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30"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5,7%</w:t>
            </w:r>
          </w:p>
        </w:tc>
        <w:tc>
          <w:tcPr>
            <w:tcW w:w="329"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30"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30"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30"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1,1%</w:t>
            </w:r>
          </w:p>
        </w:tc>
        <w:tc>
          <w:tcPr>
            <w:tcW w:w="265"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2,6%</w:t>
            </w:r>
          </w:p>
        </w:tc>
        <w:tc>
          <w:tcPr>
            <w:tcW w:w="265"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65"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65"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2,7%</w:t>
            </w:r>
          </w:p>
        </w:tc>
        <w:tc>
          <w:tcPr>
            <w:tcW w:w="362"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r>
      <w:tr w:rsidR="00ED3C71" w:rsidRPr="00A45259" w:rsidTr="00ED3C71">
        <w:trPr>
          <w:cantSplit/>
          <w:trHeight w:val="20"/>
        </w:trPr>
        <w:tc>
          <w:tcPr>
            <w:tcW w:w="313" w:type="pct"/>
            <w:shd w:val="clear" w:color="auto" w:fill="auto"/>
            <w:noWrap/>
            <w:vAlign w:val="bottom"/>
            <w:hideMark/>
          </w:tcPr>
          <w:p w:rsidR="00A64028" w:rsidRPr="00A45259" w:rsidRDefault="00A64028" w:rsidP="00103148">
            <w:pPr>
              <w:spacing w:after="0"/>
              <w:rPr>
                <w:rFonts w:ascii="Arial Narrow" w:hAnsi="Arial Narrow"/>
                <w:sz w:val="20"/>
                <w:szCs w:val="20"/>
              </w:rPr>
            </w:pPr>
            <w:r w:rsidRPr="00A45259">
              <w:rPr>
                <w:rFonts w:ascii="Arial Narrow" w:hAnsi="Arial Narrow"/>
                <w:sz w:val="20"/>
                <w:szCs w:val="20"/>
              </w:rPr>
              <w:t> </w:t>
            </w:r>
          </w:p>
        </w:tc>
        <w:tc>
          <w:tcPr>
            <w:tcW w:w="1015" w:type="pct"/>
            <w:shd w:val="clear" w:color="000000" w:fill="FFFFFF"/>
            <w:vAlign w:val="center"/>
            <w:hideMark/>
          </w:tcPr>
          <w:p w:rsidR="00A64028" w:rsidRPr="00A45259" w:rsidRDefault="00A64028" w:rsidP="00103148">
            <w:pPr>
              <w:spacing w:after="0"/>
              <w:ind w:left="-60" w:right="-113"/>
              <w:rPr>
                <w:rFonts w:ascii="Arial Narrow" w:hAnsi="Arial Narrow"/>
                <w:sz w:val="20"/>
                <w:szCs w:val="20"/>
              </w:rPr>
            </w:pPr>
            <w:r w:rsidRPr="00A45259">
              <w:rPr>
                <w:rFonts w:ascii="Arial Narrow" w:hAnsi="Arial Narrow"/>
                <w:sz w:val="20"/>
                <w:szCs w:val="20"/>
              </w:rPr>
              <w:t>Сократилось количество конкурентов</w:t>
            </w:r>
          </w:p>
        </w:tc>
        <w:tc>
          <w:tcPr>
            <w:tcW w:w="281" w:type="pct"/>
            <w:shd w:val="clear" w:color="000000" w:fill="FFFFFF"/>
            <w:vAlign w:val="center"/>
          </w:tcPr>
          <w:p w:rsidR="00A64028" w:rsidRPr="00A45259" w:rsidRDefault="00A64028" w:rsidP="00103148">
            <w:pPr>
              <w:spacing w:after="0"/>
              <w:ind w:left="-113" w:right="-113"/>
              <w:jc w:val="center"/>
              <w:rPr>
                <w:rFonts w:ascii="Arial Narrow" w:hAnsi="Arial Narrow" w:cs="Arial"/>
                <w:sz w:val="20"/>
                <w:szCs w:val="20"/>
              </w:rPr>
            </w:pPr>
            <w:r w:rsidRPr="00A45259">
              <w:rPr>
                <w:rFonts w:ascii="Arial Narrow" w:hAnsi="Arial Narrow" w:cs="Arial"/>
                <w:sz w:val="20"/>
                <w:szCs w:val="20"/>
              </w:rPr>
              <w:t>1,1%</w:t>
            </w:r>
          </w:p>
        </w:tc>
        <w:tc>
          <w:tcPr>
            <w:tcW w:w="231"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31"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58"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30"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329"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30"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30"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4,3%</w:t>
            </w:r>
          </w:p>
        </w:tc>
        <w:tc>
          <w:tcPr>
            <w:tcW w:w="230"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65"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65"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8,3%</w:t>
            </w:r>
          </w:p>
        </w:tc>
        <w:tc>
          <w:tcPr>
            <w:tcW w:w="265"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65"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2,7%</w:t>
            </w:r>
          </w:p>
        </w:tc>
        <w:tc>
          <w:tcPr>
            <w:tcW w:w="362"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r>
      <w:tr w:rsidR="00ED3C71" w:rsidRPr="00A45259" w:rsidTr="00ED3C71">
        <w:trPr>
          <w:cantSplit/>
          <w:trHeight w:val="20"/>
        </w:trPr>
        <w:tc>
          <w:tcPr>
            <w:tcW w:w="313" w:type="pct"/>
            <w:shd w:val="clear" w:color="auto" w:fill="auto"/>
            <w:noWrap/>
            <w:vAlign w:val="bottom"/>
            <w:hideMark/>
          </w:tcPr>
          <w:p w:rsidR="00A64028" w:rsidRPr="00A45259" w:rsidRDefault="00A64028" w:rsidP="00103148">
            <w:pPr>
              <w:spacing w:after="0"/>
              <w:rPr>
                <w:rFonts w:ascii="Arial Narrow" w:hAnsi="Arial Narrow"/>
                <w:sz w:val="20"/>
                <w:szCs w:val="20"/>
              </w:rPr>
            </w:pPr>
            <w:r w:rsidRPr="00A45259">
              <w:rPr>
                <w:rFonts w:ascii="Arial Narrow" w:hAnsi="Arial Narrow"/>
                <w:sz w:val="20"/>
                <w:szCs w:val="20"/>
              </w:rPr>
              <w:t> </w:t>
            </w:r>
          </w:p>
        </w:tc>
        <w:tc>
          <w:tcPr>
            <w:tcW w:w="1015" w:type="pct"/>
            <w:shd w:val="clear" w:color="000000" w:fill="FFFFFF"/>
            <w:vAlign w:val="center"/>
            <w:hideMark/>
          </w:tcPr>
          <w:p w:rsidR="00A64028" w:rsidRPr="00A45259" w:rsidRDefault="00A64028" w:rsidP="00103148">
            <w:pPr>
              <w:spacing w:after="0"/>
              <w:ind w:left="-60" w:right="-113"/>
              <w:rPr>
                <w:rFonts w:ascii="Arial Narrow" w:hAnsi="Arial Narrow"/>
                <w:sz w:val="20"/>
                <w:szCs w:val="20"/>
              </w:rPr>
            </w:pPr>
            <w:r w:rsidRPr="00A45259">
              <w:rPr>
                <w:rFonts w:ascii="Arial Narrow" w:hAnsi="Arial Narrow"/>
                <w:sz w:val="20"/>
                <w:szCs w:val="20"/>
              </w:rPr>
              <w:t>Нестабильность российского законодательства, регулирующего предпринимательскую деятельность</w:t>
            </w:r>
          </w:p>
        </w:tc>
        <w:tc>
          <w:tcPr>
            <w:tcW w:w="281" w:type="pct"/>
            <w:shd w:val="clear" w:color="000000" w:fill="FFFFFF"/>
            <w:vAlign w:val="center"/>
          </w:tcPr>
          <w:p w:rsidR="00A64028" w:rsidRPr="00A45259" w:rsidRDefault="00A64028" w:rsidP="00103148">
            <w:pPr>
              <w:spacing w:after="0"/>
              <w:ind w:left="-113" w:right="-113"/>
              <w:jc w:val="center"/>
              <w:rPr>
                <w:rFonts w:ascii="Arial Narrow" w:hAnsi="Arial Narrow" w:cs="Arial"/>
                <w:sz w:val="20"/>
                <w:szCs w:val="20"/>
              </w:rPr>
            </w:pPr>
            <w:r w:rsidRPr="00A45259">
              <w:rPr>
                <w:rFonts w:ascii="Arial Narrow" w:hAnsi="Arial Narrow" w:cs="Arial"/>
                <w:sz w:val="20"/>
                <w:szCs w:val="20"/>
              </w:rPr>
              <w:t>1,0%</w:t>
            </w:r>
          </w:p>
        </w:tc>
        <w:tc>
          <w:tcPr>
            <w:tcW w:w="231"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31"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58"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30"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329"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30"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30"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4,3%</w:t>
            </w:r>
          </w:p>
        </w:tc>
        <w:tc>
          <w:tcPr>
            <w:tcW w:w="230"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1,1%</w:t>
            </w:r>
          </w:p>
        </w:tc>
        <w:tc>
          <w:tcPr>
            <w:tcW w:w="265"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2,6%</w:t>
            </w:r>
          </w:p>
        </w:tc>
        <w:tc>
          <w:tcPr>
            <w:tcW w:w="265"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65"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65"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362"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r>
      <w:tr w:rsidR="00ED3C71" w:rsidRPr="00A45259" w:rsidTr="00ED3C71">
        <w:trPr>
          <w:cantSplit/>
          <w:trHeight w:val="20"/>
        </w:trPr>
        <w:tc>
          <w:tcPr>
            <w:tcW w:w="313" w:type="pct"/>
            <w:shd w:val="clear" w:color="auto" w:fill="auto"/>
            <w:noWrap/>
            <w:vAlign w:val="bottom"/>
            <w:hideMark/>
          </w:tcPr>
          <w:p w:rsidR="00A64028" w:rsidRPr="00A45259" w:rsidRDefault="00A64028" w:rsidP="00103148">
            <w:pPr>
              <w:spacing w:after="0"/>
              <w:rPr>
                <w:rFonts w:ascii="Arial Narrow" w:hAnsi="Arial Narrow"/>
                <w:sz w:val="20"/>
                <w:szCs w:val="20"/>
              </w:rPr>
            </w:pPr>
            <w:r w:rsidRPr="00A45259">
              <w:rPr>
                <w:rFonts w:ascii="Arial Narrow" w:hAnsi="Arial Narrow"/>
                <w:sz w:val="20"/>
                <w:szCs w:val="20"/>
              </w:rPr>
              <w:t> </w:t>
            </w:r>
          </w:p>
        </w:tc>
        <w:tc>
          <w:tcPr>
            <w:tcW w:w="1015" w:type="pct"/>
            <w:shd w:val="clear" w:color="000000" w:fill="FFFFFF"/>
            <w:vAlign w:val="center"/>
            <w:hideMark/>
          </w:tcPr>
          <w:p w:rsidR="00A64028" w:rsidRPr="00A45259" w:rsidRDefault="00A64028" w:rsidP="00103148">
            <w:pPr>
              <w:spacing w:after="0"/>
              <w:ind w:left="-60" w:right="-113"/>
              <w:rPr>
                <w:rFonts w:ascii="Arial Narrow" w:hAnsi="Arial Narrow"/>
                <w:sz w:val="20"/>
                <w:szCs w:val="20"/>
              </w:rPr>
            </w:pPr>
            <w:r w:rsidRPr="00A45259">
              <w:rPr>
                <w:rFonts w:ascii="Arial Narrow" w:hAnsi="Arial Narrow"/>
                <w:sz w:val="20"/>
                <w:szCs w:val="20"/>
              </w:rPr>
              <w:t>Узкий специфичный рынок</w:t>
            </w:r>
          </w:p>
        </w:tc>
        <w:tc>
          <w:tcPr>
            <w:tcW w:w="281" w:type="pct"/>
            <w:shd w:val="clear" w:color="000000" w:fill="FFFFFF"/>
            <w:vAlign w:val="center"/>
          </w:tcPr>
          <w:p w:rsidR="00A64028" w:rsidRPr="00A45259" w:rsidRDefault="00A64028" w:rsidP="00103148">
            <w:pPr>
              <w:spacing w:after="0"/>
              <w:ind w:left="-113" w:right="-113"/>
              <w:jc w:val="center"/>
              <w:rPr>
                <w:rFonts w:ascii="Arial Narrow" w:hAnsi="Arial Narrow" w:cs="Arial"/>
                <w:sz w:val="20"/>
                <w:szCs w:val="20"/>
              </w:rPr>
            </w:pPr>
            <w:r w:rsidRPr="00A45259">
              <w:rPr>
                <w:rFonts w:ascii="Arial Narrow" w:hAnsi="Arial Narrow" w:cs="Arial"/>
                <w:sz w:val="20"/>
                <w:szCs w:val="20"/>
              </w:rPr>
              <w:t>0,9%</w:t>
            </w:r>
          </w:p>
        </w:tc>
        <w:tc>
          <w:tcPr>
            <w:tcW w:w="231"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31"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58"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30"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2,9%</w:t>
            </w:r>
          </w:p>
        </w:tc>
        <w:tc>
          <w:tcPr>
            <w:tcW w:w="329"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30"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30"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4,3%</w:t>
            </w:r>
          </w:p>
        </w:tc>
        <w:tc>
          <w:tcPr>
            <w:tcW w:w="230"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1,1%</w:t>
            </w:r>
          </w:p>
        </w:tc>
        <w:tc>
          <w:tcPr>
            <w:tcW w:w="265"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65"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65"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65"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362"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r>
      <w:tr w:rsidR="00ED3C71" w:rsidRPr="00A45259" w:rsidTr="00ED3C71">
        <w:trPr>
          <w:cantSplit/>
          <w:trHeight w:val="20"/>
        </w:trPr>
        <w:tc>
          <w:tcPr>
            <w:tcW w:w="313" w:type="pct"/>
            <w:shd w:val="clear" w:color="auto" w:fill="auto"/>
            <w:noWrap/>
            <w:vAlign w:val="bottom"/>
            <w:hideMark/>
          </w:tcPr>
          <w:p w:rsidR="00A64028" w:rsidRPr="00A45259" w:rsidRDefault="00A64028" w:rsidP="00103148">
            <w:pPr>
              <w:spacing w:after="0"/>
              <w:rPr>
                <w:rFonts w:ascii="Arial Narrow" w:hAnsi="Arial Narrow"/>
                <w:sz w:val="20"/>
                <w:szCs w:val="20"/>
              </w:rPr>
            </w:pPr>
            <w:r w:rsidRPr="00A45259">
              <w:rPr>
                <w:rFonts w:ascii="Arial Narrow" w:hAnsi="Arial Narrow"/>
                <w:sz w:val="20"/>
                <w:szCs w:val="20"/>
              </w:rPr>
              <w:t> </w:t>
            </w:r>
          </w:p>
        </w:tc>
        <w:tc>
          <w:tcPr>
            <w:tcW w:w="1015" w:type="pct"/>
            <w:shd w:val="clear" w:color="000000" w:fill="FFFFFF"/>
            <w:vAlign w:val="center"/>
            <w:hideMark/>
          </w:tcPr>
          <w:p w:rsidR="00A64028" w:rsidRPr="00A45259" w:rsidRDefault="00A64028" w:rsidP="00103148">
            <w:pPr>
              <w:spacing w:after="0"/>
              <w:ind w:left="-60" w:right="-113"/>
              <w:rPr>
                <w:rFonts w:ascii="Arial Narrow" w:hAnsi="Arial Narrow"/>
                <w:sz w:val="20"/>
                <w:szCs w:val="20"/>
              </w:rPr>
            </w:pPr>
            <w:r w:rsidRPr="00A45259">
              <w:rPr>
                <w:rFonts w:ascii="Arial Narrow" w:hAnsi="Arial Narrow"/>
                <w:sz w:val="20"/>
                <w:szCs w:val="20"/>
              </w:rPr>
              <w:t>Ситуация на рынке осталась прежней</w:t>
            </w:r>
          </w:p>
        </w:tc>
        <w:tc>
          <w:tcPr>
            <w:tcW w:w="281" w:type="pct"/>
            <w:shd w:val="clear" w:color="000000" w:fill="FFFFFF"/>
            <w:vAlign w:val="center"/>
          </w:tcPr>
          <w:p w:rsidR="00A64028" w:rsidRPr="00A45259" w:rsidRDefault="00A64028" w:rsidP="00103148">
            <w:pPr>
              <w:spacing w:after="0"/>
              <w:ind w:left="-113" w:right="-113"/>
              <w:jc w:val="center"/>
              <w:rPr>
                <w:rFonts w:ascii="Arial Narrow" w:hAnsi="Arial Narrow" w:cs="Arial"/>
                <w:sz w:val="20"/>
                <w:szCs w:val="20"/>
              </w:rPr>
            </w:pPr>
            <w:r w:rsidRPr="00A45259">
              <w:rPr>
                <w:rFonts w:ascii="Arial Narrow" w:hAnsi="Arial Narrow" w:cs="Arial"/>
                <w:sz w:val="20"/>
                <w:szCs w:val="20"/>
              </w:rPr>
              <w:t>0,6%</w:t>
            </w:r>
          </w:p>
        </w:tc>
        <w:tc>
          <w:tcPr>
            <w:tcW w:w="231"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31"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58"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30"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329"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30"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30"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30"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1,1%</w:t>
            </w:r>
          </w:p>
        </w:tc>
        <w:tc>
          <w:tcPr>
            <w:tcW w:w="265"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65"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65"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65"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362" w:type="pct"/>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r>
      <w:tr w:rsidR="00ED3C71" w:rsidRPr="00A45259" w:rsidTr="00ED3C71">
        <w:trPr>
          <w:cantSplit/>
          <w:trHeight w:val="20"/>
        </w:trPr>
        <w:tc>
          <w:tcPr>
            <w:tcW w:w="31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64028" w:rsidRPr="00A45259" w:rsidRDefault="00A64028" w:rsidP="00103148">
            <w:pPr>
              <w:spacing w:after="0"/>
              <w:rPr>
                <w:rFonts w:ascii="Arial Narrow" w:hAnsi="Arial Narrow"/>
                <w:sz w:val="20"/>
                <w:szCs w:val="20"/>
              </w:rPr>
            </w:pPr>
            <w:r w:rsidRPr="00A45259">
              <w:rPr>
                <w:rFonts w:ascii="Arial Narrow" w:hAnsi="Arial Narrow"/>
                <w:sz w:val="20"/>
                <w:szCs w:val="20"/>
              </w:rPr>
              <w:t> </w:t>
            </w:r>
          </w:p>
        </w:tc>
        <w:tc>
          <w:tcPr>
            <w:tcW w:w="10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64028" w:rsidRPr="00A45259" w:rsidRDefault="00A64028" w:rsidP="00103148">
            <w:pPr>
              <w:spacing w:after="0"/>
              <w:ind w:left="-60" w:right="-113"/>
              <w:rPr>
                <w:rFonts w:ascii="Arial Narrow" w:hAnsi="Arial Narrow"/>
                <w:sz w:val="20"/>
                <w:szCs w:val="20"/>
              </w:rPr>
            </w:pPr>
            <w:r w:rsidRPr="00A45259">
              <w:rPr>
                <w:rFonts w:ascii="Arial Narrow" w:hAnsi="Arial Narrow"/>
                <w:sz w:val="20"/>
                <w:szCs w:val="20"/>
              </w:rPr>
              <w:t>Компания на рынке недавно</w:t>
            </w:r>
          </w:p>
        </w:tc>
        <w:tc>
          <w:tcPr>
            <w:tcW w:w="281" w:type="pct"/>
            <w:tcBorders>
              <w:top w:val="single" w:sz="4" w:space="0" w:color="auto"/>
              <w:left w:val="single" w:sz="4" w:space="0" w:color="auto"/>
              <w:bottom w:val="single" w:sz="4" w:space="0" w:color="auto"/>
              <w:right w:val="single" w:sz="4" w:space="0" w:color="auto"/>
            </w:tcBorders>
            <w:shd w:val="clear" w:color="000000" w:fill="FFFFFF"/>
            <w:vAlign w:val="center"/>
          </w:tcPr>
          <w:p w:rsidR="00A64028" w:rsidRPr="00A45259" w:rsidRDefault="00A64028" w:rsidP="00103148">
            <w:pPr>
              <w:spacing w:after="0"/>
              <w:ind w:left="-113" w:right="-113"/>
              <w:jc w:val="center"/>
              <w:rPr>
                <w:rFonts w:ascii="Arial Narrow" w:hAnsi="Arial Narrow" w:cs="Arial"/>
                <w:sz w:val="20"/>
                <w:szCs w:val="20"/>
              </w:rPr>
            </w:pPr>
            <w:r w:rsidRPr="00A45259">
              <w:rPr>
                <w:rFonts w:ascii="Arial Narrow" w:hAnsi="Arial Narrow" w:cs="Arial"/>
                <w:sz w:val="20"/>
                <w:szCs w:val="20"/>
              </w:rPr>
              <w:t>0,5%</w:t>
            </w:r>
          </w:p>
        </w:tc>
        <w:tc>
          <w:tcPr>
            <w:tcW w:w="23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3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32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6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6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6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6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36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r>
      <w:tr w:rsidR="00ED3C71" w:rsidRPr="00A45259" w:rsidTr="00ED3C71">
        <w:trPr>
          <w:cantSplit/>
          <w:trHeight w:val="20"/>
        </w:trPr>
        <w:tc>
          <w:tcPr>
            <w:tcW w:w="31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64028" w:rsidRPr="00A45259" w:rsidRDefault="00A64028" w:rsidP="00103148">
            <w:pPr>
              <w:spacing w:after="0"/>
              <w:rPr>
                <w:rFonts w:ascii="Arial Narrow" w:hAnsi="Arial Narrow"/>
                <w:sz w:val="20"/>
                <w:szCs w:val="20"/>
              </w:rPr>
            </w:pPr>
            <w:r w:rsidRPr="00A45259">
              <w:rPr>
                <w:rFonts w:ascii="Arial Narrow" w:hAnsi="Arial Narrow"/>
                <w:sz w:val="20"/>
                <w:szCs w:val="20"/>
              </w:rPr>
              <w:t> </w:t>
            </w:r>
          </w:p>
        </w:tc>
        <w:tc>
          <w:tcPr>
            <w:tcW w:w="10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64028" w:rsidRPr="00A45259" w:rsidRDefault="00A64028" w:rsidP="00103148">
            <w:pPr>
              <w:spacing w:after="0"/>
              <w:ind w:left="-60" w:right="-113"/>
              <w:rPr>
                <w:rFonts w:ascii="Arial Narrow" w:hAnsi="Arial Narrow"/>
                <w:sz w:val="20"/>
                <w:szCs w:val="20"/>
              </w:rPr>
            </w:pPr>
            <w:r w:rsidRPr="00A45259">
              <w:rPr>
                <w:rFonts w:ascii="Arial Narrow" w:hAnsi="Arial Narrow"/>
                <w:sz w:val="20"/>
                <w:szCs w:val="20"/>
              </w:rPr>
              <w:t>Другое</w:t>
            </w:r>
          </w:p>
        </w:tc>
        <w:tc>
          <w:tcPr>
            <w:tcW w:w="281" w:type="pct"/>
            <w:tcBorders>
              <w:top w:val="single" w:sz="4" w:space="0" w:color="auto"/>
              <w:left w:val="single" w:sz="4" w:space="0" w:color="auto"/>
              <w:bottom w:val="single" w:sz="4" w:space="0" w:color="auto"/>
              <w:right w:val="single" w:sz="4" w:space="0" w:color="auto"/>
            </w:tcBorders>
            <w:shd w:val="clear" w:color="000000" w:fill="FFFFFF"/>
            <w:vAlign w:val="center"/>
          </w:tcPr>
          <w:p w:rsidR="00A64028" w:rsidRPr="00A45259" w:rsidRDefault="00A64028" w:rsidP="00103148">
            <w:pPr>
              <w:spacing w:after="0"/>
              <w:ind w:left="-113" w:right="-113"/>
              <w:jc w:val="center"/>
              <w:rPr>
                <w:rFonts w:ascii="Arial Narrow" w:hAnsi="Arial Narrow" w:cs="Arial"/>
                <w:sz w:val="20"/>
                <w:szCs w:val="20"/>
              </w:rPr>
            </w:pPr>
            <w:r w:rsidRPr="00A45259">
              <w:rPr>
                <w:rFonts w:ascii="Arial Narrow" w:hAnsi="Arial Narrow" w:cs="Arial"/>
                <w:sz w:val="20"/>
                <w:szCs w:val="20"/>
              </w:rPr>
              <w:t>2,0%</w:t>
            </w:r>
          </w:p>
        </w:tc>
        <w:tc>
          <w:tcPr>
            <w:tcW w:w="23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3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2,9%</w:t>
            </w:r>
          </w:p>
        </w:tc>
        <w:tc>
          <w:tcPr>
            <w:tcW w:w="32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14,3%</w:t>
            </w:r>
          </w:p>
        </w:tc>
        <w:tc>
          <w:tcPr>
            <w:tcW w:w="2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4,3%</w:t>
            </w:r>
          </w:p>
        </w:tc>
        <w:tc>
          <w:tcPr>
            <w:tcW w:w="2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6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6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6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7,7%</w:t>
            </w:r>
          </w:p>
        </w:tc>
        <w:tc>
          <w:tcPr>
            <w:tcW w:w="26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2,7%</w:t>
            </w:r>
          </w:p>
        </w:tc>
        <w:tc>
          <w:tcPr>
            <w:tcW w:w="36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r>
      <w:tr w:rsidR="00ED3C71" w:rsidRPr="00A45259" w:rsidTr="00ED3C71">
        <w:trPr>
          <w:cantSplit/>
          <w:trHeight w:val="20"/>
        </w:trPr>
        <w:tc>
          <w:tcPr>
            <w:tcW w:w="31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64028" w:rsidRPr="00A45259" w:rsidRDefault="00A64028" w:rsidP="00103148">
            <w:pPr>
              <w:spacing w:after="0"/>
              <w:rPr>
                <w:rFonts w:ascii="Arial Narrow" w:hAnsi="Arial Narrow"/>
                <w:sz w:val="20"/>
                <w:szCs w:val="20"/>
              </w:rPr>
            </w:pPr>
            <w:r w:rsidRPr="00A45259">
              <w:rPr>
                <w:rFonts w:ascii="Arial Narrow" w:hAnsi="Arial Narrow"/>
                <w:sz w:val="20"/>
                <w:szCs w:val="20"/>
              </w:rPr>
              <w:t> </w:t>
            </w:r>
          </w:p>
        </w:tc>
        <w:tc>
          <w:tcPr>
            <w:tcW w:w="10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64028" w:rsidRPr="00A45259" w:rsidRDefault="00A64028" w:rsidP="00103148">
            <w:pPr>
              <w:spacing w:after="0"/>
              <w:ind w:left="-60" w:right="-113"/>
              <w:rPr>
                <w:rFonts w:ascii="Arial Narrow" w:hAnsi="Arial Narrow"/>
                <w:sz w:val="20"/>
                <w:szCs w:val="20"/>
              </w:rPr>
            </w:pPr>
            <w:r w:rsidRPr="00A45259">
              <w:rPr>
                <w:rFonts w:ascii="Arial Narrow" w:hAnsi="Arial Narrow"/>
                <w:sz w:val="20"/>
                <w:szCs w:val="20"/>
              </w:rPr>
              <w:t>Затрудняюсь ответить</w:t>
            </w:r>
          </w:p>
        </w:tc>
        <w:tc>
          <w:tcPr>
            <w:tcW w:w="281" w:type="pct"/>
            <w:tcBorders>
              <w:top w:val="single" w:sz="4" w:space="0" w:color="auto"/>
              <w:left w:val="single" w:sz="4" w:space="0" w:color="auto"/>
              <w:bottom w:val="single" w:sz="4" w:space="0" w:color="auto"/>
              <w:right w:val="single" w:sz="4" w:space="0" w:color="auto"/>
            </w:tcBorders>
            <w:shd w:val="clear" w:color="000000" w:fill="FFFFFF"/>
            <w:vAlign w:val="center"/>
          </w:tcPr>
          <w:p w:rsidR="00A64028" w:rsidRPr="00A45259" w:rsidRDefault="00A64028" w:rsidP="00103148">
            <w:pPr>
              <w:spacing w:after="0"/>
              <w:ind w:left="-113" w:right="-113"/>
              <w:jc w:val="center"/>
              <w:rPr>
                <w:rFonts w:ascii="Arial Narrow" w:hAnsi="Arial Narrow" w:cs="Arial"/>
                <w:sz w:val="20"/>
                <w:szCs w:val="20"/>
              </w:rPr>
            </w:pPr>
            <w:r w:rsidRPr="00A45259">
              <w:rPr>
                <w:rFonts w:ascii="Arial Narrow" w:hAnsi="Arial Narrow" w:cs="Arial"/>
                <w:sz w:val="20"/>
                <w:szCs w:val="20"/>
              </w:rPr>
              <w:t>16,2%</w:t>
            </w:r>
          </w:p>
        </w:tc>
        <w:tc>
          <w:tcPr>
            <w:tcW w:w="23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3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33,3%</w:t>
            </w:r>
          </w:p>
        </w:tc>
        <w:tc>
          <w:tcPr>
            <w:tcW w:w="2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18,2%</w:t>
            </w:r>
          </w:p>
        </w:tc>
        <w:tc>
          <w:tcPr>
            <w:tcW w:w="2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14,3%</w:t>
            </w:r>
          </w:p>
        </w:tc>
        <w:tc>
          <w:tcPr>
            <w:tcW w:w="32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28,6%</w:t>
            </w:r>
          </w:p>
        </w:tc>
        <w:tc>
          <w:tcPr>
            <w:tcW w:w="2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11,1%</w:t>
            </w:r>
          </w:p>
        </w:tc>
        <w:tc>
          <w:tcPr>
            <w:tcW w:w="2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8,7%</w:t>
            </w:r>
          </w:p>
        </w:tc>
        <w:tc>
          <w:tcPr>
            <w:tcW w:w="2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20,0%</w:t>
            </w:r>
          </w:p>
        </w:tc>
        <w:tc>
          <w:tcPr>
            <w:tcW w:w="26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36,8%</w:t>
            </w:r>
          </w:p>
        </w:tc>
        <w:tc>
          <w:tcPr>
            <w:tcW w:w="26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0,0%</w:t>
            </w:r>
          </w:p>
        </w:tc>
        <w:tc>
          <w:tcPr>
            <w:tcW w:w="26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7,7%</w:t>
            </w:r>
          </w:p>
        </w:tc>
        <w:tc>
          <w:tcPr>
            <w:tcW w:w="26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16,2%</w:t>
            </w:r>
          </w:p>
        </w:tc>
        <w:tc>
          <w:tcPr>
            <w:tcW w:w="36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64028" w:rsidRPr="00A45259" w:rsidRDefault="00A64028" w:rsidP="00103148">
            <w:pPr>
              <w:spacing w:after="0"/>
              <w:ind w:left="-113" w:right="-113"/>
              <w:jc w:val="center"/>
              <w:rPr>
                <w:rFonts w:ascii="Arial Narrow" w:hAnsi="Arial Narrow"/>
                <w:sz w:val="20"/>
                <w:szCs w:val="20"/>
              </w:rPr>
            </w:pPr>
            <w:r w:rsidRPr="00A45259">
              <w:rPr>
                <w:rFonts w:ascii="Arial Narrow" w:hAnsi="Arial Narrow"/>
                <w:sz w:val="20"/>
                <w:szCs w:val="20"/>
              </w:rPr>
              <w:t>50,0%</w:t>
            </w:r>
          </w:p>
        </w:tc>
      </w:tr>
    </w:tbl>
    <w:p w:rsidR="00A64028" w:rsidRPr="009B4A85" w:rsidRDefault="00A64028" w:rsidP="00103148">
      <w:pPr>
        <w:spacing w:after="0"/>
        <w:jc w:val="both"/>
        <w:rPr>
          <w:rFonts w:ascii="Arial Narrow" w:hAnsi="Arial Narrow"/>
          <w:b/>
          <w:sz w:val="24"/>
          <w:szCs w:val="24"/>
        </w:rPr>
      </w:pPr>
    </w:p>
    <w:p w:rsidR="00A64028" w:rsidRPr="009B4A85" w:rsidRDefault="00A64028" w:rsidP="00103148">
      <w:pPr>
        <w:spacing w:after="0" w:line="360" w:lineRule="auto"/>
        <w:ind w:firstLine="284"/>
        <w:jc w:val="both"/>
        <w:rPr>
          <w:rFonts w:ascii="Arial Narrow" w:hAnsi="Arial Narrow"/>
          <w:b/>
          <w:sz w:val="24"/>
          <w:szCs w:val="24"/>
        </w:rPr>
      </w:pPr>
      <w:r w:rsidRPr="009B4A85">
        <w:rPr>
          <w:rFonts w:ascii="Arial Narrow" w:hAnsi="Arial Narrow"/>
          <w:b/>
          <w:sz w:val="24"/>
          <w:szCs w:val="24"/>
        </w:rPr>
        <w:t>Значение показателя 1.2.4. Среднее количество конкурентов (среднее значение).</w:t>
      </w:r>
    </w:p>
    <w:p w:rsidR="00A64028" w:rsidRPr="009B4A85" w:rsidRDefault="00A64028" w:rsidP="00103148">
      <w:pPr>
        <w:spacing w:after="0" w:line="360" w:lineRule="auto"/>
        <w:ind w:firstLine="284"/>
        <w:jc w:val="both"/>
        <w:rPr>
          <w:rFonts w:ascii="Arial Narrow" w:hAnsi="Arial Narrow"/>
          <w:sz w:val="24"/>
          <w:szCs w:val="24"/>
        </w:rPr>
      </w:pPr>
      <w:r w:rsidRPr="009B4A85">
        <w:rPr>
          <w:rFonts w:ascii="Arial Narrow" w:hAnsi="Arial Narrow"/>
          <w:sz w:val="24"/>
          <w:szCs w:val="24"/>
        </w:rPr>
        <w:t>Более 3 конкурентов имеют, по собственным оценкам, 72,2 % субъектов предпринимательства. Большое количество конкурентов характерно для всех опрошенных представителей рынка услуг детского отдыха и оздоровления (100 %) и лишь для небольшой доли участников рынков услуг психолого-педагогического сопровождения детей с ограниченными возможностями здоровья и услуг в сфере культуры (по 36 %). На остальных рынках по 4 конкурента и более наблюдается у 51–90 % организаций.</w:t>
      </w:r>
    </w:p>
    <w:p w:rsidR="00E82802" w:rsidRDefault="00E82802" w:rsidP="00103148">
      <w:pPr>
        <w:spacing w:after="0"/>
        <w:rPr>
          <w:rFonts w:ascii="Arial Narrow" w:eastAsia="Calibri" w:hAnsi="Arial Narrow"/>
          <w:sz w:val="24"/>
          <w:szCs w:val="24"/>
        </w:rPr>
      </w:pPr>
    </w:p>
    <w:p w:rsidR="00ED3C71" w:rsidRDefault="00ED3C71">
      <w:pPr>
        <w:rPr>
          <w:rFonts w:ascii="Arial Narrow" w:eastAsia="Calibri" w:hAnsi="Arial Narrow"/>
          <w:sz w:val="24"/>
          <w:szCs w:val="24"/>
        </w:rPr>
      </w:pPr>
      <w:r>
        <w:rPr>
          <w:rFonts w:ascii="Arial Narrow" w:eastAsia="Calibri" w:hAnsi="Arial Narrow"/>
          <w:sz w:val="24"/>
          <w:szCs w:val="24"/>
        </w:rPr>
        <w:br w:type="page"/>
      </w:r>
    </w:p>
    <w:p w:rsidR="00A64028" w:rsidRPr="009B4A85" w:rsidRDefault="00A64028" w:rsidP="00103148">
      <w:pPr>
        <w:spacing w:after="0"/>
        <w:rPr>
          <w:rFonts w:ascii="Arial Narrow" w:hAnsi="Arial Narrow"/>
          <w:sz w:val="24"/>
          <w:szCs w:val="24"/>
        </w:rPr>
      </w:pPr>
      <w:r>
        <w:rPr>
          <w:rFonts w:ascii="Arial Narrow" w:eastAsia="Calibri" w:hAnsi="Arial Narrow"/>
          <w:sz w:val="24"/>
          <w:szCs w:val="24"/>
        </w:rPr>
        <w:lastRenderedPageBreak/>
        <w:t xml:space="preserve">Таблица </w:t>
      </w:r>
      <w:r w:rsidR="00262F71">
        <w:rPr>
          <w:rFonts w:ascii="Arial Narrow" w:eastAsia="Calibri" w:hAnsi="Arial Narrow"/>
          <w:sz w:val="24"/>
          <w:szCs w:val="24"/>
        </w:rPr>
        <w:t>7.19.</w:t>
      </w:r>
      <w:r w:rsidRPr="009B4A85">
        <w:rPr>
          <w:rFonts w:ascii="Arial Narrow" w:eastAsia="Calibri" w:hAnsi="Arial Narrow"/>
          <w:sz w:val="24"/>
          <w:szCs w:val="24"/>
        </w:rPr>
        <w:t xml:space="preserve">– </w:t>
      </w:r>
      <w:r w:rsidRPr="009B4A85">
        <w:rPr>
          <w:rFonts w:ascii="Arial Narrow" w:hAnsi="Arial Narrow"/>
          <w:b/>
          <w:sz w:val="24"/>
          <w:szCs w:val="24"/>
        </w:rPr>
        <w:t>Значение показателя 1.2.4. Среднее количество конкурентов (среднее значение)</w:t>
      </w:r>
    </w:p>
    <w:tbl>
      <w:tblPr>
        <w:tblW w:w="9933" w:type="dxa"/>
        <w:tblInd w:w="-289" w:type="dxa"/>
        <w:tblLayout w:type="fixed"/>
        <w:tblCellMar>
          <w:left w:w="0" w:type="dxa"/>
          <w:right w:w="0" w:type="dxa"/>
        </w:tblCellMar>
        <w:tblLook w:val="04A0"/>
      </w:tblPr>
      <w:tblGrid>
        <w:gridCol w:w="436"/>
        <w:gridCol w:w="1985"/>
        <w:gridCol w:w="850"/>
        <w:gridCol w:w="567"/>
        <w:gridCol w:w="457"/>
        <w:gridCol w:w="513"/>
        <w:gridCol w:w="448"/>
        <w:gridCol w:w="708"/>
        <w:gridCol w:w="426"/>
        <w:gridCol w:w="468"/>
        <w:gridCol w:w="512"/>
        <w:gridCol w:w="579"/>
        <w:gridCol w:w="425"/>
        <w:gridCol w:w="425"/>
        <w:gridCol w:w="621"/>
        <w:gridCol w:w="513"/>
      </w:tblGrid>
      <w:tr w:rsidR="00A64028" w:rsidRPr="00A45259" w:rsidTr="00086001">
        <w:trPr>
          <w:cantSplit/>
          <w:trHeight w:val="4174"/>
        </w:trPr>
        <w:tc>
          <w:tcPr>
            <w:tcW w:w="436" w:type="dxa"/>
            <w:tcBorders>
              <w:top w:val="single" w:sz="4" w:space="0" w:color="auto"/>
              <w:left w:val="single" w:sz="4" w:space="0" w:color="auto"/>
              <w:bottom w:val="single" w:sz="4" w:space="0" w:color="auto"/>
              <w:right w:val="single" w:sz="4" w:space="0" w:color="auto"/>
            </w:tcBorders>
            <w:vAlign w:val="center"/>
            <w:hideMark/>
          </w:tcPr>
          <w:p w:rsidR="00A64028" w:rsidRPr="00A45259" w:rsidRDefault="00A64028" w:rsidP="00103148">
            <w:pPr>
              <w:spacing w:after="0" w:line="256" w:lineRule="auto"/>
              <w:jc w:val="center"/>
              <w:rPr>
                <w:rFonts w:ascii="Arial Narrow" w:hAnsi="Arial Narrow" w:cs="Arial"/>
                <w:sz w:val="20"/>
                <w:szCs w:val="20"/>
              </w:rPr>
            </w:pPr>
            <w:r w:rsidRPr="00A45259">
              <w:rPr>
                <w:rFonts w:ascii="Arial Narrow" w:hAnsi="Arial Narrow" w:cs="Arial"/>
                <w:sz w:val="20"/>
                <w:szCs w:val="20"/>
              </w:rPr>
              <w:t>№</w:t>
            </w:r>
          </w:p>
        </w:tc>
        <w:tc>
          <w:tcPr>
            <w:tcW w:w="1985" w:type="dxa"/>
            <w:tcBorders>
              <w:top w:val="single" w:sz="4" w:space="0" w:color="auto"/>
              <w:left w:val="nil"/>
              <w:bottom w:val="single" w:sz="4" w:space="0" w:color="auto"/>
              <w:right w:val="single" w:sz="4" w:space="0" w:color="auto"/>
            </w:tcBorders>
            <w:vAlign w:val="center"/>
            <w:hideMark/>
          </w:tcPr>
          <w:p w:rsidR="00A64028" w:rsidRPr="00A45259" w:rsidRDefault="00A64028" w:rsidP="00103148">
            <w:pPr>
              <w:spacing w:after="0" w:line="256" w:lineRule="auto"/>
              <w:ind w:left="148" w:right="141"/>
              <w:rPr>
                <w:rFonts w:ascii="Arial Narrow" w:hAnsi="Arial Narrow" w:cs="Arial"/>
                <w:sz w:val="20"/>
                <w:szCs w:val="20"/>
              </w:rPr>
            </w:pPr>
            <w:r w:rsidRPr="00A45259">
              <w:rPr>
                <w:rFonts w:ascii="Arial Narrow" w:hAnsi="Arial Narrow" w:cs="Arial"/>
                <w:sz w:val="20"/>
                <w:szCs w:val="20"/>
              </w:rPr>
              <w:t>Наименование показателя, единица измерения</w:t>
            </w:r>
          </w:p>
        </w:tc>
        <w:tc>
          <w:tcPr>
            <w:tcW w:w="850" w:type="dxa"/>
            <w:tcBorders>
              <w:top w:val="single" w:sz="4" w:space="0" w:color="auto"/>
              <w:left w:val="nil"/>
              <w:bottom w:val="single" w:sz="4" w:space="0" w:color="auto"/>
              <w:right w:val="single" w:sz="4" w:space="0" w:color="auto"/>
            </w:tcBorders>
            <w:textDirection w:val="btLr"/>
            <w:vAlign w:val="center"/>
            <w:hideMark/>
          </w:tcPr>
          <w:p w:rsidR="00A64028" w:rsidRPr="00A45259" w:rsidRDefault="00A64028" w:rsidP="00086001">
            <w:pPr>
              <w:spacing w:after="0" w:line="256" w:lineRule="auto"/>
              <w:ind w:left="113" w:right="113"/>
              <w:jc w:val="center"/>
              <w:rPr>
                <w:rFonts w:ascii="Arial Narrow" w:hAnsi="Arial Narrow" w:cs="Arial"/>
                <w:sz w:val="20"/>
                <w:szCs w:val="20"/>
              </w:rPr>
            </w:pPr>
            <w:r w:rsidRPr="00A45259">
              <w:rPr>
                <w:rFonts w:ascii="Arial Narrow" w:hAnsi="Arial Narrow" w:cs="Arial"/>
                <w:sz w:val="20"/>
                <w:szCs w:val="20"/>
              </w:rPr>
              <w:t>Общий по Новосибирской области</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A45259" w:rsidRDefault="00A64028" w:rsidP="00103148">
            <w:pPr>
              <w:spacing w:after="0"/>
              <w:ind w:left="113" w:right="113"/>
              <w:jc w:val="center"/>
              <w:rPr>
                <w:rFonts w:ascii="Arial Narrow" w:hAnsi="Arial Narrow" w:cs="Arial"/>
                <w:sz w:val="18"/>
                <w:szCs w:val="18"/>
              </w:rPr>
            </w:pPr>
            <w:r w:rsidRPr="00A45259">
              <w:rPr>
                <w:rFonts w:ascii="Arial Narrow" w:hAnsi="Arial Narrow" w:cs="Arial"/>
                <w:sz w:val="18"/>
                <w:szCs w:val="18"/>
              </w:rPr>
              <w:t>Рынок услуг дошкольного образования (коммерческие детские сады и учреждения пребывания неполного дня)</w:t>
            </w:r>
          </w:p>
        </w:tc>
        <w:tc>
          <w:tcPr>
            <w:tcW w:w="457" w:type="dxa"/>
            <w:tcBorders>
              <w:top w:val="single" w:sz="4" w:space="0" w:color="auto"/>
              <w:left w:val="nil"/>
              <w:bottom w:val="single" w:sz="4" w:space="0" w:color="auto"/>
              <w:right w:val="single" w:sz="4" w:space="0" w:color="auto"/>
            </w:tcBorders>
            <w:noWrap/>
            <w:textDirection w:val="btLr"/>
            <w:vAlign w:val="center"/>
            <w:hideMark/>
          </w:tcPr>
          <w:p w:rsidR="00A64028" w:rsidRPr="00A45259" w:rsidRDefault="00A64028" w:rsidP="00103148">
            <w:pPr>
              <w:spacing w:after="0"/>
              <w:ind w:left="113" w:right="113"/>
              <w:jc w:val="center"/>
              <w:rPr>
                <w:rFonts w:ascii="Arial Narrow" w:hAnsi="Arial Narrow" w:cs="Arial"/>
                <w:sz w:val="18"/>
                <w:szCs w:val="18"/>
              </w:rPr>
            </w:pPr>
            <w:r w:rsidRPr="00A45259">
              <w:rPr>
                <w:rFonts w:ascii="Arial Narrow" w:hAnsi="Arial Narrow" w:cs="Arial"/>
                <w:sz w:val="18"/>
                <w:szCs w:val="18"/>
              </w:rPr>
              <w:t>Рынок услуг детского отдыха и оздоровления</w:t>
            </w:r>
          </w:p>
        </w:tc>
        <w:tc>
          <w:tcPr>
            <w:tcW w:w="513" w:type="dxa"/>
            <w:tcBorders>
              <w:top w:val="single" w:sz="4" w:space="0" w:color="auto"/>
              <w:left w:val="nil"/>
              <w:bottom w:val="single" w:sz="4" w:space="0" w:color="auto"/>
              <w:right w:val="single" w:sz="4" w:space="0" w:color="auto"/>
            </w:tcBorders>
            <w:noWrap/>
            <w:textDirection w:val="btLr"/>
            <w:vAlign w:val="center"/>
            <w:hideMark/>
          </w:tcPr>
          <w:p w:rsidR="00A64028" w:rsidRPr="00A45259" w:rsidRDefault="00A64028" w:rsidP="00103148">
            <w:pPr>
              <w:spacing w:after="0"/>
              <w:ind w:left="113" w:right="113"/>
              <w:jc w:val="center"/>
              <w:rPr>
                <w:rFonts w:ascii="Arial Narrow" w:hAnsi="Arial Narrow" w:cs="Arial"/>
                <w:sz w:val="18"/>
                <w:szCs w:val="18"/>
              </w:rPr>
            </w:pPr>
            <w:r w:rsidRPr="00A45259">
              <w:rPr>
                <w:rFonts w:ascii="Arial Narrow" w:hAnsi="Arial Narrow" w:cs="Arial"/>
                <w:sz w:val="18"/>
                <w:szCs w:val="18"/>
              </w:rPr>
              <w:t>Рынок дополнительного образования детей</w:t>
            </w:r>
          </w:p>
        </w:tc>
        <w:tc>
          <w:tcPr>
            <w:tcW w:w="448" w:type="dxa"/>
            <w:tcBorders>
              <w:top w:val="single" w:sz="4" w:space="0" w:color="auto"/>
              <w:left w:val="nil"/>
              <w:bottom w:val="single" w:sz="4" w:space="0" w:color="auto"/>
              <w:right w:val="single" w:sz="4" w:space="0" w:color="auto"/>
            </w:tcBorders>
            <w:noWrap/>
            <w:textDirection w:val="btLr"/>
            <w:vAlign w:val="center"/>
            <w:hideMark/>
          </w:tcPr>
          <w:p w:rsidR="00A64028" w:rsidRPr="00A45259" w:rsidRDefault="00A64028" w:rsidP="00103148">
            <w:pPr>
              <w:spacing w:after="0"/>
              <w:ind w:left="113" w:right="113"/>
              <w:jc w:val="center"/>
              <w:rPr>
                <w:rFonts w:ascii="Arial Narrow" w:hAnsi="Arial Narrow" w:cs="Arial"/>
                <w:sz w:val="18"/>
                <w:szCs w:val="18"/>
              </w:rPr>
            </w:pPr>
            <w:r w:rsidRPr="00A45259">
              <w:rPr>
                <w:rFonts w:ascii="Arial Narrow" w:hAnsi="Arial Narrow" w:cs="Arial"/>
                <w:sz w:val="18"/>
                <w:szCs w:val="18"/>
              </w:rPr>
              <w:t>Рынок медицинских услуг</w:t>
            </w:r>
          </w:p>
        </w:tc>
        <w:tc>
          <w:tcPr>
            <w:tcW w:w="708" w:type="dxa"/>
            <w:tcBorders>
              <w:top w:val="single" w:sz="4" w:space="0" w:color="auto"/>
              <w:left w:val="nil"/>
              <w:bottom w:val="single" w:sz="4" w:space="0" w:color="auto"/>
              <w:right w:val="single" w:sz="4" w:space="0" w:color="auto"/>
            </w:tcBorders>
            <w:noWrap/>
            <w:textDirection w:val="btLr"/>
            <w:vAlign w:val="center"/>
            <w:hideMark/>
          </w:tcPr>
          <w:p w:rsidR="00A64028" w:rsidRPr="00A45259" w:rsidRDefault="00A64028" w:rsidP="00103148">
            <w:pPr>
              <w:spacing w:after="0"/>
              <w:ind w:left="113" w:right="113"/>
              <w:jc w:val="center"/>
              <w:rPr>
                <w:rFonts w:ascii="Arial Narrow" w:hAnsi="Arial Narrow" w:cs="Arial"/>
                <w:sz w:val="18"/>
                <w:szCs w:val="18"/>
              </w:rPr>
            </w:pPr>
            <w:r w:rsidRPr="00A45259">
              <w:rPr>
                <w:rFonts w:ascii="Arial Narrow" w:hAnsi="Arial Narrow" w:cs="Arial"/>
                <w:sz w:val="18"/>
                <w:szCs w:val="18"/>
              </w:rPr>
              <w:t>Рынок услуг психолого-педагогического сопровождения детей с ограниченными возможностями здоровья</w:t>
            </w:r>
          </w:p>
        </w:tc>
        <w:tc>
          <w:tcPr>
            <w:tcW w:w="426" w:type="dxa"/>
            <w:tcBorders>
              <w:top w:val="single" w:sz="4" w:space="0" w:color="auto"/>
              <w:left w:val="nil"/>
              <w:bottom w:val="single" w:sz="4" w:space="0" w:color="auto"/>
              <w:right w:val="single" w:sz="4" w:space="0" w:color="auto"/>
            </w:tcBorders>
            <w:noWrap/>
            <w:textDirection w:val="btLr"/>
            <w:vAlign w:val="center"/>
            <w:hideMark/>
          </w:tcPr>
          <w:p w:rsidR="00A64028" w:rsidRPr="00A45259" w:rsidRDefault="00A64028" w:rsidP="00103148">
            <w:pPr>
              <w:spacing w:after="0"/>
              <w:ind w:left="113" w:right="113"/>
              <w:jc w:val="center"/>
              <w:rPr>
                <w:rFonts w:ascii="Arial Narrow" w:hAnsi="Arial Narrow" w:cs="Arial"/>
                <w:sz w:val="18"/>
                <w:szCs w:val="18"/>
              </w:rPr>
            </w:pPr>
            <w:r w:rsidRPr="00A45259">
              <w:rPr>
                <w:rFonts w:ascii="Arial Narrow" w:hAnsi="Arial Narrow" w:cs="Arial"/>
                <w:sz w:val="18"/>
                <w:szCs w:val="18"/>
              </w:rPr>
              <w:t>Рынок услуг в сфере культуры</w:t>
            </w:r>
          </w:p>
        </w:tc>
        <w:tc>
          <w:tcPr>
            <w:tcW w:w="468" w:type="dxa"/>
            <w:tcBorders>
              <w:top w:val="single" w:sz="4" w:space="0" w:color="auto"/>
              <w:left w:val="nil"/>
              <w:bottom w:val="single" w:sz="4" w:space="0" w:color="auto"/>
              <w:right w:val="single" w:sz="4" w:space="0" w:color="auto"/>
            </w:tcBorders>
            <w:noWrap/>
            <w:textDirection w:val="btLr"/>
            <w:vAlign w:val="center"/>
            <w:hideMark/>
          </w:tcPr>
          <w:p w:rsidR="00A64028" w:rsidRPr="00A45259" w:rsidRDefault="00A64028" w:rsidP="00103148">
            <w:pPr>
              <w:spacing w:after="0"/>
              <w:ind w:left="113" w:right="113"/>
              <w:jc w:val="center"/>
              <w:rPr>
                <w:rFonts w:ascii="Arial Narrow" w:hAnsi="Arial Narrow" w:cs="Arial"/>
                <w:sz w:val="18"/>
                <w:szCs w:val="18"/>
              </w:rPr>
            </w:pPr>
            <w:r w:rsidRPr="00A45259">
              <w:rPr>
                <w:rFonts w:ascii="Arial Narrow" w:hAnsi="Arial Narrow" w:cs="Arial"/>
                <w:sz w:val="18"/>
                <w:szCs w:val="18"/>
              </w:rPr>
              <w:t>Рынок услуг ЖКХ (управляющие компании)</w:t>
            </w:r>
          </w:p>
        </w:tc>
        <w:tc>
          <w:tcPr>
            <w:tcW w:w="512" w:type="dxa"/>
            <w:tcBorders>
              <w:top w:val="single" w:sz="4" w:space="0" w:color="auto"/>
              <w:left w:val="nil"/>
              <w:bottom w:val="single" w:sz="4" w:space="0" w:color="auto"/>
              <w:right w:val="single" w:sz="4" w:space="0" w:color="auto"/>
            </w:tcBorders>
            <w:noWrap/>
            <w:textDirection w:val="btLr"/>
            <w:vAlign w:val="center"/>
            <w:hideMark/>
          </w:tcPr>
          <w:p w:rsidR="00A64028" w:rsidRPr="00A45259" w:rsidRDefault="00A64028" w:rsidP="00103148">
            <w:pPr>
              <w:spacing w:after="0"/>
              <w:ind w:left="113" w:right="113"/>
              <w:jc w:val="center"/>
              <w:rPr>
                <w:rFonts w:ascii="Arial Narrow" w:hAnsi="Arial Narrow" w:cs="Arial"/>
                <w:sz w:val="18"/>
                <w:szCs w:val="18"/>
              </w:rPr>
            </w:pPr>
            <w:r w:rsidRPr="00A45259">
              <w:rPr>
                <w:rFonts w:ascii="Arial Narrow" w:hAnsi="Arial Narrow" w:cs="Arial"/>
                <w:sz w:val="18"/>
                <w:szCs w:val="18"/>
              </w:rPr>
              <w:t>Розничная торговля (продажа продуктов питания и непродовольственных товаров)</w:t>
            </w:r>
          </w:p>
        </w:tc>
        <w:tc>
          <w:tcPr>
            <w:tcW w:w="579" w:type="dxa"/>
            <w:tcBorders>
              <w:top w:val="single" w:sz="4" w:space="0" w:color="auto"/>
              <w:left w:val="nil"/>
              <w:bottom w:val="single" w:sz="4" w:space="0" w:color="auto"/>
              <w:right w:val="single" w:sz="4" w:space="0" w:color="auto"/>
            </w:tcBorders>
            <w:noWrap/>
            <w:textDirection w:val="btLr"/>
            <w:vAlign w:val="center"/>
            <w:hideMark/>
          </w:tcPr>
          <w:p w:rsidR="00A64028" w:rsidRPr="00A45259" w:rsidRDefault="00A64028" w:rsidP="00103148">
            <w:pPr>
              <w:spacing w:after="0"/>
              <w:ind w:left="113" w:right="113"/>
              <w:jc w:val="center"/>
              <w:rPr>
                <w:rFonts w:ascii="Arial Narrow" w:hAnsi="Arial Narrow" w:cs="Arial"/>
                <w:sz w:val="18"/>
                <w:szCs w:val="18"/>
              </w:rPr>
            </w:pPr>
            <w:r w:rsidRPr="00A45259">
              <w:rPr>
                <w:rFonts w:ascii="Arial Narrow" w:hAnsi="Arial Narrow" w:cs="Arial"/>
                <w:sz w:val="18"/>
                <w:szCs w:val="18"/>
              </w:rPr>
              <w:t>Рынок услуг перевозок пассажиров наземным транспортом (автобусные перевозки и такси)</w:t>
            </w:r>
          </w:p>
        </w:tc>
        <w:tc>
          <w:tcPr>
            <w:tcW w:w="425" w:type="dxa"/>
            <w:tcBorders>
              <w:top w:val="single" w:sz="4" w:space="0" w:color="auto"/>
              <w:left w:val="nil"/>
              <w:bottom w:val="single" w:sz="4" w:space="0" w:color="auto"/>
              <w:right w:val="single" w:sz="4" w:space="0" w:color="auto"/>
            </w:tcBorders>
            <w:noWrap/>
            <w:textDirection w:val="btLr"/>
            <w:vAlign w:val="center"/>
            <w:hideMark/>
          </w:tcPr>
          <w:p w:rsidR="00A64028" w:rsidRPr="00A45259" w:rsidRDefault="00A64028" w:rsidP="00103148">
            <w:pPr>
              <w:spacing w:after="0"/>
              <w:ind w:left="113" w:right="113"/>
              <w:jc w:val="center"/>
              <w:rPr>
                <w:rFonts w:ascii="Arial Narrow" w:hAnsi="Arial Narrow" w:cs="Arial"/>
                <w:sz w:val="18"/>
                <w:szCs w:val="18"/>
              </w:rPr>
            </w:pPr>
            <w:r w:rsidRPr="00A45259">
              <w:rPr>
                <w:rFonts w:ascii="Arial Narrow" w:hAnsi="Arial Narrow" w:cs="Arial"/>
                <w:sz w:val="18"/>
                <w:szCs w:val="18"/>
              </w:rPr>
              <w:t>Рынок услуг связи</w:t>
            </w:r>
          </w:p>
        </w:tc>
        <w:tc>
          <w:tcPr>
            <w:tcW w:w="425" w:type="dxa"/>
            <w:tcBorders>
              <w:top w:val="single" w:sz="4" w:space="0" w:color="auto"/>
              <w:left w:val="nil"/>
              <w:bottom w:val="single" w:sz="4" w:space="0" w:color="auto"/>
              <w:right w:val="single" w:sz="4" w:space="0" w:color="auto"/>
            </w:tcBorders>
            <w:noWrap/>
            <w:textDirection w:val="btLr"/>
            <w:vAlign w:val="center"/>
            <w:hideMark/>
          </w:tcPr>
          <w:p w:rsidR="00A64028" w:rsidRPr="00A45259" w:rsidRDefault="00A64028" w:rsidP="00103148">
            <w:pPr>
              <w:spacing w:after="0"/>
              <w:ind w:left="113" w:right="113"/>
              <w:jc w:val="center"/>
              <w:rPr>
                <w:rFonts w:ascii="Arial Narrow" w:hAnsi="Arial Narrow" w:cs="Arial"/>
                <w:sz w:val="18"/>
                <w:szCs w:val="18"/>
              </w:rPr>
            </w:pPr>
            <w:r w:rsidRPr="00A45259">
              <w:rPr>
                <w:rFonts w:ascii="Arial Narrow" w:hAnsi="Arial Narrow" w:cs="Arial"/>
                <w:sz w:val="18"/>
                <w:szCs w:val="18"/>
              </w:rPr>
              <w:t>Рынок услуг социального обслуживания населения</w:t>
            </w:r>
          </w:p>
        </w:tc>
        <w:tc>
          <w:tcPr>
            <w:tcW w:w="621" w:type="dxa"/>
            <w:tcBorders>
              <w:top w:val="single" w:sz="4" w:space="0" w:color="auto"/>
              <w:left w:val="nil"/>
              <w:bottom w:val="single" w:sz="4" w:space="0" w:color="auto"/>
              <w:right w:val="single" w:sz="4" w:space="0" w:color="auto"/>
            </w:tcBorders>
            <w:noWrap/>
            <w:textDirection w:val="btLr"/>
            <w:vAlign w:val="center"/>
            <w:hideMark/>
          </w:tcPr>
          <w:p w:rsidR="00A64028" w:rsidRPr="00A45259" w:rsidRDefault="00A64028" w:rsidP="00103148">
            <w:pPr>
              <w:spacing w:after="0"/>
              <w:ind w:left="113" w:right="113"/>
              <w:jc w:val="center"/>
              <w:rPr>
                <w:rFonts w:ascii="Arial Narrow" w:hAnsi="Arial Narrow" w:cs="Arial"/>
                <w:sz w:val="18"/>
                <w:szCs w:val="18"/>
              </w:rPr>
            </w:pPr>
            <w:r w:rsidRPr="00A45259">
              <w:rPr>
                <w:rFonts w:ascii="Arial Narrow" w:hAnsi="Arial Narrow" w:cs="Arial"/>
                <w:sz w:val="18"/>
                <w:szCs w:val="18"/>
              </w:rPr>
              <w:t>Рынок развития, производства, переработки и хранения сельскохозяйственной продукции</w:t>
            </w:r>
          </w:p>
        </w:tc>
        <w:tc>
          <w:tcPr>
            <w:tcW w:w="513" w:type="dxa"/>
            <w:tcBorders>
              <w:top w:val="single" w:sz="4" w:space="0" w:color="auto"/>
              <w:left w:val="nil"/>
              <w:bottom w:val="single" w:sz="4" w:space="0" w:color="auto"/>
              <w:right w:val="single" w:sz="4" w:space="0" w:color="auto"/>
            </w:tcBorders>
            <w:noWrap/>
            <w:textDirection w:val="btLr"/>
            <w:vAlign w:val="center"/>
            <w:hideMark/>
          </w:tcPr>
          <w:p w:rsidR="00A64028" w:rsidRPr="00A45259" w:rsidRDefault="00A64028" w:rsidP="00103148">
            <w:pPr>
              <w:spacing w:after="0"/>
              <w:ind w:left="113" w:right="113"/>
              <w:jc w:val="center"/>
              <w:rPr>
                <w:rFonts w:ascii="Arial Narrow" w:hAnsi="Arial Narrow" w:cs="Arial"/>
                <w:sz w:val="18"/>
                <w:szCs w:val="18"/>
              </w:rPr>
            </w:pPr>
            <w:r w:rsidRPr="00A45259">
              <w:rPr>
                <w:rFonts w:ascii="Arial Narrow" w:hAnsi="Arial Narrow" w:cs="Arial"/>
                <w:sz w:val="18"/>
                <w:szCs w:val="18"/>
              </w:rPr>
              <w:t>Рынок услуг по сбору, сортировке и переработке твердых коммунальных (бытовых) отходов</w:t>
            </w:r>
          </w:p>
        </w:tc>
      </w:tr>
      <w:tr w:rsidR="00A64028" w:rsidRPr="00A45259" w:rsidTr="00A64028">
        <w:trPr>
          <w:trHeight w:val="283"/>
        </w:trPr>
        <w:tc>
          <w:tcPr>
            <w:tcW w:w="436" w:type="dxa"/>
            <w:tcBorders>
              <w:top w:val="nil"/>
              <w:left w:val="single" w:sz="4" w:space="0" w:color="auto"/>
              <w:bottom w:val="single" w:sz="4" w:space="0" w:color="auto"/>
              <w:right w:val="single" w:sz="4" w:space="0" w:color="auto"/>
            </w:tcBorders>
            <w:vAlign w:val="center"/>
            <w:hideMark/>
          </w:tcPr>
          <w:p w:rsidR="00A64028" w:rsidRPr="00A45259" w:rsidRDefault="00A64028" w:rsidP="00103148">
            <w:pPr>
              <w:spacing w:after="0"/>
              <w:jc w:val="both"/>
              <w:rPr>
                <w:rFonts w:ascii="Arial Narrow" w:hAnsi="Arial Narrow"/>
                <w:sz w:val="20"/>
                <w:szCs w:val="20"/>
              </w:rPr>
            </w:pPr>
            <w:r w:rsidRPr="00A45259">
              <w:rPr>
                <w:rFonts w:ascii="Arial Narrow" w:hAnsi="Arial Narrow"/>
                <w:sz w:val="20"/>
                <w:szCs w:val="20"/>
              </w:rPr>
              <w:t>1.2.4.</w:t>
            </w:r>
          </w:p>
        </w:tc>
        <w:tc>
          <w:tcPr>
            <w:tcW w:w="9497" w:type="dxa"/>
            <w:gridSpan w:val="15"/>
            <w:tcBorders>
              <w:top w:val="single" w:sz="4" w:space="0" w:color="auto"/>
              <w:left w:val="nil"/>
              <w:bottom w:val="single" w:sz="4" w:space="0" w:color="auto"/>
              <w:right w:val="single" w:sz="4" w:space="0" w:color="000000"/>
            </w:tcBorders>
            <w:vAlign w:val="center"/>
            <w:hideMark/>
          </w:tcPr>
          <w:p w:rsidR="00A64028" w:rsidRPr="00A45259" w:rsidRDefault="00A64028" w:rsidP="00ED3C71">
            <w:pPr>
              <w:spacing w:after="0"/>
              <w:ind w:left="142"/>
              <w:jc w:val="both"/>
              <w:rPr>
                <w:rFonts w:ascii="Arial Narrow" w:hAnsi="Arial Narrow"/>
                <w:sz w:val="20"/>
                <w:szCs w:val="20"/>
              </w:rPr>
            </w:pPr>
            <w:r w:rsidRPr="00A45259">
              <w:rPr>
                <w:rFonts w:ascii="Arial Narrow" w:hAnsi="Arial Narrow"/>
                <w:sz w:val="20"/>
                <w:szCs w:val="20"/>
              </w:rPr>
              <w:t>Среднее количество конкурентов (% от числа опрошенных)</w:t>
            </w:r>
          </w:p>
        </w:tc>
      </w:tr>
      <w:tr w:rsidR="00A64028" w:rsidRPr="00A45259" w:rsidTr="00A64028">
        <w:tc>
          <w:tcPr>
            <w:tcW w:w="436" w:type="dxa"/>
            <w:tcBorders>
              <w:top w:val="nil"/>
              <w:left w:val="single" w:sz="4" w:space="0" w:color="auto"/>
              <w:bottom w:val="single" w:sz="4" w:space="0" w:color="auto"/>
              <w:right w:val="single" w:sz="4" w:space="0" w:color="auto"/>
            </w:tcBorders>
            <w:vAlign w:val="center"/>
            <w:hideMark/>
          </w:tcPr>
          <w:p w:rsidR="00A64028" w:rsidRPr="00A45259" w:rsidRDefault="00A64028" w:rsidP="00103148">
            <w:pPr>
              <w:spacing w:after="0"/>
              <w:jc w:val="both"/>
              <w:rPr>
                <w:rFonts w:ascii="Arial Narrow" w:hAnsi="Arial Narrow"/>
                <w:sz w:val="20"/>
                <w:szCs w:val="20"/>
              </w:rPr>
            </w:pPr>
            <w:r w:rsidRPr="00A45259">
              <w:rPr>
                <w:rFonts w:ascii="Arial Narrow" w:hAnsi="Arial Narrow"/>
                <w:sz w:val="20"/>
                <w:szCs w:val="20"/>
              </w:rPr>
              <w:t> </w:t>
            </w:r>
          </w:p>
        </w:tc>
        <w:tc>
          <w:tcPr>
            <w:tcW w:w="1985" w:type="dxa"/>
            <w:tcBorders>
              <w:top w:val="nil"/>
              <w:left w:val="nil"/>
              <w:bottom w:val="single" w:sz="4" w:space="0" w:color="auto"/>
              <w:right w:val="single" w:sz="4" w:space="0" w:color="auto"/>
            </w:tcBorders>
            <w:vAlign w:val="center"/>
            <w:hideMark/>
          </w:tcPr>
          <w:p w:rsidR="00A64028" w:rsidRPr="00A45259" w:rsidRDefault="00A64028" w:rsidP="00ED3C71">
            <w:pPr>
              <w:spacing w:after="0"/>
              <w:ind w:left="142"/>
              <w:rPr>
                <w:rFonts w:ascii="Arial Narrow" w:hAnsi="Arial Narrow"/>
                <w:sz w:val="20"/>
                <w:szCs w:val="20"/>
              </w:rPr>
            </w:pPr>
            <w:r w:rsidRPr="00A45259">
              <w:rPr>
                <w:rFonts w:ascii="Arial Narrow" w:hAnsi="Arial Narrow"/>
                <w:sz w:val="20"/>
                <w:szCs w:val="20"/>
              </w:rPr>
              <w:t>Большое количество</w:t>
            </w:r>
          </w:p>
        </w:tc>
        <w:tc>
          <w:tcPr>
            <w:tcW w:w="850" w:type="dxa"/>
            <w:tcBorders>
              <w:top w:val="nil"/>
              <w:left w:val="nil"/>
              <w:bottom w:val="single" w:sz="4" w:space="0" w:color="auto"/>
              <w:right w:val="single" w:sz="4" w:space="0" w:color="auto"/>
            </w:tcBorders>
            <w:noWrap/>
            <w:vAlign w:val="center"/>
            <w:hideMark/>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72,7%</w:t>
            </w:r>
          </w:p>
        </w:tc>
        <w:tc>
          <w:tcPr>
            <w:tcW w:w="567" w:type="dxa"/>
            <w:tcBorders>
              <w:top w:val="nil"/>
              <w:left w:val="nil"/>
              <w:bottom w:val="single" w:sz="4" w:space="0" w:color="auto"/>
              <w:right w:val="single" w:sz="4" w:space="0" w:color="auto"/>
            </w:tcBorders>
            <w:noWrap/>
            <w:vAlign w:val="center"/>
            <w:hideMark/>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70,0%</w:t>
            </w:r>
          </w:p>
        </w:tc>
        <w:tc>
          <w:tcPr>
            <w:tcW w:w="457" w:type="dxa"/>
            <w:tcBorders>
              <w:top w:val="nil"/>
              <w:left w:val="nil"/>
              <w:bottom w:val="single" w:sz="4" w:space="0" w:color="auto"/>
              <w:right w:val="single" w:sz="4" w:space="0" w:color="auto"/>
            </w:tcBorders>
            <w:noWrap/>
            <w:vAlign w:val="center"/>
            <w:hideMark/>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100,0%</w:t>
            </w:r>
          </w:p>
        </w:tc>
        <w:tc>
          <w:tcPr>
            <w:tcW w:w="513" w:type="dxa"/>
            <w:tcBorders>
              <w:top w:val="nil"/>
              <w:left w:val="nil"/>
              <w:bottom w:val="single" w:sz="4" w:space="0" w:color="auto"/>
              <w:right w:val="single" w:sz="4" w:space="0" w:color="auto"/>
            </w:tcBorders>
            <w:noWrap/>
            <w:vAlign w:val="center"/>
            <w:hideMark/>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68,0%</w:t>
            </w:r>
          </w:p>
        </w:tc>
        <w:tc>
          <w:tcPr>
            <w:tcW w:w="448" w:type="dxa"/>
            <w:tcBorders>
              <w:top w:val="nil"/>
              <w:left w:val="nil"/>
              <w:bottom w:val="single" w:sz="4" w:space="0" w:color="auto"/>
              <w:right w:val="single" w:sz="4" w:space="0" w:color="auto"/>
            </w:tcBorders>
            <w:noWrap/>
            <w:vAlign w:val="center"/>
            <w:hideMark/>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65,7%</w:t>
            </w:r>
          </w:p>
        </w:tc>
        <w:tc>
          <w:tcPr>
            <w:tcW w:w="708" w:type="dxa"/>
            <w:tcBorders>
              <w:top w:val="nil"/>
              <w:left w:val="nil"/>
              <w:bottom w:val="single" w:sz="4" w:space="0" w:color="auto"/>
              <w:right w:val="single" w:sz="4" w:space="0" w:color="auto"/>
            </w:tcBorders>
            <w:noWrap/>
            <w:vAlign w:val="center"/>
            <w:hideMark/>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36,0%</w:t>
            </w:r>
          </w:p>
        </w:tc>
        <w:tc>
          <w:tcPr>
            <w:tcW w:w="426" w:type="dxa"/>
            <w:tcBorders>
              <w:top w:val="nil"/>
              <w:left w:val="nil"/>
              <w:bottom w:val="single" w:sz="4" w:space="0" w:color="auto"/>
              <w:right w:val="single" w:sz="4" w:space="0" w:color="auto"/>
            </w:tcBorders>
            <w:noWrap/>
            <w:vAlign w:val="center"/>
            <w:hideMark/>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36,0%</w:t>
            </w:r>
          </w:p>
        </w:tc>
        <w:tc>
          <w:tcPr>
            <w:tcW w:w="468" w:type="dxa"/>
            <w:tcBorders>
              <w:top w:val="nil"/>
              <w:left w:val="nil"/>
              <w:bottom w:val="single" w:sz="4" w:space="0" w:color="auto"/>
              <w:right w:val="single" w:sz="4" w:space="0" w:color="auto"/>
            </w:tcBorders>
            <w:noWrap/>
            <w:vAlign w:val="center"/>
            <w:hideMark/>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52,9%</w:t>
            </w:r>
          </w:p>
        </w:tc>
        <w:tc>
          <w:tcPr>
            <w:tcW w:w="512" w:type="dxa"/>
            <w:tcBorders>
              <w:top w:val="nil"/>
              <w:left w:val="nil"/>
              <w:bottom w:val="single" w:sz="4" w:space="0" w:color="auto"/>
              <w:right w:val="single" w:sz="4" w:space="0" w:color="auto"/>
            </w:tcBorders>
            <w:noWrap/>
            <w:vAlign w:val="center"/>
            <w:hideMark/>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79,4%</w:t>
            </w:r>
          </w:p>
        </w:tc>
        <w:tc>
          <w:tcPr>
            <w:tcW w:w="579" w:type="dxa"/>
            <w:tcBorders>
              <w:top w:val="nil"/>
              <w:left w:val="nil"/>
              <w:bottom w:val="single" w:sz="4" w:space="0" w:color="auto"/>
              <w:right w:val="single" w:sz="4" w:space="0" w:color="auto"/>
            </w:tcBorders>
            <w:noWrap/>
            <w:vAlign w:val="center"/>
            <w:hideMark/>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86,7%</w:t>
            </w:r>
          </w:p>
        </w:tc>
        <w:tc>
          <w:tcPr>
            <w:tcW w:w="425" w:type="dxa"/>
            <w:tcBorders>
              <w:top w:val="nil"/>
              <w:left w:val="nil"/>
              <w:bottom w:val="single" w:sz="4" w:space="0" w:color="auto"/>
              <w:right w:val="single" w:sz="4" w:space="0" w:color="auto"/>
            </w:tcBorders>
            <w:noWrap/>
            <w:vAlign w:val="center"/>
            <w:hideMark/>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84,0%</w:t>
            </w:r>
          </w:p>
        </w:tc>
        <w:tc>
          <w:tcPr>
            <w:tcW w:w="425" w:type="dxa"/>
            <w:tcBorders>
              <w:top w:val="nil"/>
              <w:left w:val="nil"/>
              <w:bottom w:val="single" w:sz="4" w:space="0" w:color="auto"/>
              <w:right w:val="single" w:sz="4" w:space="0" w:color="auto"/>
            </w:tcBorders>
            <w:noWrap/>
            <w:vAlign w:val="center"/>
            <w:hideMark/>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44,0%</w:t>
            </w:r>
          </w:p>
        </w:tc>
        <w:tc>
          <w:tcPr>
            <w:tcW w:w="621" w:type="dxa"/>
            <w:tcBorders>
              <w:top w:val="nil"/>
              <w:left w:val="nil"/>
              <w:bottom w:val="single" w:sz="4" w:space="0" w:color="auto"/>
              <w:right w:val="single" w:sz="4" w:space="0" w:color="auto"/>
            </w:tcBorders>
            <w:noWrap/>
            <w:vAlign w:val="center"/>
            <w:hideMark/>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51,0%</w:t>
            </w:r>
          </w:p>
        </w:tc>
        <w:tc>
          <w:tcPr>
            <w:tcW w:w="513" w:type="dxa"/>
            <w:tcBorders>
              <w:top w:val="nil"/>
              <w:left w:val="nil"/>
              <w:bottom w:val="single" w:sz="4" w:space="0" w:color="auto"/>
              <w:right w:val="single" w:sz="4" w:space="0" w:color="auto"/>
            </w:tcBorders>
            <w:noWrap/>
            <w:vAlign w:val="center"/>
            <w:hideMark/>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90,0%</w:t>
            </w:r>
          </w:p>
        </w:tc>
      </w:tr>
      <w:tr w:rsidR="00A64028" w:rsidRPr="00A45259" w:rsidTr="00A64028">
        <w:tc>
          <w:tcPr>
            <w:tcW w:w="436" w:type="dxa"/>
            <w:tcBorders>
              <w:top w:val="single" w:sz="4" w:space="0" w:color="auto"/>
              <w:left w:val="single" w:sz="4" w:space="0" w:color="auto"/>
              <w:bottom w:val="single" w:sz="4" w:space="0" w:color="auto"/>
              <w:right w:val="single" w:sz="4" w:space="0" w:color="auto"/>
            </w:tcBorders>
            <w:vAlign w:val="center"/>
          </w:tcPr>
          <w:p w:rsidR="00A64028" w:rsidRPr="00A45259" w:rsidRDefault="00A64028" w:rsidP="00103148">
            <w:pPr>
              <w:spacing w:after="0"/>
              <w:jc w:val="both"/>
              <w:rPr>
                <w:rFonts w:ascii="Arial Narrow" w:hAnsi="Arial Narrow"/>
                <w:sz w:val="20"/>
                <w:szCs w:val="20"/>
              </w:rPr>
            </w:pPr>
            <w:r w:rsidRPr="00A45259">
              <w:rPr>
                <w:rFonts w:ascii="Arial Narrow" w:hAnsi="Arial Narrow"/>
                <w:sz w:val="20"/>
                <w:szCs w:val="20"/>
              </w:rPr>
              <w:t> </w:t>
            </w:r>
          </w:p>
        </w:tc>
        <w:tc>
          <w:tcPr>
            <w:tcW w:w="1985" w:type="dxa"/>
            <w:tcBorders>
              <w:top w:val="single" w:sz="4" w:space="0" w:color="auto"/>
              <w:left w:val="nil"/>
              <w:bottom w:val="single" w:sz="4" w:space="0" w:color="auto"/>
              <w:right w:val="single" w:sz="4" w:space="0" w:color="auto"/>
            </w:tcBorders>
            <w:vAlign w:val="center"/>
          </w:tcPr>
          <w:p w:rsidR="00A64028" w:rsidRPr="00A45259" w:rsidRDefault="00A64028" w:rsidP="00ED3C71">
            <w:pPr>
              <w:spacing w:after="0"/>
              <w:ind w:left="142"/>
              <w:rPr>
                <w:rFonts w:ascii="Arial Narrow" w:hAnsi="Arial Narrow"/>
                <w:sz w:val="20"/>
                <w:szCs w:val="20"/>
              </w:rPr>
            </w:pPr>
            <w:r w:rsidRPr="00A45259">
              <w:rPr>
                <w:rFonts w:ascii="Arial Narrow" w:hAnsi="Arial Narrow"/>
                <w:sz w:val="20"/>
                <w:szCs w:val="20"/>
              </w:rPr>
              <w:t>1–3 конкурента</w:t>
            </w:r>
          </w:p>
        </w:tc>
        <w:tc>
          <w:tcPr>
            <w:tcW w:w="850" w:type="dxa"/>
            <w:tcBorders>
              <w:top w:val="single" w:sz="4" w:space="0" w:color="auto"/>
              <w:left w:val="nil"/>
              <w:bottom w:val="single" w:sz="4" w:space="0" w:color="auto"/>
              <w:right w:val="single" w:sz="4" w:space="0" w:color="auto"/>
            </w:tcBorders>
            <w:noWrap/>
            <w:vAlign w:val="center"/>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17,5%</w:t>
            </w:r>
          </w:p>
        </w:tc>
        <w:tc>
          <w:tcPr>
            <w:tcW w:w="567" w:type="dxa"/>
            <w:tcBorders>
              <w:top w:val="single" w:sz="4" w:space="0" w:color="auto"/>
              <w:left w:val="nil"/>
              <w:bottom w:val="single" w:sz="4" w:space="0" w:color="auto"/>
              <w:right w:val="single" w:sz="4" w:space="0" w:color="auto"/>
            </w:tcBorders>
            <w:noWrap/>
            <w:vAlign w:val="center"/>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20,0%</w:t>
            </w:r>
          </w:p>
        </w:tc>
        <w:tc>
          <w:tcPr>
            <w:tcW w:w="457" w:type="dxa"/>
            <w:tcBorders>
              <w:top w:val="single" w:sz="4" w:space="0" w:color="auto"/>
              <w:left w:val="nil"/>
              <w:bottom w:val="single" w:sz="4" w:space="0" w:color="auto"/>
              <w:right w:val="single" w:sz="4" w:space="0" w:color="auto"/>
            </w:tcBorders>
            <w:noWrap/>
            <w:vAlign w:val="center"/>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0,0%</w:t>
            </w:r>
          </w:p>
        </w:tc>
        <w:tc>
          <w:tcPr>
            <w:tcW w:w="513" w:type="dxa"/>
            <w:tcBorders>
              <w:top w:val="single" w:sz="4" w:space="0" w:color="auto"/>
              <w:left w:val="nil"/>
              <w:bottom w:val="single" w:sz="4" w:space="0" w:color="auto"/>
              <w:right w:val="single" w:sz="4" w:space="0" w:color="auto"/>
            </w:tcBorders>
            <w:noWrap/>
            <w:vAlign w:val="center"/>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16,0%</w:t>
            </w:r>
          </w:p>
        </w:tc>
        <w:tc>
          <w:tcPr>
            <w:tcW w:w="448" w:type="dxa"/>
            <w:tcBorders>
              <w:top w:val="single" w:sz="4" w:space="0" w:color="auto"/>
              <w:left w:val="nil"/>
              <w:bottom w:val="single" w:sz="4" w:space="0" w:color="auto"/>
              <w:right w:val="single" w:sz="4" w:space="0" w:color="auto"/>
            </w:tcBorders>
            <w:noWrap/>
            <w:vAlign w:val="center"/>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22,9%</w:t>
            </w:r>
          </w:p>
        </w:tc>
        <w:tc>
          <w:tcPr>
            <w:tcW w:w="708" w:type="dxa"/>
            <w:tcBorders>
              <w:top w:val="single" w:sz="4" w:space="0" w:color="auto"/>
              <w:left w:val="nil"/>
              <w:bottom w:val="single" w:sz="4" w:space="0" w:color="auto"/>
              <w:right w:val="single" w:sz="4" w:space="0" w:color="auto"/>
            </w:tcBorders>
            <w:noWrap/>
            <w:vAlign w:val="center"/>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16,0%</w:t>
            </w:r>
          </w:p>
        </w:tc>
        <w:tc>
          <w:tcPr>
            <w:tcW w:w="426" w:type="dxa"/>
            <w:tcBorders>
              <w:top w:val="single" w:sz="4" w:space="0" w:color="auto"/>
              <w:left w:val="nil"/>
              <w:bottom w:val="single" w:sz="4" w:space="0" w:color="auto"/>
              <w:right w:val="single" w:sz="4" w:space="0" w:color="auto"/>
            </w:tcBorders>
            <w:noWrap/>
            <w:vAlign w:val="center"/>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52,0%</w:t>
            </w:r>
          </w:p>
        </w:tc>
        <w:tc>
          <w:tcPr>
            <w:tcW w:w="468" w:type="dxa"/>
            <w:tcBorders>
              <w:top w:val="single" w:sz="4" w:space="0" w:color="auto"/>
              <w:left w:val="nil"/>
              <w:bottom w:val="single" w:sz="4" w:space="0" w:color="auto"/>
              <w:right w:val="single" w:sz="4" w:space="0" w:color="auto"/>
            </w:tcBorders>
            <w:noWrap/>
            <w:vAlign w:val="center"/>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28,6%</w:t>
            </w:r>
          </w:p>
        </w:tc>
        <w:tc>
          <w:tcPr>
            <w:tcW w:w="512" w:type="dxa"/>
            <w:tcBorders>
              <w:top w:val="single" w:sz="4" w:space="0" w:color="auto"/>
              <w:left w:val="nil"/>
              <w:bottom w:val="single" w:sz="4" w:space="0" w:color="auto"/>
              <w:right w:val="single" w:sz="4" w:space="0" w:color="auto"/>
            </w:tcBorders>
            <w:noWrap/>
            <w:vAlign w:val="center"/>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17,8%</w:t>
            </w:r>
          </w:p>
        </w:tc>
        <w:tc>
          <w:tcPr>
            <w:tcW w:w="579" w:type="dxa"/>
            <w:tcBorders>
              <w:top w:val="single" w:sz="4" w:space="0" w:color="auto"/>
              <w:left w:val="nil"/>
              <w:bottom w:val="single" w:sz="4" w:space="0" w:color="auto"/>
              <w:right w:val="single" w:sz="4" w:space="0" w:color="auto"/>
            </w:tcBorders>
            <w:noWrap/>
            <w:vAlign w:val="center"/>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10,0%</w:t>
            </w:r>
          </w:p>
        </w:tc>
        <w:tc>
          <w:tcPr>
            <w:tcW w:w="425" w:type="dxa"/>
            <w:tcBorders>
              <w:top w:val="single" w:sz="4" w:space="0" w:color="auto"/>
              <w:left w:val="nil"/>
              <w:bottom w:val="single" w:sz="4" w:space="0" w:color="auto"/>
              <w:right w:val="single" w:sz="4" w:space="0" w:color="auto"/>
            </w:tcBorders>
            <w:noWrap/>
            <w:vAlign w:val="center"/>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8,0%</w:t>
            </w:r>
          </w:p>
        </w:tc>
        <w:tc>
          <w:tcPr>
            <w:tcW w:w="425" w:type="dxa"/>
            <w:tcBorders>
              <w:top w:val="single" w:sz="4" w:space="0" w:color="auto"/>
              <w:left w:val="nil"/>
              <w:bottom w:val="single" w:sz="4" w:space="0" w:color="auto"/>
              <w:right w:val="single" w:sz="4" w:space="0" w:color="auto"/>
            </w:tcBorders>
            <w:noWrap/>
            <w:vAlign w:val="center"/>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20,0%</w:t>
            </w:r>
          </w:p>
        </w:tc>
        <w:tc>
          <w:tcPr>
            <w:tcW w:w="621" w:type="dxa"/>
            <w:tcBorders>
              <w:top w:val="single" w:sz="4" w:space="0" w:color="auto"/>
              <w:left w:val="nil"/>
              <w:bottom w:val="single" w:sz="4" w:space="0" w:color="auto"/>
              <w:right w:val="single" w:sz="4" w:space="0" w:color="auto"/>
            </w:tcBorders>
            <w:noWrap/>
            <w:vAlign w:val="center"/>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26,0%</w:t>
            </w:r>
          </w:p>
        </w:tc>
        <w:tc>
          <w:tcPr>
            <w:tcW w:w="513" w:type="dxa"/>
            <w:tcBorders>
              <w:top w:val="single" w:sz="4" w:space="0" w:color="auto"/>
              <w:left w:val="nil"/>
              <w:bottom w:val="single" w:sz="4" w:space="0" w:color="auto"/>
              <w:right w:val="single" w:sz="4" w:space="0" w:color="auto"/>
            </w:tcBorders>
            <w:noWrap/>
            <w:vAlign w:val="center"/>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0,0%</w:t>
            </w:r>
          </w:p>
        </w:tc>
      </w:tr>
      <w:tr w:rsidR="00A64028" w:rsidRPr="00A45259" w:rsidTr="00A64028">
        <w:tc>
          <w:tcPr>
            <w:tcW w:w="436" w:type="dxa"/>
            <w:tcBorders>
              <w:top w:val="single" w:sz="4" w:space="0" w:color="auto"/>
              <w:left w:val="single" w:sz="4" w:space="0" w:color="auto"/>
              <w:bottom w:val="single" w:sz="4" w:space="0" w:color="auto"/>
              <w:right w:val="single" w:sz="4" w:space="0" w:color="auto"/>
            </w:tcBorders>
            <w:vAlign w:val="center"/>
          </w:tcPr>
          <w:p w:rsidR="00A64028" w:rsidRPr="00A45259" w:rsidRDefault="00A64028" w:rsidP="00103148">
            <w:pPr>
              <w:spacing w:after="0"/>
              <w:jc w:val="both"/>
              <w:rPr>
                <w:rFonts w:ascii="Arial Narrow" w:hAnsi="Arial Narrow"/>
                <w:sz w:val="20"/>
                <w:szCs w:val="20"/>
              </w:rPr>
            </w:pPr>
            <w:r w:rsidRPr="00A45259">
              <w:rPr>
                <w:rFonts w:ascii="Arial Narrow" w:hAnsi="Arial Narrow"/>
                <w:sz w:val="20"/>
                <w:szCs w:val="20"/>
              </w:rPr>
              <w:t> </w:t>
            </w:r>
          </w:p>
        </w:tc>
        <w:tc>
          <w:tcPr>
            <w:tcW w:w="1985" w:type="dxa"/>
            <w:tcBorders>
              <w:top w:val="single" w:sz="4" w:space="0" w:color="auto"/>
              <w:left w:val="nil"/>
              <w:bottom w:val="single" w:sz="4" w:space="0" w:color="auto"/>
              <w:right w:val="single" w:sz="4" w:space="0" w:color="auto"/>
            </w:tcBorders>
            <w:vAlign w:val="center"/>
          </w:tcPr>
          <w:p w:rsidR="00A64028" w:rsidRPr="00A45259" w:rsidRDefault="00A64028" w:rsidP="00ED3C71">
            <w:pPr>
              <w:spacing w:after="0"/>
              <w:ind w:left="142"/>
              <w:rPr>
                <w:rFonts w:ascii="Arial Narrow" w:hAnsi="Arial Narrow"/>
                <w:sz w:val="20"/>
                <w:szCs w:val="20"/>
              </w:rPr>
            </w:pPr>
            <w:r w:rsidRPr="00A45259">
              <w:rPr>
                <w:rFonts w:ascii="Arial Narrow" w:hAnsi="Arial Narrow"/>
                <w:sz w:val="20"/>
                <w:szCs w:val="20"/>
              </w:rPr>
              <w:t>Конкуренты отсутствуют</w:t>
            </w:r>
          </w:p>
        </w:tc>
        <w:tc>
          <w:tcPr>
            <w:tcW w:w="850" w:type="dxa"/>
            <w:tcBorders>
              <w:top w:val="single" w:sz="4" w:space="0" w:color="auto"/>
              <w:left w:val="nil"/>
              <w:bottom w:val="single" w:sz="4" w:space="0" w:color="auto"/>
              <w:right w:val="single" w:sz="4" w:space="0" w:color="auto"/>
            </w:tcBorders>
            <w:noWrap/>
            <w:vAlign w:val="center"/>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9,9%</w:t>
            </w:r>
          </w:p>
        </w:tc>
        <w:tc>
          <w:tcPr>
            <w:tcW w:w="567" w:type="dxa"/>
            <w:tcBorders>
              <w:top w:val="single" w:sz="4" w:space="0" w:color="auto"/>
              <w:left w:val="nil"/>
              <w:bottom w:val="single" w:sz="4" w:space="0" w:color="auto"/>
              <w:right w:val="single" w:sz="4" w:space="0" w:color="auto"/>
            </w:tcBorders>
            <w:noWrap/>
            <w:vAlign w:val="center"/>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10,0%</w:t>
            </w:r>
          </w:p>
        </w:tc>
        <w:tc>
          <w:tcPr>
            <w:tcW w:w="457" w:type="dxa"/>
            <w:tcBorders>
              <w:top w:val="single" w:sz="4" w:space="0" w:color="auto"/>
              <w:left w:val="nil"/>
              <w:bottom w:val="single" w:sz="4" w:space="0" w:color="auto"/>
              <w:right w:val="single" w:sz="4" w:space="0" w:color="auto"/>
            </w:tcBorders>
            <w:noWrap/>
            <w:vAlign w:val="center"/>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0,0%</w:t>
            </w:r>
          </w:p>
        </w:tc>
        <w:tc>
          <w:tcPr>
            <w:tcW w:w="513" w:type="dxa"/>
            <w:tcBorders>
              <w:top w:val="single" w:sz="4" w:space="0" w:color="auto"/>
              <w:left w:val="nil"/>
              <w:bottom w:val="single" w:sz="4" w:space="0" w:color="auto"/>
              <w:right w:val="single" w:sz="4" w:space="0" w:color="auto"/>
            </w:tcBorders>
            <w:noWrap/>
            <w:vAlign w:val="center"/>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16,0%</w:t>
            </w:r>
          </w:p>
        </w:tc>
        <w:tc>
          <w:tcPr>
            <w:tcW w:w="448" w:type="dxa"/>
            <w:tcBorders>
              <w:top w:val="single" w:sz="4" w:space="0" w:color="auto"/>
              <w:left w:val="nil"/>
              <w:bottom w:val="single" w:sz="4" w:space="0" w:color="auto"/>
              <w:right w:val="single" w:sz="4" w:space="0" w:color="auto"/>
            </w:tcBorders>
            <w:noWrap/>
            <w:vAlign w:val="center"/>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11,4%</w:t>
            </w:r>
          </w:p>
        </w:tc>
        <w:tc>
          <w:tcPr>
            <w:tcW w:w="708" w:type="dxa"/>
            <w:tcBorders>
              <w:top w:val="single" w:sz="4" w:space="0" w:color="auto"/>
              <w:left w:val="nil"/>
              <w:bottom w:val="single" w:sz="4" w:space="0" w:color="auto"/>
              <w:right w:val="single" w:sz="4" w:space="0" w:color="auto"/>
            </w:tcBorders>
            <w:noWrap/>
            <w:vAlign w:val="center"/>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48,0%</w:t>
            </w:r>
          </w:p>
        </w:tc>
        <w:tc>
          <w:tcPr>
            <w:tcW w:w="426" w:type="dxa"/>
            <w:tcBorders>
              <w:top w:val="single" w:sz="4" w:space="0" w:color="auto"/>
              <w:left w:val="nil"/>
              <w:bottom w:val="single" w:sz="4" w:space="0" w:color="auto"/>
              <w:right w:val="single" w:sz="4" w:space="0" w:color="auto"/>
            </w:tcBorders>
            <w:noWrap/>
            <w:vAlign w:val="center"/>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12,0%</w:t>
            </w:r>
          </w:p>
        </w:tc>
        <w:tc>
          <w:tcPr>
            <w:tcW w:w="468" w:type="dxa"/>
            <w:tcBorders>
              <w:top w:val="single" w:sz="4" w:space="0" w:color="auto"/>
              <w:left w:val="nil"/>
              <w:bottom w:val="single" w:sz="4" w:space="0" w:color="auto"/>
              <w:right w:val="single" w:sz="4" w:space="0" w:color="auto"/>
            </w:tcBorders>
            <w:noWrap/>
            <w:vAlign w:val="center"/>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18,6%</w:t>
            </w:r>
          </w:p>
        </w:tc>
        <w:tc>
          <w:tcPr>
            <w:tcW w:w="512" w:type="dxa"/>
            <w:tcBorders>
              <w:top w:val="single" w:sz="4" w:space="0" w:color="auto"/>
              <w:left w:val="nil"/>
              <w:bottom w:val="single" w:sz="4" w:space="0" w:color="auto"/>
              <w:right w:val="single" w:sz="4" w:space="0" w:color="auto"/>
            </w:tcBorders>
            <w:noWrap/>
            <w:vAlign w:val="center"/>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2,8%</w:t>
            </w:r>
          </w:p>
        </w:tc>
        <w:tc>
          <w:tcPr>
            <w:tcW w:w="579" w:type="dxa"/>
            <w:tcBorders>
              <w:top w:val="single" w:sz="4" w:space="0" w:color="auto"/>
              <w:left w:val="nil"/>
              <w:bottom w:val="single" w:sz="4" w:space="0" w:color="auto"/>
              <w:right w:val="single" w:sz="4" w:space="0" w:color="auto"/>
            </w:tcBorders>
            <w:noWrap/>
            <w:vAlign w:val="center"/>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3,3%</w:t>
            </w:r>
          </w:p>
        </w:tc>
        <w:tc>
          <w:tcPr>
            <w:tcW w:w="425" w:type="dxa"/>
            <w:tcBorders>
              <w:top w:val="single" w:sz="4" w:space="0" w:color="auto"/>
              <w:left w:val="nil"/>
              <w:bottom w:val="single" w:sz="4" w:space="0" w:color="auto"/>
              <w:right w:val="single" w:sz="4" w:space="0" w:color="auto"/>
            </w:tcBorders>
            <w:noWrap/>
            <w:vAlign w:val="center"/>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8,0%</w:t>
            </w:r>
          </w:p>
        </w:tc>
        <w:tc>
          <w:tcPr>
            <w:tcW w:w="425" w:type="dxa"/>
            <w:tcBorders>
              <w:top w:val="single" w:sz="4" w:space="0" w:color="auto"/>
              <w:left w:val="nil"/>
              <w:bottom w:val="single" w:sz="4" w:space="0" w:color="auto"/>
              <w:right w:val="single" w:sz="4" w:space="0" w:color="auto"/>
            </w:tcBorders>
            <w:noWrap/>
            <w:vAlign w:val="center"/>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36,0%</w:t>
            </w:r>
          </w:p>
        </w:tc>
        <w:tc>
          <w:tcPr>
            <w:tcW w:w="621" w:type="dxa"/>
            <w:tcBorders>
              <w:top w:val="single" w:sz="4" w:space="0" w:color="auto"/>
              <w:left w:val="nil"/>
              <w:bottom w:val="single" w:sz="4" w:space="0" w:color="auto"/>
              <w:right w:val="single" w:sz="4" w:space="0" w:color="auto"/>
            </w:tcBorders>
            <w:noWrap/>
            <w:vAlign w:val="center"/>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23,0%</w:t>
            </w:r>
          </w:p>
        </w:tc>
        <w:tc>
          <w:tcPr>
            <w:tcW w:w="513" w:type="dxa"/>
            <w:tcBorders>
              <w:top w:val="single" w:sz="4" w:space="0" w:color="auto"/>
              <w:left w:val="nil"/>
              <w:bottom w:val="single" w:sz="4" w:space="0" w:color="auto"/>
              <w:right w:val="single" w:sz="4" w:space="0" w:color="auto"/>
            </w:tcBorders>
            <w:noWrap/>
            <w:vAlign w:val="center"/>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10,0%</w:t>
            </w:r>
          </w:p>
        </w:tc>
      </w:tr>
    </w:tbl>
    <w:p w:rsidR="00A64028" w:rsidRPr="009B4A85" w:rsidRDefault="00A64028" w:rsidP="00103148">
      <w:pPr>
        <w:spacing w:after="0"/>
        <w:jc w:val="both"/>
        <w:rPr>
          <w:rFonts w:ascii="Arial Narrow" w:hAnsi="Arial Narrow"/>
          <w:sz w:val="24"/>
          <w:szCs w:val="24"/>
        </w:rPr>
      </w:pPr>
    </w:p>
    <w:p w:rsidR="00A64028" w:rsidRPr="009B4A85" w:rsidRDefault="00A64028" w:rsidP="00103148">
      <w:pPr>
        <w:spacing w:after="0" w:line="360" w:lineRule="auto"/>
        <w:ind w:firstLine="284"/>
        <w:jc w:val="both"/>
        <w:rPr>
          <w:rFonts w:ascii="Arial Narrow" w:hAnsi="Arial Narrow"/>
          <w:b/>
          <w:sz w:val="24"/>
          <w:szCs w:val="24"/>
        </w:rPr>
      </w:pPr>
      <w:r w:rsidRPr="009B4A85">
        <w:rPr>
          <w:rFonts w:ascii="Arial Narrow" w:hAnsi="Arial Narrow"/>
          <w:b/>
          <w:sz w:val="24"/>
          <w:szCs w:val="24"/>
        </w:rPr>
        <w:t>Значение показателя 1.2.5. Изменение среднего количества конкурентов за последние 3 года (% от числа опрошенных).</w:t>
      </w:r>
    </w:p>
    <w:p w:rsidR="00A64028" w:rsidRPr="009B4A85" w:rsidRDefault="00A64028" w:rsidP="00103148">
      <w:pPr>
        <w:spacing w:after="0" w:line="360" w:lineRule="auto"/>
        <w:ind w:firstLine="284"/>
        <w:jc w:val="both"/>
        <w:rPr>
          <w:rFonts w:ascii="Arial Narrow" w:hAnsi="Arial Narrow"/>
          <w:sz w:val="24"/>
          <w:szCs w:val="24"/>
        </w:rPr>
      </w:pPr>
      <w:r w:rsidRPr="009B4A85">
        <w:rPr>
          <w:rFonts w:ascii="Arial Narrow" w:hAnsi="Arial Narrow"/>
          <w:sz w:val="24"/>
          <w:szCs w:val="24"/>
        </w:rPr>
        <w:t>Об увеличении числа конкурентов за последние 3 года сообщили 44,4 % опрошенных. Не изменилось число конкурентов у 38,8 % субъектов предпринимательства. Наибольшая доля отметивших увеличение числа конкурентов зафиксирована на рынках услуг перевозок пассажиров наземным транспортом (автобусные перевозки и такси) (63,3 %) и услуг по сбору, сортировке и переработке твердых коммунальных (бытовых) отходов (60 %). Наименее распространен ответ об увеличении числа конкурентов среди представителей рынка услуг психолого-педагогического сопровождения детей с ограниченными возможностями здоровья (28,0 %). На остальных рынках у 32,9–56,0 % субъектов предпринимательства за последние 3 года увеличилось число конкурентов.</w:t>
      </w:r>
    </w:p>
    <w:p w:rsidR="00A64028" w:rsidRPr="009B4A85" w:rsidRDefault="00A64028" w:rsidP="00103148">
      <w:pPr>
        <w:spacing w:after="0"/>
        <w:ind w:firstLine="284"/>
        <w:jc w:val="both"/>
        <w:rPr>
          <w:rFonts w:ascii="Arial Narrow" w:eastAsia="Calibri" w:hAnsi="Arial Narrow"/>
          <w:sz w:val="24"/>
          <w:szCs w:val="24"/>
        </w:rPr>
      </w:pPr>
    </w:p>
    <w:p w:rsidR="00ED3C71" w:rsidRDefault="00ED3C71">
      <w:pPr>
        <w:rPr>
          <w:rFonts w:ascii="Arial Narrow" w:eastAsia="Calibri" w:hAnsi="Arial Narrow"/>
          <w:sz w:val="24"/>
          <w:szCs w:val="24"/>
        </w:rPr>
      </w:pPr>
      <w:r>
        <w:rPr>
          <w:rFonts w:ascii="Arial Narrow" w:eastAsia="Calibri" w:hAnsi="Arial Narrow"/>
          <w:sz w:val="24"/>
          <w:szCs w:val="24"/>
        </w:rPr>
        <w:br w:type="page"/>
      </w:r>
    </w:p>
    <w:p w:rsidR="00A64028" w:rsidRPr="009B4A85" w:rsidRDefault="00A64028" w:rsidP="00103148">
      <w:pPr>
        <w:spacing w:after="0"/>
        <w:rPr>
          <w:rFonts w:ascii="Arial Narrow" w:hAnsi="Arial Narrow"/>
          <w:b/>
          <w:sz w:val="24"/>
          <w:szCs w:val="24"/>
        </w:rPr>
      </w:pPr>
      <w:r>
        <w:rPr>
          <w:rFonts w:ascii="Arial Narrow" w:eastAsia="Calibri" w:hAnsi="Arial Narrow"/>
          <w:sz w:val="24"/>
          <w:szCs w:val="24"/>
        </w:rPr>
        <w:lastRenderedPageBreak/>
        <w:t xml:space="preserve">Таблица </w:t>
      </w:r>
      <w:r w:rsidR="00262F71">
        <w:rPr>
          <w:rFonts w:ascii="Arial Narrow" w:eastAsia="Calibri" w:hAnsi="Arial Narrow"/>
          <w:sz w:val="24"/>
          <w:szCs w:val="24"/>
        </w:rPr>
        <w:t>7.20.</w:t>
      </w:r>
      <w:r w:rsidRPr="009B4A85">
        <w:rPr>
          <w:rFonts w:ascii="Arial Narrow" w:eastAsia="Calibri" w:hAnsi="Arial Narrow"/>
          <w:sz w:val="24"/>
          <w:szCs w:val="24"/>
        </w:rPr>
        <w:t xml:space="preserve"> – </w:t>
      </w:r>
      <w:r w:rsidRPr="009B4A85">
        <w:rPr>
          <w:rFonts w:ascii="Arial Narrow" w:hAnsi="Arial Narrow"/>
          <w:b/>
          <w:sz w:val="24"/>
          <w:szCs w:val="24"/>
        </w:rPr>
        <w:t>Значение показателя 1.2.5. Изменение среднего количества конкурентов за последние 3 года (% от числа опрошенных)</w:t>
      </w:r>
    </w:p>
    <w:tbl>
      <w:tblPr>
        <w:tblW w:w="10349" w:type="dxa"/>
        <w:tblInd w:w="-421" w:type="dxa"/>
        <w:tblLayout w:type="fixed"/>
        <w:tblCellMar>
          <w:left w:w="0" w:type="dxa"/>
          <w:right w:w="0" w:type="dxa"/>
        </w:tblCellMar>
        <w:tblLook w:val="04A0"/>
      </w:tblPr>
      <w:tblGrid>
        <w:gridCol w:w="567"/>
        <w:gridCol w:w="1277"/>
        <w:gridCol w:w="709"/>
        <w:gridCol w:w="708"/>
        <w:gridCol w:w="567"/>
        <w:gridCol w:w="567"/>
        <w:gridCol w:w="426"/>
        <w:gridCol w:w="567"/>
        <w:gridCol w:w="567"/>
        <w:gridCol w:w="567"/>
        <w:gridCol w:w="567"/>
        <w:gridCol w:w="567"/>
        <w:gridCol w:w="567"/>
        <w:gridCol w:w="567"/>
        <w:gridCol w:w="992"/>
        <w:gridCol w:w="567"/>
      </w:tblGrid>
      <w:tr w:rsidR="00A64028" w:rsidRPr="00507E3F" w:rsidTr="00086001">
        <w:trPr>
          <w:cantSplit/>
          <w:trHeight w:val="3108"/>
        </w:trPr>
        <w:tc>
          <w:tcPr>
            <w:tcW w:w="567" w:type="dxa"/>
            <w:tcBorders>
              <w:top w:val="single" w:sz="4" w:space="0" w:color="auto"/>
              <w:left w:val="single" w:sz="4" w:space="0" w:color="auto"/>
              <w:bottom w:val="single" w:sz="4" w:space="0" w:color="auto"/>
              <w:right w:val="single" w:sz="4" w:space="0" w:color="auto"/>
            </w:tcBorders>
            <w:vAlign w:val="center"/>
            <w:hideMark/>
          </w:tcPr>
          <w:p w:rsidR="00A64028" w:rsidRPr="00507E3F" w:rsidRDefault="00A64028" w:rsidP="00103148">
            <w:pPr>
              <w:spacing w:after="0" w:line="254" w:lineRule="auto"/>
              <w:ind w:left="-57" w:right="-57"/>
              <w:jc w:val="center"/>
              <w:rPr>
                <w:rFonts w:ascii="Arial Narrow" w:hAnsi="Arial Narrow" w:cs="Arial"/>
                <w:sz w:val="20"/>
                <w:szCs w:val="20"/>
              </w:rPr>
            </w:pPr>
            <w:r w:rsidRPr="00507E3F">
              <w:rPr>
                <w:rFonts w:ascii="Arial Narrow" w:hAnsi="Arial Narrow" w:cs="Arial"/>
                <w:sz w:val="20"/>
                <w:szCs w:val="20"/>
              </w:rPr>
              <w:t>№</w:t>
            </w:r>
          </w:p>
        </w:tc>
        <w:tc>
          <w:tcPr>
            <w:tcW w:w="1277" w:type="dxa"/>
            <w:tcBorders>
              <w:top w:val="single" w:sz="4" w:space="0" w:color="auto"/>
              <w:left w:val="nil"/>
              <w:bottom w:val="single" w:sz="4" w:space="0" w:color="auto"/>
              <w:right w:val="single" w:sz="4" w:space="0" w:color="auto"/>
            </w:tcBorders>
            <w:vAlign w:val="center"/>
            <w:hideMark/>
          </w:tcPr>
          <w:p w:rsidR="00A64028" w:rsidRPr="00507E3F" w:rsidRDefault="00A64028" w:rsidP="00ED3C71">
            <w:pPr>
              <w:spacing w:after="0" w:line="240" w:lineRule="auto"/>
              <w:ind w:left="1" w:right="-57"/>
              <w:jc w:val="center"/>
              <w:rPr>
                <w:rFonts w:ascii="Arial Narrow" w:hAnsi="Arial Narrow" w:cs="Arial"/>
                <w:sz w:val="18"/>
                <w:szCs w:val="18"/>
              </w:rPr>
            </w:pPr>
            <w:r w:rsidRPr="00507E3F">
              <w:rPr>
                <w:rFonts w:ascii="Arial Narrow" w:hAnsi="Arial Narrow" w:cs="Arial"/>
                <w:sz w:val="18"/>
                <w:szCs w:val="18"/>
              </w:rPr>
              <w:t>Наименование показателя, единица измерения</w:t>
            </w:r>
          </w:p>
        </w:tc>
        <w:tc>
          <w:tcPr>
            <w:tcW w:w="709" w:type="dxa"/>
            <w:tcBorders>
              <w:top w:val="single" w:sz="4" w:space="0" w:color="auto"/>
              <w:left w:val="nil"/>
              <w:bottom w:val="single" w:sz="4" w:space="0" w:color="auto"/>
              <w:right w:val="single" w:sz="4" w:space="0" w:color="auto"/>
            </w:tcBorders>
            <w:textDirection w:val="btLr"/>
            <w:vAlign w:val="center"/>
            <w:hideMark/>
          </w:tcPr>
          <w:p w:rsidR="00A64028" w:rsidRPr="00507E3F" w:rsidRDefault="00A64028" w:rsidP="00086001">
            <w:pPr>
              <w:spacing w:after="0" w:line="240" w:lineRule="auto"/>
              <w:ind w:left="1" w:right="-57"/>
              <w:jc w:val="center"/>
              <w:rPr>
                <w:rFonts w:ascii="Arial Narrow" w:hAnsi="Arial Narrow" w:cs="Arial"/>
                <w:sz w:val="18"/>
                <w:szCs w:val="18"/>
              </w:rPr>
            </w:pPr>
            <w:r w:rsidRPr="00507E3F">
              <w:rPr>
                <w:rFonts w:ascii="Arial Narrow" w:hAnsi="Arial Narrow" w:cs="Arial"/>
                <w:sz w:val="18"/>
                <w:szCs w:val="18"/>
              </w:rPr>
              <w:t>Общий по Новосибирской области</w:t>
            </w:r>
          </w:p>
        </w:tc>
        <w:tc>
          <w:tcPr>
            <w:tcW w:w="708" w:type="dxa"/>
            <w:tcBorders>
              <w:top w:val="single" w:sz="4" w:space="0" w:color="auto"/>
              <w:left w:val="nil"/>
              <w:bottom w:val="single" w:sz="4" w:space="0" w:color="auto"/>
              <w:right w:val="single" w:sz="4" w:space="0" w:color="auto"/>
            </w:tcBorders>
            <w:noWrap/>
            <w:textDirection w:val="btLr"/>
            <w:vAlign w:val="center"/>
            <w:hideMark/>
          </w:tcPr>
          <w:p w:rsidR="00A64028" w:rsidRPr="00507E3F" w:rsidRDefault="00A64028" w:rsidP="00ED3C71">
            <w:pPr>
              <w:spacing w:after="0" w:line="240" w:lineRule="auto"/>
              <w:ind w:right="-57"/>
              <w:jc w:val="center"/>
              <w:rPr>
                <w:rFonts w:ascii="Arial Narrow" w:hAnsi="Arial Narrow" w:cs="Arial"/>
                <w:sz w:val="18"/>
                <w:szCs w:val="18"/>
              </w:rPr>
            </w:pPr>
            <w:r w:rsidRPr="00507E3F">
              <w:rPr>
                <w:rFonts w:ascii="Arial Narrow" w:hAnsi="Arial Narrow" w:cs="Arial"/>
                <w:sz w:val="18"/>
                <w:szCs w:val="18"/>
              </w:rPr>
              <w:t>Рынок услуг дошкольного образования (коммерческие детские сады и учреждения пребывания неполного дня)</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507E3F" w:rsidRDefault="00A64028" w:rsidP="00ED3C71">
            <w:pPr>
              <w:spacing w:after="0" w:line="240" w:lineRule="auto"/>
              <w:ind w:right="-57"/>
              <w:jc w:val="center"/>
              <w:rPr>
                <w:rFonts w:ascii="Arial Narrow" w:hAnsi="Arial Narrow" w:cs="Arial"/>
                <w:sz w:val="18"/>
                <w:szCs w:val="18"/>
              </w:rPr>
            </w:pPr>
            <w:r w:rsidRPr="00507E3F">
              <w:rPr>
                <w:rFonts w:ascii="Arial Narrow" w:hAnsi="Arial Narrow" w:cs="Arial"/>
                <w:sz w:val="18"/>
                <w:szCs w:val="18"/>
              </w:rPr>
              <w:t>Рынок услуг детского отдыха и оздоровления</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507E3F" w:rsidRDefault="00A64028" w:rsidP="00ED3C71">
            <w:pPr>
              <w:spacing w:after="0" w:line="240" w:lineRule="auto"/>
              <w:ind w:right="-57"/>
              <w:jc w:val="center"/>
              <w:rPr>
                <w:rFonts w:ascii="Arial Narrow" w:hAnsi="Arial Narrow" w:cs="Arial"/>
                <w:sz w:val="18"/>
                <w:szCs w:val="18"/>
              </w:rPr>
            </w:pPr>
            <w:r w:rsidRPr="00507E3F">
              <w:rPr>
                <w:rFonts w:ascii="Arial Narrow" w:hAnsi="Arial Narrow" w:cs="Arial"/>
                <w:sz w:val="18"/>
                <w:szCs w:val="18"/>
              </w:rPr>
              <w:t>Рынок дополнительного образования детей</w:t>
            </w:r>
          </w:p>
        </w:tc>
        <w:tc>
          <w:tcPr>
            <w:tcW w:w="426" w:type="dxa"/>
            <w:tcBorders>
              <w:top w:val="single" w:sz="4" w:space="0" w:color="auto"/>
              <w:left w:val="nil"/>
              <w:bottom w:val="single" w:sz="4" w:space="0" w:color="auto"/>
              <w:right w:val="single" w:sz="4" w:space="0" w:color="auto"/>
            </w:tcBorders>
            <w:noWrap/>
            <w:textDirection w:val="btLr"/>
            <w:vAlign w:val="center"/>
            <w:hideMark/>
          </w:tcPr>
          <w:p w:rsidR="00A64028" w:rsidRPr="00507E3F" w:rsidRDefault="00A64028" w:rsidP="00ED3C71">
            <w:pPr>
              <w:spacing w:after="0" w:line="240" w:lineRule="auto"/>
              <w:ind w:right="-57"/>
              <w:jc w:val="center"/>
              <w:rPr>
                <w:rFonts w:ascii="Arial Narrow" w:hAnsi="Arial Narrow" w:cs="Arial"/>
                <w:sz w:val="18"/>
                <w:szCs w:val="18"/>
              </w:rPr>
            </w:pPr>
            <w:r w:rsidRPr="00507E3F">
              <w:rPr>
                <w:rFonts w:ascii="Arial Narrow" w:hAnsi="Arial Narrow" w:cs="Arial"/>
                <w:sz w:val="18"/>
                <w:szCs w:val="18"/>
              </w:rPr>
              <w:t>Рынок медицинских услуг</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507E3F" w:rsidRDefault="00A64028" w:rsidP="00ED3C71">
            <w:pPr>
              <w:spacing w:after="0" w:line="240" w:lineRule="auto"/>
              <w:ind w:right="-57"/>
              <w:jc w:val="center"/>
              <w:rPr>
                <w:rFonts w:ascii="Arial Narrow" w:hAnsi="Arial Narrow" w:cs="Arial"/>
                <w:sz w:val="18"/>
                <w:szCs w:val="18"/>
              </w:rPr>
            </w:pPr>
            <w:r w:rsidRPr="00507E3F">
              <w:rPr>
                <w:rFonts w:ascii="Arial Narrow" w:hAnsi="Arial Narrow" w:cs="Arial"/>
                <w:sz w:val="18"/>
                <w:szCs w:val="18"/>
              </w:rPr>
              <w:t>Рынок услуг психолого-педагогического сопровождения детей с ограниченными возможностями здоровья</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507E3F" w:rsidRDefault="00A64028" w:rsidP="00ED3C71">
            <w:pPr>
              <w:spacing w:after="0" w:line="240" w:lineRule="auto"/>
              <w:ind w:right="-57"/>
              <w:jc w:val="center"/>
              <w:rPr>
                <w:rFonts w:ascii="Arial Narrow" w:hAnsi="Arial Narrow" w:cs="Arial"/>
                <w:sz w:val="18"/>
                <w:szCs w:val="18"/>
              </w:rPr>
            </w:pPr>
            <w:r w:rsidRPr="00507E3F">
              <w:rPr>
                <w:rFonts w:ascii="Arial Narrow" w:hAnsi="Arial Narrow" w:cs="Arial"/>
                <w:sz w:val="18"/>
                <w:szCs w:val="18"/>
              </w:rPr>
              <w:t>Рынок услуг в сфере культуры</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507E3F" w:rsidRDefault="00A64028" w:rsidP="00ED3C71">
            <w:pPr>
              <w:spacing w:after="0" w:line="240" w:lineRule="auto"/>
              <w:ind w:right="-57"/>
              <w:jc w:val="center"/>
              <w:rPr>
                <w:rFonts w:ascii="Arial Narrow" w:hAnsi="Arial Narrow" w:cs="Arial"/>
                <w:sz w:val="18"/>
                <w:szCs w:val="18"/>
              </w:rPr>
            </w:pPr>
            <w:r w:rsidRPr="00507E3F">
              <w:rPr>
                <w:rFonts w:ascii="Arial Narrow" w:hAnsi="Arial Narrow" w:cs="Arial"/>
                <w:sz w:val="18"/>
                <w:szCs w:val="18"/>
              </w:rPr>
              <w:t>Рынок услуг ЖКХ (управляющие компании)</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507E3F" w:rsidRDefault="00A64028" w:rsidP="00ED3C71">
            <w:pPr>
              <w:spacing w:after="0" w:line="240" w:lineRule="auto"/>
              <w:ind w:right="-57"/>
              <w:jc w:val="center"/>
              <w:rPr>
                <w:rFonts w:ascii="Arial Narrow" w:hAnsi="Arial Narrow" w:cs="Arial"/>
                <w:sz w:val="18"/>
                <w:szCs w:val="18"/>
              </w:rPr>
            </w:pPr>
            <w:r w:rsidRPr="00507E3F">
              <w:rPr>
                <w:rFonts w:ascii="Arial Narrow" w:hAnsi="Arial Narrow" w:cs="Arial"/>
                <w:sz w:val="18"/>
                <w:szCs w:val="18"/>
              </w:rPr>
              <w:t>Розничная торговля (продажа продуктов питания и непродовольственных товаров)</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507E3F" w:rsidRDefault="00A64028" w:rsidP="00ED3C71">
            <w:pPr>
              <w:spacing w:after="0" w:line="240" w:lineRule="auto"/>
              <w:ind w:right="-57"/>
              <w:jc w:val="center"/>
              <w:rPr>
                <w:rFonts w:ascii="Arial Narrow" w:hAnsi="Arial Narrow" w:cs="Arial"/>
                <w:sz w:val="18"/>
                <w:szCs w:val="18"/>
              </w:rPr>
            </w:pPr>
            <w:r w:rsidRPr="00507E3F">
              <w:rPr>
                <w:rFonts w:ascii="Arial Narrow" w:hAnsi="Arial Narrow" w:cs="Arial"/>
                <w:sz w:val="18"/>
                <w:szCs w:val="18"/>
              </w:rPr>
              <w:t>Рынок услуг перевозок пассажиров наземным транспортом (автобусные перевозки и такси)</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507E3F" w:rsidRDefault="00A64028" w:rsidP="00ED3C71">
            <w:pPr>
              <w:spacing w:after="0" w:line="240" w:lineRule="auto"/>
              <w:ind w:right="-57"/>
              <w:jc w:val="center"/>
              <w:rPr>
                <w:rFonts w:ascii="Arial Narrow" w:hAnsi="Arial Narrow" w:cs="Arial"/>
                <w:sz w:val="18"/>
                <w:szCs w:val="18"/>
              </w:rPr>
            </w:pPr>
            <w:r w:rsidRPr="00507E3F">
              <w:rPr>
                <w:rFonts w:ascii="Arial Narrow" w:hAnsi="Arial Narrow" w:cs="Arial"/>
                <w:sz w:val="18"/>
                <w:szCs w:val="18"/>
              </w:rPr>
              <w:t>Рынок услуг связи</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507E3F" w:rsidRDefault="00A64028" w:rsidP="00ED3C71">
            <w:pPr>
              <w:spacing w:after="0" w:line="240" w:lineRule="auto"/>
              <w:ind w:right="-57"/>
              <w:jc w:val="center"/>
              <w:rPr>
                <w:rFonts w:ascii="Arial Narrow" w:hAnsi="Arial Narrow" w:cs="Arial"/>
                <w:sz w:val="18"/>
                <w:szCs w:val="18"/>
              </w:rPr>
            </w:pPr>
            <w:r w:rsidRPr="00507E3F">
              <w:rPr>
                <w:rFonts w:ascii="Arial Narrow" w:hAnsi="Arial Narrow" w:cs="Arial"/>
                <w:sz w:val="18"/>
                <w:szCs w:val="18"/>
              </w:rPr>
              <w:t>Рынок услуг социального обслуживания населения</w:t>
            </w:r>
          </w:p>
        </w:tc>
        <w:tc>
          <w:tcPr>
            <w:tcW w:w="992" w:type="dxa"/>
            <w:tcBorders>
              <w:top w:val="single" w:sz="4" w:space="0" w:color="auto"/>
              <w:left w:val="nil"/>
              <w:bottom w:val="single" w:sz="4" w:space="0" w:color="auto"/>
              <w:right w:val="single" w:sz="4" w:space="0" w:color="auto"/>
            </w:tcBorders>
            <w:noWrap/>
            <w:textDirection w:val="btLr"/>
            <w:vAlign w:val="center"/>
            <w:hideMark/>
          </w:tcPr>
          <w:p w:rsidR="00A64028" w:rsidRPr="00507E3F" w:rsidRDefault="00A64028" w:rsidP="00ED3C71">
            <w:pPr>
              <w:spacing w:after="0" w:line="240" w:lineRule="auto"/>
              <w:ind w:right="-57"/>
              <w:jc w:val="center"/>
              <w:rPr>
                <w:rFonts w:ascii="Arial Narrow" w:hAnsi="Arial Narrow" w:cs="Arial"/>
                <w:sz w:val="18"/>
                <w:szCs w:val="18"/>
              </w:rPr>
            </w:pPr>
            <w:r w:rsidRPr="00507E3F">
              <w:rPr>
                <w:rFonts w:ascii="Arial Narrow" w:hAnsi="Arial Narrow" w:cs="Arial"/>
                <w:sz w:val="18"/>
                <w:szCs w:val="18"/>
              </w:rPr>
              <w:t>Рынок развития, производства, переработки и хранения сельскохозяйственной продукции</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507E3F" w:rsidRDefault="00A64028" w:rsidP="00ED3C71">
            <w:pPr>
              <w:spacing w:after="0" w:line="240" w:lineRule="auto"/>
              <w:ind w:right="-57"/>
              <w:jc w:val="center"/>
              <w:rPr>
                <w:rFonts w:ascii="Arial Narrow" w:hAnsi="Arial Narrow" w:cs="Arial"/>
                <w:sz w:val="18"/>
                <w:szCs w:val="18"/>
              </w:rPr>
            </w:pPr>
            <w:r w:rsidRPr="00507E3F">
              <w:rPr>
                <w:rFonts w:ascii="Arial Narrow" w:hAnsi="Arial Narrow" w:cs="Arial"/>
                <w:sz w:val="18"/>
                <w:szCs w:val="18"/>
              </w:rPr>
              <w:t>Рынок услуг по сбору, сортировке и переработке твердых коммунальных (бытовых) отходов</w:t>
            </w:r>
          </w:p>
        </w:tc>
      </w:tr>
      <w:tr w:rsidR="00A64028" w:rsidRPr="00507E3F" w:rsidTr="00E82802">
        <w:trPr>
          <w:trHeight w:val="283"/>
        </w:trPr>
        <w:tc>
          <w:tcPr>
            <w:tcW w:w="567" w:type="dxa"/>
            <w:tcBorders>
              <w:top w:val="nil"/>
              <w:left w:val="single" w:sz="4" w:space="0" w:color="auto"/>
              <w:bottom w:val="single" w:sz="4" w:space="0" w:color="auto"/>
              <w:right w:val="single" w:sz="4" w:space="0" w:color="auto"/>
            </w:tcBorders>
            <w:vAlign w:val="center"/>
            <w:hideMark/>
          </w:tcPr>
          <w:p w:rsidR="00A64028" w:rsidRPr="00507E3F" w:rsidRDefault="00E82802" w:rsidP="00E82802">
            <w:pPr>
              <w:spacing w:after="0"/>
              <w:ind w:left="-57" w:right="-57"/>
              <w:jc w:val="both"/>
              <w:rPr>
                <w:rFonts w:ascii="Arial Narrow" w:hAnsi="Arial Narrow"/>
                <w:sz w:val="20"/>
                <w:szCs w:val="20"/>
              </w:rPr>
            </w:pPr>
            <w:r>
              <w:rPr>
                <w:rFonts w:ascii="Arial Narrow" w:hAnsi="Arial Narrow"/>
                <w:sz w:val="20"/>
                <w:szCs w:val="20"/>
              </w:rPr>
              <w:t xml:space="preserve">  </w:t>
            </w:r>
            <w:r w:rsidR="00A64028" w:rsidRPr="00507E3F">
              <w:rPr>
                <w:rFonts w:ascii="Arial Narrow" w:hAnsi="Arial Narrow"/>
                <w:sz w:val="20"/>
                <w:szCs w:val="20"/>
              </w:rPr>
              <w:t>1.2.5.</w:t>
            </w:r>
          </w:p>
        </w:tc>
        <w:tc>
          <w:tcPr>
            <w:tcW w:w="9782" w:type="dxa"/>
            <w:gridSpan w:val="15"/>
            <w:tcBorders>
              <w:top w:val="single" w:sz="4" w:space="0" w:color="auto"/>
              <w:left w:val="nil"/>
              <w:bottom w:val="single" w:sz="4" w:space="0" w:color="auto"/>
              <w:right w:val="single" w:sz="4" w:space="0" w:color="000000"/>
            </w:tcBorders>
            <w:vAlign w:val="center"/>
            <w:hideMark/>
          </w:tcPr>
          <w:p w:rsidR="00A64028" w:rsidRPr="00507E3F" w:rsidRDefault="00E82802" w:rsidP="00ED3C71">
            <w:pPr>
              <w:spacing w:after="0"/>
              <w:ind w:left="143" w:right="-57"/>
              <w:jc w:val="both"/>
              <w:rPr>
                <w:rFonts w:ascii="Arial Narrow" w:hAnsi="Arial Narrow"/>
                <w:sz w:val="20"/>
                <w:szCs w:val="20"/>
              </w:rPr>
            </w:pPr>
            <w:r>
              <w:rPr>
                <w:rFonts w:ascii="Arial Narrow" w:hAnsi="Arial Narrow"/>
                <w:sz w:val="20"/>
                <w:szCs w:val="20"/>
              </w:rPr>
              <w:t xml:space="preserve">  </w:t>
            </w:r>
            <w:r w:rsidR="00A64028" w:rsidRPr="00507E3F">
              <w:rPr>
                <w:rFonts w:ascii="Arial Narrow" w:hAnsi="Arial Narrow"/>
                <w:sz w:val="20"/>
                <w:szCs w:val="20"/>
              </w:rPr>
              <w:t>Изменение среднего количества конкурентов за последние 3 года (% от числа опрошенных)</w:t>
            </w:r>
          </w:p>
        </w:tc>
      </w:tr>
      <w:tr w:rsidR="00A64028" w:rsidRPr="00507E3F" w:rsidTr="00E82802">
        <w:tc>
          <w:tcPr>
            <w:tcW w:w="567" w:type="dxa"/>
            <w:tcBorders>
              <w:top w:val="nil"/>
              <w:left w:val="single" w:sz="4" w:space="0" w:color="auto"/>
              <w:bottom w:val="single" w:sz="4" w:space="0" w:color="auto"/>
              <w:right w:val="single" w:sz="4" w:space="0" w:color="auto"/>
            </w:tcBorders>
            <w:vAlign w:val="center"/>
            <w:hideMark/>
          </w:tcPr>
          <w:p w:rsidR="00A64028" w:rsidRPr="00507E3F" w:rsidRDefault="00A64028" w:rsidP="00103148">
            <w:pPr>
              <w:spacing w:after="0"/>
              <w:ind w:left="-57" w:right="-57"/>
              <w:jc w:val="both"/>
              <w:rPr>
                <w:rFonts w:ascii="Arial Narrow" w:hAnsi="Arial Narrow"/>
                <w:sz w:val="20"/>
                <w:szCs w:val="20"/>
              </w:rPr>
            </w:pPr>
            <w:r w:rsidRPr="00507E3F">
              <w:rPr>
                <w:rFonts w:ascii="Arial Narrow" w:hAnsi="Arial Narrow"/>
                <w:sz w:val="20"/>
                <w:szCs w:val="20"/>
              </w:rPr>
              <w:t> </w:t>
            </w:r>
          </w:p>
        </w:tc>
        <w:tc>
          <w:tcPr>
            <w:tcW w:w="1277" w:type="dxa"/>
            <w:tcBorders>
              <w:top w:val="nil"/>
              <w:left w:val="nil"/>
              <w:bottom w:val="single" w:sz="4" w:space="0" w:color="auto"/>
              <w:right w:val="single" w:sz="4" w:space="0" w:color="auto"/>
            </w:tcBorders>
            <w:vAlign w:val="center"/>
            <w:hideMark/>
          </w:tcPr>
          <w:p w:rsidR="00A64028" w:rsidRPr="00507E3F" w:rsidRDefault="00A64028" w:rsidP="00EB3EA8">
            <w:pPr>
              <w:spacing w:after="0"/>
              <w:ind w:left="143"/>
              <w:jc w:val="both"/>
              <w:rPr>
                <w:rFonts w:ascii="Arial Narrow" w:hAnsi="Arial Narrow"/>
                <w:sz w:val="20"/>
                <w:szCs w:val="20"/>
              </w:rPr>
            </w:pPr>
            <w:r w:rsidRPr="00507E3F">
              <w:rPr>
                <w:rFonts w:ascii="Arial Narrow" w:hAnsi="Arial Narrow"/>
                <w:sz w:val="20"/>
                <w:szCs w:val="20"/>
              </w:rPr>
              <w:t>Увеличилось</w:t>
            </w:r>
          </w:p>
        </w:tc>
        <w:tc>
          <w:tcPr>
            <w:tcW w:w="709" w:type="dxa"/>
            <w:tcBorders>
              <w:top w:val="nil"/>
              <w:left w:val="nil"/>
              <w:bottom w:val="single" w:sz="4" w:space="0" w:color="auto"/>
              <w:right w:val="single" w:sz="4" w:space="0" w:color="auto"/>
            </w:tcBorders>
            <w:noWrap/>
            <w:vAlign w:val="center"/>
            <w:hideMark/>
          </w:tcPr>
          <w:p w:rsidR="00A64028" w:rsidRPr="00EB3EA8" w:rsidRDefault="00A64028" w:rsidP="00103148">
            <w:pPr>
              <w:spacing w:after="0"/>
              <w:ind w:left="-57" w:right="-57"/>
              <w:jc w:val="center"/>
              <w:rPr>
                <w:rFonts w:ascii="Arial Narrow" w:hAnsi="Arial Narrow"/>
                <w:sz w:val="18"/>
                <w:szCs w:val="18"/>
              </w:rPr>
            </w:pPr>
            <w:r w:rsidRPr="00EB3EA8">
              <w:rPr>
                <w:rFonts w:ascii="Arial Narrow" w:hAnsi="Arial Narrow"/>
                <w:sz w:val="18"/>
                <w:szCs w:val="18"/>
              </w:rPr>
              <w:t>44,4%</w:t>
            </w:r>
          </w:p>
        </w:tc>
        <w:tc>
          <w:tcPr>
            <w:tcW w:w="708" w:type="dxa"/>
            <w:tcBorders>
              <w:top w:val="nil"/>
              <w:left w:val="nil"/>
              <w:bottom w:val="single" w:sz="4" w:space="0" w:color="auto"/>
              <w:right w:val="single" w:sz="4" w:space="0" w:color="auto"/>
            </w:tcBorders>
            <w:noWrap/>
            <w:vAlign w:val="center"/>
            <w:hideMark/>
          </w:tcPr>
          <w:p w:rsidR="00A64028" w:rsidRPr="00EB3EA8" w:rsidRDefault="00A64028" w:rsidP="00103148">
            <w:pPr>
              <w:spacing w:after="0"/>
              <w:ind w:left="-57" w:right="-57"/>
              <w:jc w:val="center"/>
              <w:rPr>
                <w:rFonts w:ascii="Arial Narrow" w:hAnsi="Arial Narrow"/>
                <w:sz w:val="18"/>
                <w:szCs w:val="18"/>
              </w:rPr>
            </w:pPr>
            <w:r w:rsidRPr="00EB3EA8">
              <w:rPr>
                <w:rFonts w:ascii="Arial Narrow" w:hAnsi="Arial Narrow"/>
                <w:sz w:val="18"/>
                <w:szCs w:val="18"/>
              </w:rPr>
              <w:t>40,0%</w:t>
            </w:r>
          </w:p>
        </w:tc>
        <w:tc>
          <w:tcPr>
            <w:tcW w:w="567" w:type="dxa"/>
            <w:tcBorders>
              <w:top w:val="nil"/>
              <w:left w:val="nil"/>
              <w:bottom w:val="single" w:sz="4" w:space="0" w:color="auto"/>
              <w:right w:val="single" w:sz="4" w:space="0" w:color="auto"/>
            </w:tcBorders>
            <w:noWrap/>
            <w:vAlign w:val="center"/>
            <w:hideMark/>
          </w:tcPr>
          <w:p w:rsidR="00A64028" w:rsidRPr="00EB3EA8" w:rsidRDefault="00A64028" w:rsidP="00103148">
            <w:pPr>
              <w:spacing w:after="0"/>
              <w:ind w:left="-57" w:right="-57"/>
              <w:jc w:val="center"/>
              <w:rPr>
                <w:rFonts w:ascii="Arial Narrow" w:hAnsi="Arial Narrow"/>
                <w:sz w:val="18"/>
                <w:szCs w:val="18"/>
              </w:rPr>
            </w:pPr>
            <w:r w:rsidRPr="00EB3EA8">
              <w:rPr>
                <w:rFonts w:ascii="Arial Narrow" w:hAnsi="Arial Narrow"/>
                <w:sz w:val="18"/>
                <w:szCs w:val="18"/>
              </w:rPr>
              <w:t>40,0%</w:t>
            </w:r>
          </w:p>
        </w:tc>
        <w:tc>
          <w:tcPr>
            <w:tcW w:w="567" w:type="dxa"/>
            <w:tcBorders>
              <w:top w:val="nil"/>
              <w:left w:val="nil"/>
              <w:bottom w:val="single" w:sz="4" w:space="0" w:color="auto"/>
              <w:right w:val="single" w:sz="4" w:space="0" w:color="auto"/>
            </w:tcBorders>
            <w:noWrap/>
            <w:vAlign w:val="center"/>
            <w:hideMark/>
          </w:tcPr>
          <w:p w:rsidR="00A64028" w:rsidRPr="00EB3EA8" w:rsidRDefault="00A64028" w:rsidP="00103148">
            <w:pPr>
              <w:spacing w:after="0"/>
              <w:ind w:left="-57" w:right="-57"/>
              <w:jc w:val="center"/>
              <w:rPr>
                <w:rFonts w:ascii="Arial Narrow" w:hAnsi="Arial Narrow"/>
                <w:sz w:val="18"/>
                <w:szCs w:val="18"/>
              </w:rPr>
            </w:pPr>
            <w:r w:rsidRPr="00EB3EA8">
              <w:rPr>
                <w:rFonts w:ascii="Arial Narrow" w:hAnsi="Arial Narrow"/>
                <w:sz w:val="18"/>
                <w:szCs w:val="18"/>
              </w:rPr>
              <w:t>56,0%</w:t>
            </w:r>
          </w:p>
        </w:tc>
        <w:tc>
          <w:tcPr>
            <w:tcW w:w="426" w:type="dxa"/>
            <w:tcBorders>
              <w:top w:val="nil"/>
              <w:left w:val="nil"/>
              <w:bottom w:val="single" w:sz="4" w:space="0" w:color="auto"/>
              <w:right w:val="single" w:sz="4" w:space="0" w:color="auto"/>
            </w:tcBorders>
            <w:noWrap/>
            <w:vAlign w:val="center"/>
            <w:hideMark/>
          </w:tcPr>
          <w:p w:rsidR="00A64028" w:rsidRPr="00EB3EA8" w:rsidRDefault="00A64028" w:rsidP="00103148">
            <w:pPr>
              <w:spacing w:after="0"/>
              <w:ind w:left="-57" w:right="-57"/>
              <w:jc w:val="center"/>
              <w:rPr>
                <w:rFonts w:ascii="Arial Narrow" w:hAnsi="Arial Narrow"/>
                <w:sz w:val="18"/>
                <w:szCs w:val="18"/>
              </w:rPr>
            </w:pPr>
            <w:r w:rsidRPr="00EB3EA8">
              <w:rPr>
                <w:rFonts w:ascii="Arial Narrow" w:hAnsi="Arial Narrow"/>
                <w:sz w:val="18"/>
                <w:szCs w:val="18"/>
              </w:rPr>
              <w:t>52,9%</w:t>
            </w:r>
          </w:p>
        </w:tc>
        <w:tc>
          <w:tcPr>
            <w:tcW w:w="567" w:type="dxa"/>
            <w:tcBorders>
              <w:top w:val="nil"/>
              <w:left w:val="nil"/>
              <w:bottom w:val="single" w:sz="4" w:space="0" w:color="auto"/>
              <w:right w:val="single" w:sz="4" w:space="0" w:color="auto"/>
            </w:tcBorders>
            <w:noWrap/>
            <w:vAlign w:val="center"/>
            <w:hideMark/>
          </w:tcPr>
          <w:p w:rsidR="00A64028" w:rsidRPr="00EB3EA8" w:rsidRDefault="00A64028" w:rsidP="00103148">
            <w:pPr>
              <w:spacing w:after="0"/>
              <w:ind w:left="-57" w:right="-57"/>
              <w:jc w:val="center"/>
              <w:rPr>
                <w:rFonts w:ascii="Arial Narrow" w:hAnsi="Arial Narrow"/>
                <w:sz w:val="18"/>
                <w:szCs w:val="18"/>
              </w:rPr>
            </w:pPr>
            <w:r w:rsidRPr="00EB3EA8">
              <w:rPr>
                <w:rFonts w:ascii="Arial Narrow" w:hAnsi="Arial Narrow"/>
                <w:sz w:val="18"/>
                <w:szCs w:val="18"/>
              </w:rPr>
              <w:t>28,0%</w:t>
            </w:r>
          </w:p>
        </w:tc>
        <w:tc>
          <w:tcPr>
            <w:tcW w:w="567" w:type="dxa"/>
            <w:tcBorders>
              <w:top w:val="nil"/>
              <w:left w:val="nil"/>
              <w:bottom w:val="single" w:sz="4" w:space="0" w:color="auto"/>
              <w:right w:val="single" w:sz="4" w:space="0" w:color="auto"/>
            </w:tcBorders>
            <w:noWrap/>
            <w:vAlign w:val="center"/>
            <w:hideMark/>
          </w:tcPr>
          <w:p w:rsidR="00A64028" w:rsidRPr="00EB3EA8" w:rsidRDefault="00A64028" w:rsidP="00103148">
            <w:pPr>
              <w:spacing w:after="0"/>
              <w:ind w:left="-57" w:right="-57"/>
              <w:jc w:val="center"/>
              <w:rPr>
                <w:rFonts w:ascii="Arial Narrow" w:hAnsi="Arial Narrow"/>
                <w:sz w:val="18"/>
                <w:szCs w:val="18"/>
              </w:rPr>
            </w:pPr>
            <w:r w:rsidRPr="00EB3EA8">
              <w:rPr>
                <w:rFonts w:ascii="Arial Narrow" w:hAnsi="Arial Narrow"/>
                <w:sz w:val="18"/>
                <w:szCs w:val="18"/>
              </w:rPr>
              <w:t>48,0%</w:t>
            </w:r>
          </w:p>
        </w:tc>
        <w:tc>
          <w:tcPr>
            <w:tcW w:w="567" w:type="dxa"/>
            <w:tcBorders>
              <w:top w:val="nil"/>
              <w:left w:val="nil"/>
              <w:bottom w:val="single" w:sz="4" w:space="0" w:color="auto"/>
              <w:right w:val="single" w:sz="4" w:space="0" w:color="auto"/>
            </w:tcBorders>
            <w:noWrap/>
            <w:vAlign w:val="center"/>
            <w:hideMark/>
          </w:tcPr>
          <w:p w:rsidR="00A64028" w:rsidRPr="00EB3EA8" w:rsidRDefault="00A64028" w:rsidP="00103148">
            <w:pPr>
              <w:spacing w:after="0"/>
              <w:ind w:left="-57" w:right="-57"/>
              <w:jc w:val="center"/>
              <w:rPr>
                <w:rFonts w:ascii="Arial Narrow" w:hAnsi="Arial Narrow"/>
                <w:sz w:val="18"/>
                <w:szCs w:val="18"/>
              </w:rPr>
            </w:pPr>
            <w:r w:rsidRPr="00EB3EA8">
              <w:rPr>
                <w:rFonts w:ascii="Arial Narrow" w:hAnsi="Arial Narrow"/>
                <w:sz w:val="18"/>
                <w:szCs w:val="18"/>
              </w:rPr>
              <w:t>32,9%</w:t>
            </w:r>
          </w:p>
        </w:tc>
        <w:tc>
          <w:tcPr>
            <w:tcW w:w="567" w:type="dxa"/>
            <w:tcBorders>
              <w:top w:val="nil"/>
              <w:left w:val="nil"/>
              <w:bottom w:val="single" w:sz="4" w:space="0" w:color="auto"/>
              <w:right w:val="single" w:sz="4" w:space="0" w:color="auto"/>
            </w:tcBorders>
            <w:noWrap/>
            <w:vAlign w:val="center"/>
            <w:hideMark/>
          </w:tcPr>
          <w:p w:rsidR="00A64028" w:rsidRPr="00EB3EA8" w:rsidRDefault="00A64028" w:rsidP="00103148">
            <w:pPr>
              <w:spacing w:after="0"/>
              <w:ind w:left="-57" w:right="-57"/>
              <w:jc w:val="center"/>
              <w:rPr>
                <w:rFonts w:ascii="Arial Narrow" w:hAnsi="Arial Narrow"/>
                <w:sz w:val="18"/>
                <w:szCs w:val="18"/>
              </w:rPr>
            </w:pPr>
            <w:r w:rsidRPr="00EB3EA8">
              <w:rPr>
                <w:rFonts w:ascii="Arial Narrow" w:hAnsi="Arial Narrow"/>
                <w:sz w:val="18"/>
                <w:szCs w:val="18"/>
              </w:rPr>
              <w:t>55,0%</w:t>
            </w:r>
          </w:p>
        </w:tc>
        <w:tc>
          <w:tcPr>
            <w:tcW w:w="567" w:type="dxa"/>
            <w:tcBorders>
              <w:top w:val="nil"/>
              <w:left w:val="nil"/>
              <w:bottom w:val="single" w:sz="4" w:space="0" w:color="auto"/>
              <w:right w:val="single" w:sz="4" w:space="0" w:color="auto"/>
            </w:tcBorders>
            <w:noWrap/>
            <w:vAlign w:val="center"/>
            <w:hideMark/>
          </w:tcPr>
          <w:p w:rsidR="00A64028" w:rsidRPr="00EB3EA8" w:rsidRDefault="00A64028" w:rsidP="00103148">
            <w:pPr>
              <w:spacing w:after="0"/>
              <w:ind w:left="-57" w:right="-57"/>
              <w:jc w:val="center"/>
              <w:rPr>
                <w:rFonts w:ascii="Arial Narrow" w:hAnsi="Arial Narrow"/>
                <w:sz w:val="18"/>
                <w:szCs w:val="18"/>
              </w:rPr>
            </w:pPr>
            <w:r w:rsidRPr="00EB3EA8">
              <w:rPr>
                <w:rFonts w:ascii="Arial Narrow" w:hAnsi="Arial Narrow"/>
                <w:sz w:val="18"/>
                <w:szCs w:val="18"/>
              </w:rPr>
              <w:t>63,3%</w:t>
            </w:r>
          </w:p>
        </w:tc>
        <w:tc>
          <w:tcPr>
            <w:tcW w:w="567" w:type="dxa"/>
            <w:tcBorders>
              <w:top w:val="nil"/>
              <w:left w:val="nil"/>
              <w:bottom w:val="single" w:sz="4" w:space="0" w:color="auto"/>
              <w:right w:val="single" w:sz="4" w:space="0" w:color="auto"/>
            </w:tcBorders>
            <w:noWrap/>
            <w:vAlign w:val="center"/>
            <w:hideMark/>
          </w:tcPr>
          <w:p w:rsidR="00A64028" w:rsidRPr="00EB3EA8" w:rsidRDefault="00A64028" w:rsidP="00103148">
            <w:pPr>
              <w:spacing w:after="0"/>
              <w:ind w:left="-57" w:right="-57"/>
              <w:jc w:val="center"/>
              <w:rPr>
                <w:rFonts w:ascii="Arial Narrow" w:hAnsi="Arial Narrow"/>
                <w:sz w:val="18"/>
                <w:szCs w:val="18"/>
              </w:rPr>
            </w:pPr>
            <w:r w:rsidRPr="00EB3EA8">
              <w:rPr>
                <w:rFonts w:ascii="Arial Narrow" w:hAnsi="Arial Narrow"/>
                <w:sz w:val="18"/>
                <w:szCs w:val="18"/>
              </w:rPr>
              <w:t>52,0%</w:t>
            </w:r>
          </w:p>
        </w:tc>
        <w:tc>
          <w:tcPr>
            <w:tcW w:w="567" w:type="dxa"/>
            <w:tcBorders>
              <w:top w:val="nil"/>
              <w:left w:val="nil"/>
              <w:bottom w:val="single" w:sz="4" w:space="0" w:color="auto"/>
              <w:right w:val="single" w:sz="4" w:space="0" w:color="auto"/>
            </w:tcBorders>
            <w:noWrap/>
            <w:vAlign w:val="center"/>
            <w:hideMark/>
          </w:tcPr>
          <w:p w:rsidR="00A64028" w:rsidRPr="00EB3EA8" w:rsidRDefault="00A64028" w:rsidP="00103148">
            <w:pPr>
              <w:spacing w:after="0"/>
              <w:ind w:left="-57" w:right="-57"/>
              <w:jc w:val="center"/>
              <w:rPr>
                <w:rFonts w:ascii="Arial Narrow" w:hAnsi="Arial Narrow"/>
                <w:sz w:val="18"/>
                <w:szCs w:val="18"/>
              </w:rPr>
            </w:pPr>
            <w:r w:rsidRPr="00EB3EA8">
              <w:rPr>
                <w:rFonts w:ascii="Arial Narrow" w:hAnsi="Arial Narrow"/>
                <w:sz w:val="18"/>
                <w:szCs w:val="18"/>
              </w:rPr>
              <w:t>40,0%</w:t>
            </w:r>
          </w:p>
        </w:tc>
        <w:tc>
          <w:tcPr>
            <w:tcW w:w="992" w:type="dxa"/>
            <w:tcBorders>
              <w:top w:val="nil"/>
              <w:left w:val="nil"/>
              <w:bottom w:val="single" w:sz="4" w:space="0" w:color="auto"/>
              <w:right w:val="single" w:sz="4" w:space="0" w:color="auto"/>
            </w:tcBorders>
            <w:noWrap/>
            <w:vAlign w:val="center"/>
            <w:hideMark/>
          </w:tcPr>
          <w:p w:rsidR="00A64028" w:rsidRPr="00EB3EA8" w:rsidRDefault="00A64028" w:rsidP="00103148">
            <w:pPr>
              <w:spacing w:after="0"/>
              <w:ind w:left="-57" w:right="-57"/>
              <w:jc w:val="center"/>
              <w:rPr>
                <w:rFonts w:ascii="Arial Narrow" w:hAnsi="Arial Narrow"/>
                <w:sz w:val="18"/>
                <w:szCs w:val="18"/>
              </w:rPr>
            </w:pPr>
            <w:r w:rsidRPr="00EB3EA8">
              <w:rPr>
                <w:rFonts w:ascii="Arial Narrow" w:hAnsi="Arial Narrow"/>
                <w:sz w:val="18"/>
                <w:szCs w:val="18"/>
              </w:rPr>
              <w:t>39,0%</w:t>
            </w:r>
          </w:p>
        </w:tc>
        <w:tc>
          <w:tcPr>
            <w:tcW w:w="567" w:type="dxa"/>
            <w:tcBorders>
              <w:top w:val="nil"/>
              <w:left w:val="nil"/>
              <w:bottom w:val="single" w:sz="4" w:space="0" w:color="auto"/>
              <w:right w:val="single" w:sz="4" w:space="0" w:color="auto"/>
            </w:tcBorders>
            <w:noWrap/>
            <w:vAlign w:val="center"/>
            <w:hideMark/>
          </w:tcPr>
          <w:p w:rsidR="00A64028" w:rsidRPr="00EB3EA8" w:rsidRDefault="00A64028" w:rsidP="00103148">
            <w:pPr>
              <w:spacing w:after="0"/>
              <w:ind w:left="-57" w:right="-57"/>
              <w:jc w:val="center"/>
              <w:rPr>
                <w:rFonts w:ascii="Arial Narrow" w:hAnsi="Arial Narrow"/>
                <w:sz w:val="18"/>
                <w:szCs w:val="18"/>
              </w:rPr>
            </w:pPr>
            <w:r w:rsidRPr="00EB3EA8">
              <w:rPr>
                <w:rFonts w:ascii="Arial Narrow" w:hAnsi="Arial Narrow"/>
                <w:sz w:val="18"/>
                <w:szCs w:val="18"/>
              </w:rPr>
              <w:t>60,0%</w:t>
            </w:r>
          </w:p>
        </w:tc>
      </w:tr>
      <w:tr w:rsidR="00A64028" w:rsidRPr="00507E3F" w:rsidTr="00E82802">
        <w:tc>
          <w:tcPr>
            <w:tcW w:w="567" w:type="dxa"/>
            <w:tcBorders>
              <w:top w:val="single" w:sz="4" w:space="0" w:color="auto"/>
              <w:left w:val="single" w:sz="4" w:space="0" w:color="auto"/>
              <w:bottom w:val="single" w:sz="4" w:space="0" w:color="auto"/>
              <w:right w:val="single" w:sz="4" w:space="0" w:color="auto"/>
            </w:tcBorders>
            <w:vAlign w:val="center"/>
            <w:hideMark/>
          </w:tcPr>
          <w:p w:rsidR="00A64028" w:rsidRPr="00507E3F" w:rsidRDefault="00A64028" w:rsidP="00103148">
            <w:pPr>
              <w:spacing w:after="0"/>
              <w:ind w:left="-57" w:right="-57"/>
              <w:jc w:val="both"/>
              <w:rPr>
                <w:rFonts w:ascii="Arial Narrow" w:hAnsi="Arial Narrow"/>
                <w:sz w:val="20"/>
                <w:szCs w:val="20"/>
              </w:rPr>
            </w:pPr>
            <w:r w:rsidRPr="00507E3F">
              <w:rPr>
                <w:rFonts w:ascii="Arial Narrow" w:hAnsi="Arial Narrow"/>
                <w:sz w:val="20"/>
                <w:szCs w:val="20"/>
              </w:rPr>
              <w:t> </w:t>
            </w:r>
          </w:p>
        </w:tc>
        <w:tc>
          <w:tcPr>
            <w:tcW w:w="1277" w:type="dxa"/>
            <w:tcBorders>
              <w:top w:val="single" w:sz="4" w:space="0" w:color="auto"/>
              <w:left w:val="nil"/>
              <w:bottom w:val="single" w:sz="4" w:space="0" w:color="auto"/>
              <w:right w:val="single" w:sz="4" w:space="0" w:color="auto"/>
            </w:tcBorders>
            <w:vAlign w:val="center"/>
            <w:hideMark/>
          </w:tcPr>
          <w:p w:rsidR="00A64028" w:rsidRPr="00507E3F" w:rsidRDefault="00A64028" w:rsidP="00EB3EA8">
            <w:pPr>
              <w:spacing w:after="0"/>
              <w:ind w:left="143"/>
              <w:jc w:val="both"/>
              <w:rPr>
                <w:rFonts w:ascii="Arial Narrow" w:hAnsi="Arial Narrow"/>
                <w:sz w:val="20"/>
                <w:szCs w:val="20"/>
              </w:rPr>
            </w:pPr>
            <w:r w:rsidRPr="00507E3F">
              <w:rPr>
                <w:rFonts w:ascii="Arial Narrow" w:hAnsi="Arial Narrow"/>
                <w:sz w:val="20"/>
                <w:szCs w:val="20"/>
              </w:rPr>
              <w:t>Уменьшилось</w:t>
            </w:r>
          </w:p>
        </w:tc>
        <w:tc>
          <w:tcPr>
            <w:tcW w:w="709" w:type="dxa"/>
            <w:tcBorders>
              <w:top w:val="single" w:sz="4" w:space="0" w:color="auto"/>
              <w:left w:val="nil"/>
              <w:bottom w:val="single" w:sz="4" w:space="0" w:color="auto"/>
              <w:right w:val="single" w:sz="4" w:space="0" w:color="auto"/>
            </w:tcBorders>
            <w:noWrap/>
            <w:vAlign w:val="center"/>
            <w:hideMark/>
          </w:tcPr>
          <w:p w:rsidR="00A64028" w:rsidRPr="00EB3EA8" w:rsidRDefault="00A64028" w:rsidP="00103148">
            <w:pPr>
              <w:spacing w:after="0"/>
              <w:ind w:left="-57" w:right="-57"/>
              <w:jc w:val="center"/>
              <w:rPr>
                <w:rFonts w:ascii="Arial Narrow" w:hAnsi="Arial Narrow"/>
                <w:sz w:val="18"/>
                <w:szCs w:val="18"/>
              </w:rPr>
            </w:pPr>
            <w:r w:rsidRPr="00EB3EA8">
              <w:rPr>
                <w:rFonts w:ascii="Arial Narrow" w:hAnsi="Arial Narrow"/>
                <w:sz w:val="18"/>
                <w:szCs w:val="18"/>
              </w:rPr>
              <w:t>16,8%</w:t>
            </w:r>
          </w:p>
        </w:tc>
        <w:tc>
          <w:tcPr>
            <w:tcW w:w="708" w:type="dxa"/>
            <w:tcBorders>
              <w:top w:val="single" w:sz="4" w:space="0" w:color="auto"/>
              <w:left w:val="nil"/>
              <w:bottom w:val="single" w:sz="4" w:space="0" w:color="auto"/>
              <w:right w:val="single" w:sz="4" w:space="0" w:color="auto"/>
            </w:tcBorders>
            <w:noWrap/>
            <w:vAlign w:val="center"/>
            <w:hideMark/>
          </w:tcPr>
          <w:p w:rsidR="00A64028" w:rsidRPr="00EB3EA8" w:rsidRDefault="00A64028" w:rsidP="00103148">
            <w:pPr>
              <w:spacing w:after="0"/>
              <w:ind w:left="-57" w:right="-57"/>
              <w:jc w:val="center"/>
              <w:rPr>
                <w:rFonts w:ascii="Arial Narrow" w:hAnsi="Arial Narrow"/>
                <w:sz w:val="18"/>
                <w:szCs w:val="18"/>
              </w:rPr>
            </w:pPr>
            <w:r w:rsidRPr="00EB3EA8">
              <w:rPr>
                <w:rFonts w:ascii="Arial Narrow" w:hAnsi="Arial Narrow"/>
                <w:sz w:val="18"/>
                <w:szCs w:val="18"/>
              </w:rPr>
              <w:t>0,0%</w:t>
            </w:r>
          </w:p>
        </w:tc>
        <w:tc>
          <w:tcPr>
            <w:tcW w:w="567" w:type="dxa"/>
            <w:tcBorders>
              <w:top w:val="single" w:sz="4" w:space="0" w:color="auto"/>
              <w:left w:val="nil"/>
              <w:bottom w:val="single" w:sz="4" w:space="0" w:color="auto"/>
              <w:right w:val="single" w:sz="4" w:space="0" w:color="auto"/>
            </w:tcBorders>
            <w:noWrap/>
            <w:vAlign w:val="center"/>
            <w:hideMark/>
          </w:tcPr>
          <w:p w:rsidR="00A64028" w:rsidRPr="00EB3EA8" w:rsidRDefault="00A64028" w:rsidP="00103148">
            <w:pPr>
              <w:spacing w:after="0"/>
              <w:ind w:left="-57" w:right="-57"/>
              <w:jc w:val="center"/>
              <w:rPr>
                <w:rFonts w:ascii="Arial Narrow" w:hAnsi="Arial Narrow"/>
                <w:sz w:val="18"/>
                <w:szCs w:val="18"/>
              </w:rPr>
            </w:pPr>
            <w:r w:rsidRPr="00EB3EA8">
              <w:rPr>
                <w:rFonts w:ascii="Arial Narrow" w:hAnsi="Arial Narrow"/>
                <w:sz w:val="18"/>
                <w:szCs w:val="18"/>
              </w:rPr>
              <w:t>0,0%</w:t>
            </w:r>
          </w:p>
        </w:tc>
        <w:tc>
          <w:tcPr>
            <w:tcW w:w="567" w:type="dxa"/>
            <w:tcBorders>
              <w:top w:val="single" w:sz="4" w:space="0" w:color="auto"/>
              <w:left w:val="nil"/>
              <w:bottom w:val="single" w:sz="4" w:space="0" w:color="auto"/>
              <w:right w:val="single" w:sz="4" w:space="0" w:color="auto"/>
            </w:tcBorders>
            <w:noWrap/>
            <w:vAlign w:val="center"/>
            <w:hideMark/>
          </w:tcPr>
          <w:p w:rsidR="00A64028" w:rsidRPr="00EB3EA8" w:rsidRDefault="00A64028" w:rsidP="00103148">
            <w:pPr>
              <w:spacing w:after="0"/>
              <w:ind w:left="-57" w:right="-57"/>
              <w:jc w:val="center"/>
              <w:rPr>
                <w:rFonts w:ascii="Arial Narrow" w:hAnsi="Arial Narrow"/>
                <w:sz w:val="18"/>
                <w:szCs w:val="18"/>
              </w:rPr>
            </w:pPr>
            <w:r w:rsidRPr="00EB3EA8">
              <w:rPr>
                <w:rFonts w:ascii="Arial Narrow" w:hAnsi="Arial Narrow"/>
                <w:sz w:val="18"/>
                <w:szCs w:val="18"/>
              </w:rPr>
              <w:t>0,0%</w:t>
            </w:r>
          </w:p>
        </w:tc>
        <w:tc>
          <w:tcPr>
            <w:tcW w:w="426" w:type="dxa"/>
            <w:tcBorders>
              <w:top w:val="single" w:sz="4" w:space="0" w:color="auto"/>
              <w:left w:val="nil"/>
              <w:bottom w:val="single" w:sz="4" w:space="0" w:color="auto"/>
              <w:right w:val="single" w:sz="4" w:space="0" w:color="auto"/>
            </w:tcBorders>
            <w:noWrap/>
            <w:vAlign w:val="center"/>
            <w:hideMark/>
          </w:tcPr>
          <w:p w:rsidR="00A64028" w:rsidRPr="00EB3EA8" w:rsidRDefault="00A64028" w:rsidP="00103148">
            <w:pPr>
              <w:spacing w:after="0"/>
              <w:ind w:left="-57" w:right="-57"/>
              <w:jc w:val="center"/>
              <w:rPr>
                <w:rFonts w:ascii="Arial Narrow" w:hAnsi="Arial Narrow"/>
                <w:sz w:val="18"/>
                <w:szCs w:val="18"/>
              </w:rPr>
            </w:pPr>
            <w:r w:rsidRPr="00EB3EA8">
              <w:rPr>
                <w:rFonts w:ascii="Arial Narrow" w:hAnsi="Arial Narrow"/>
                <w:sz w:val="18"/>
                <w:szCs w:val="18"/>
              </w:rPr>
              <w:t>4,3%</w:t>
            </w:r>
          </w:p>
        </w:tc>
        <w:tc>
          <w:tcPr>
            <w:tcW w:w="567" w:type="dxa"/>
            <w:tcBorders>
              <w:top w:val="single" w:sz="4" w:space="0" w:color="auto"/>
              <w:left w:val="nil"/>
              <w:bottom w:val="single" w:sz="4" w:space="0" w:color="auto"/>
              <w:right w:val="single" w:sz="4" w:space="0" w:color="auto"/>
            </w:tcBorders>
            <w:noWrap/>
            <w:vAlign w:val="center"/>
            <w:hideMark/>
          </w:tcPr>
          <w:p w:rsidR="00A64028" w:rsidRPr="00EB3EA8" w:rsidRDefault="00A64028" w:rsidP="00103148">
            <w:pPr>
              <w:spacing w:after="0"/>
              <w:ind w:left="-57" w:right="-57"/>
              <w:jc w:val="center"/>
              <w:rPr>
                <w:rFonts w:ascii="Arial Narrow" w:hAnsi="Arial Narrow"/>
                <w:sz w:val="18"/>
                <w:szCs w:val="18"/>
              </w:rPr>
            </w:pPr>
            <w:r w:rsidRPr="00EB3EA8">
              <w:rPr>
                <w:rFonts w:ascii="Arial Narrow" w:hAnsi="Arial Narrow"/>
                <w:sz w:val="18"/>
                <w:szCs w:val="18"/>
              </w:rPr>
              <w:t>0,0%</w:t>
            </w:r>
          </w:p>
        </w:tc>
        <w:tc>
          <w:tcPr>
            <w:tcW w:w="567" w:type="dxa"/>
            <w:tcBorders>
              <w:top w:val="single" w:sz="4" w:space="0" w:color="auto"/>
              <w:left w:val="nil"/>
              <w:bottom w:val="single" w:sz="4" w:space="0" w:color="auto"/>
              <w:right w:val="single" w:sz="4" w:space="0" w:color="auto"/>
            </w:tcBorders>
            <w:noWrap/>
            <w:vAlign w:val="center"/>
            <w:hideMark/>
          </w:tcPr>
          <w:p w:rsidR="00A64028" w:rsidRPr="00EB3EA8" w:rsidRDefault="00A64028" w:rsidP="00103148">
            <w:pPr>
              <w:spacing w:after="0"/>
              <w:ind w:left="-57" w:right="-57"/>
              <w:jc w:val="center"/>
              <w:rPr>
                <w:rFonts w:ascii="Arial Narrow" w:hAnsi="Arial Narrow"/>
                <w:sz w:val="18"/>
                <w:szCs w:val="18"/>
              </w:rPr>
            </w:pPr>
            <w:r w:rsidRPr="00EB3EA8">
              <w:rPr>
                <w:rFonts w:ascii="Arial Narrow" w:hAnsi="Arial Narrow"/>
                <w:sz w:val="18"/>
                <w:szCs w:val="18"/>
              </w:rPr>
              <w:t>8,0%</w:t>
            </w:r>
          </w:p>
        </w:tc>
        <w:tc>
          <w:tcPr>
            <w:tcW w:w="567" w:type="dxa"/>
            <w:tcBorders>
              <w:top w:val="single" w:sz="4" w:space="0" w:color="auto"/>
              <w:left w:val="nil"/>
              <w:bottom w:val="single" w:sz="4" w:space="0" w:color="auto"/>
              <w:right w:val="single" w:sz="4" w:space="0" w:color="auto"/>
            </w:tcBorders>
            <w:noWrap/>
            <w:vAlign w:val="center"/>
            <w:hideMark/>
          </w:tcPr>
          <w:p w:rsidR="00A64028" w:rsidRPr="00EB3EA8" w:rsidRDefault="00A64028" w:rsidP="00103148">
            <w:pPr>
              <w:spacing w:after="0"/>
              <w:ind w:left="-57" w:right="-57"/>
              <w:jc w:val="center"/>
              <w:rPr>
                <w:rFonts w:ascii="Arial Narrow" w:hAnsi="Arial Narrow"/>
                <w:sz w:val="18"/>
                <w:szCs w:val="18"/>
              </w:rPr>
            </w:pPr>
            <w:r w:rsidRPr="00EB3EA8">
              <w:rPr>
                <w:rFonts w:ascii="Arial Narrow" w:hAnsi="Arial Narrow"/>
                <w:sz w:val="18"/>
                <w:szCs w:val="18"/>
              </w:rPr>
              <w:t>7,1%</w:t>
            </w:r>
          </w:p>
        </w:tc>
        <w:tc>
          <w:tcPr>
            <w:tcW w:w="567" w:type="dxa"/>
            <w:tcBorders>
              <w:top w:val="single" w:sz="4" w:space="0" w:color="auto"/>
              <w:left w:val="nil"/>
              <w:bottom w:val="single" w:sz="4" w:space="0" w:color="auto"/>
              <w:right w:val="single" w:sz="4" w:space="0" w:color="auto"/>
            </w:tcBorders>
            <w:noWrap/>
            <w:vAlign w:val="center"/>
            <w:hideMark/>
          </w:tcPr>
          <w:p w:rsidR="00A64028" w:rsidRPr="00EB3EA8" w:rsidRDefault="00A64028" w:rsidP="00103148">
            <w:pPr>
              <w:spacing w:after="0"/>
              <w:ind w:left="-57" w:right="-57"/>
              <w:jc w:val="center"/>
              <w:rPr>
                <w:rFonts w:ascii="Arial Narrow" w:hAnsi="Arial Narrow"/>
                <w:sz w:val="18"/>
                <w:szCs w:val="18"/>
              </w:rPr>
            </w:pPr>
            <w:r w:rsidRPr="00EB3EA8">
              <w:rPr>
                <w:rFonts w:ascii="Arial Narrow" w:hAnsi="Arial Narrow"/>
                <w:sz w:val="18"/>
                <w:szCs w:val="18"/>
              </w:rPr>
              <w:t>17,2%</w:t>
            </w:r>
          </w:p>
        </w:tc>
        <w:tc>
          <w:tcPr>
            <w:tcW w:w="567" w:type="dxa"/>
            <w:tcBorders>
              <w:top w:val="single" w:sz="4" w:space="0" w:color="auto"/>
              <w:left w:val="nil"/>
              <w:bottom w:val="single" w:sz="4" w:space="0" w:color="auto"/>
              <w:right w:val="single" w:sz="4" w:space="0" w:color="auto"/>
            </w:tcBorders>
            <w:noWrap/>
            <w:vAlign w:val="center"/>
            <w:hideMark/>
          </w:tcPr>
          <w:p w:rsidR="00A64028" w:rsidRPr="00EB3EA8" w:rsidRDefault="00A64028" w:rsidP="00103148">
            <w:pPr>
              <w:spacing w:after="0"/>
              <w:ind w:left="-57" w:right="-57"/>
              <w:jc w:val="center"/>
              <w:rPr>
                <w:rFonts w:ascii="Arial Narrow" w:hAnsi="Arial Narrow"/>
                <w:sz w:val="18"/>
                <w:szCs w:val="18"/>
              </w:rPr>
            </w:pPr>
            <w:r w:rsidRPr="00EB3EA8">
              <w:rPr>
                <w:rFonts w:ascii="Arial Narrow" w:hAnsi="Arial Narrow"/>
                <w:sz w:val="18"/>
                <w:szCs w:val="18"/>
              </w:rPr>
              <w:t>13,3%</w:t>
            </w:r>
          </w:p>
        </w:tc>
        <w:tc>
          <w:tcPr>
            <w:tcW w:w="567" w:type="dxa"/>
            <w:tcBorders>
              <w:top w:val="single" w:sz="4" w:space="0" w:color="auto"/>
              <w:left w:val="nil"/>
              <w:bottom w:val="single" w:sz="4" w:space="0" w:color="auto"/>
              <w:right w:val="single" w:sz="4" w:space="0" w:color="auto"/>
            </w:tcBorders>
            <w:noWrap/>
            <w:vAlign w:val="center"/>
            <w:hideMark/>
          </w:tcPr>
          <w:p w:rsidR="00A64028" w:rsidRPr="00EB3EA8" w:rsidRDefault="00A64028" w:rsidP="00103148">
            <w:pPr>
              <w:spacing w:after="0"/>
              <w:ind w:left="-57" w:right="-57"/>
              <w:jc w:val="center"/>
              <w:rPr>
                <w:rFonts w:ascii="Arial Narrow" w:hAnsi="Arial Narrow"/>
                <w:sz w:val="18"/>
                <w:szCs w:val="18"/>
              </w:rPr>
            </w:pPr>
            <w:r w:rsidRPr="00EB3EA8">
              <w:rPr>
                <w:rFonts w:ascii="Arial Narrow" w:hAnsi="Arial Narrow"/>
                <w:sz w:val="18"/>
                <w:szCs w:val="18"/>
              </w:rPr>
              <w:t>24,0%</w:t>
            </w:r>
          </w:p>
        </w:tc>
        <w:tc>
          <w:tcPr>
            <w:tcW w:w="567" w:type="dxa"/>
            <w:tcBorders>
              <w:top w:val="single" w:sz="4" w:space="0" w:color="auto"/>
              <w:left w:val="nil"/>
              <w:bottom w:val="single" w:sz="4" w:space="0" w:color="auto"/>
              <w:right w:val="single" w:sz="4" w:space="0" w:color="auto"/>
            </w:tcBorders>
            <w:noWrap/>
            <w:vAlign w:val="center"/>
            <w:hideMark/>
          </w:tcPr>
          <w:p w:rsidR="00A64028" w:rsidRPr="00EB3EA8" w:rsidRDefault="00A64028" w:rsidP="00103148">
            <w:pPr>
              <w:spacing w:after="0"/>
              <w:ind w:left="-57" w:right="-57"/>
              <w:jc w:val="center"/>
              <w:rPr>
                <w:rFonts w:ascii="Arial Narrow" w:hAnsi="Arial Narrow"/>
                <w:sz w:val="18"/>
                <w:szCs w:val="18"/>
              </w:rPr>
            </w:pPr>
            <w:r w:rsidRPr="00EB3EA8">
              <w:rPr>
                <w:rFonts w:ascii="Arial Narrow" w:hAnsi="Arial Narrow"/>
                <w:sz w:val="18"/>
                <w:szCs w:val="18"/>
              </w:rPr>
              <w:t>0,0%</w:t>
            </w:r>
          </w:p>
        </w:tc>
        <w:tc>
          <w:tcPr>
            <w:tcW w:w="992" w:type="dxa"/>
            <w:tcBorders>
              <w:top w:val="single" w:sz="4" w:space="0" w:color="auto"/>
              <w:left w:val="nil"/>
              <w:bottom w:val="single" w:sz="4" w:space="0" w:color="auto"/>
              <w:right w:val="single" w:sz="4" w:space="0" w:color="auto"/>
            </w:tcBorders>
            <w:noWrap/>
            <w:vAlign w:val="center"/>
            <w:hideMark/>
          </w:tcPr>
          <w:p w:rsidR="00A64028" w:rsidRPr="00EB3EA8" w:rsidRDefault="00A64028" w:rsidP="00103148">
            <w:pPr>
              <w:spacing w:after="0"/>
              <w:ind w:left="-57" w:right="-57"/>
              <w:jc w:val="center"/>
              <w:rPr>
                <w:rFonts w:ascii="Arial Narrow" w:hAnsi="Arial Narrow"/>
                <w:sz w:val="18"/>
                <w:szCs w:val="18"/>
              </w:rPr>
            </w:pPr>
            <w:r w:rsidRPr="00EB3EA8">
              <w:rPr>
                <w:rFonts w:ascii="Arial Narrow" w:hAnsi="Arial Narrow"/>
                <w:sz w:val="18"/>
                <w:szCs w:val="18"/>
              </w:rPr>
              <w:t>12,0%</w:t>
            </w:r>
          </w:p>
        </w:tc>
        <w:tc>
          <w:tcPr>
            <w:tcW w:w="567" w:type="dxa"/>
            <w:tcBorders>
              <w:top w:val="single" w:sz="4" w:space="0" w:color="auto"/>
              <w:left w:val="nil"/>
              <w:bottom w:val="single" w:sz="4" w:space="0" w:color="auto"/>
              <w:right w:val="single" w:sz="4" w:space="0" w:color="auto"/>
            </w:tcBorders>
            <w:noWrap/>
            <w:vAlign w:val="center"/>
            <w:hideMark/>
          </w:tcPr>
          <w:p w:rsidR="00A64028" w:rsidRPr="00EB3EA8" w:rsidRDefault="00A64028" w:rsidP="00103148">
            <w:pPr>
              <w:spacing w:after="0"/>
              <w:ind w:left="-57" w:right="-57"/>
              <w:jc w:val="center"/>
              <w:rPr>
                <w:rFonts w:ascii="Arial Narrow" w:hAnsi="Arial Narrow"/>
                <w:sz w:val="18"/>
                <w:szCs w:val="18"/>
              </w:rPr>
            </w:pPr>
            <w:r w:rsidRPr="00EB3EA8">
              <w:rPr>
                <w:rFonts w:ascii="Arial Narrow" w:hAnsi="Arial Narrow"/>
                <w:sz w:val="18"/>
                <w:szCs w:val="18"/>
              </w:rPr>
              <w:t>0,0%</w:t>
            </w:r>
          </w:p>
        </w:tc>
      </w:tr>
      <w:tr w:rsidR="00A64028" w:rsidRPr="00507E3F" w:rsidTr="00E82802">
        <w:tc>
          <w:tcPr>
            <w:tcW w:w="567" w:type="dxa"/>
            <w:tcBorders>
              <w:top w:val="single" w:sz="4" w:space="0" w:color="auto"/>
              <w:left w:val="single" w:sz="4" w:space="0" w:color="auto"/>
              <w:bottom w:val="single" w:sz="4" w:space="0" w:color="auto"/>
              <w:right w:val="single" w:sz="4" w:space="0" w:color="auto"/>
            </w:tcBorders>
            <w:vAlign w:val="center"/>
            <w:hideMark/>
          </w:tcPr>
          <w:p w:rsidR="00A64028" w:rsidRPr="00507E3F" w:rsidRDefault="00A64028" w:rsidP="00103148">
            <w:pPr>
              <w:spacing w:after="0"/>
              <w:ind w:left="-57" w:right="-57"/>
              <w:jc w:val="both"/>
              <w:rPr>
                <w:rFonts w:ascii="Arial Narrow" w:hAnsi="Arial Narrow"/>
                <w:sz w:val="20"/>
                <w:szCs w:val="20"/>
              </w:rPr>
            </w:pPr>
            <w:r w:rsidRPr="00507E3F">
              <w:rPr>
                <w:rFonts w:ascii="Arial Narrow" w:hAnsi="Arial Narrow"/>
                <w:sz w:val="20"/>
                <w:szCs w:val="20"/>
              </w:rPr>
              <w:t> </w:t>
            </w:r>
          </w:p>
        </w:tc>
        <w:tc>
          <w:tcPr>
            <w:tcW w:w="1277" w:type="dxa"/>
            <w:tcBorders>
              <w:top w:val="single" w:sz="4" w:space="0" w:color="auto"/>
              <w:left w:val="nil"/>
              <w:bottom w:val="single" w:sz="4" w:space="0" w:color="auto"/>
              <w:right w:val="single" w:sz="4" w:space="0" w:color="auto"/>
            </w:tcBorders>
            <w:vAlign w:val="center"/>
            <w:hideMark/>
          </w:tcPr>
          <w:p w:rsidR="00A64028" w:rsidRPr="00507E3F" w:rsidRDefault="00A64028" w:rsidP="00EB3EA8">
            <w:pPr>
              <w:spacing w:after="0"/>
              <w:ind w:left="143"/>
              <w:jc w:val="both"/>
              <w:rPr>
                <w:rFonts w:ascii="Arial Narrow" w:hAnsi="Arial Narrow"/>
                <w:sz w:val="20"/>
                <w:szCs w:val="20"/>
              </w:rPr>
            </w:pPr>
            <w:r w:rsidRPr="00507E3F">
              <w:rPr>
                <w:rFonts w:ascii="Arial Narrow" w:hAnsi="Arial Narrow"/>
                <w:sz w:val="20"/>
                <w:szCs w:val="20"/>
              </w:rPr>
              <w:t>Не изменилось</w:t>
            </w:r>
          </w:p>
        </w:tc>
        <w:tc>
          <w:tcPr>
            <w:tcW w:w="709" w:type="dxa"/>
            <w:tcBorders>
              <w:top w:val="single" w:sz="4" w:space="0" w:color="auto"/>
              <w:left w:val="nil"/>
              <w:bottom w:val="single" w:sz="4" w:space="0" w:color="auto"/>
              <w:right w:val="single" w:sz="4" w:space="0" w:color="auto"/>
            </w:tcBorders>
            <w:noWrap/>
            <w:vAlign w:val="center"/>
            <w:hideMark/>
          </w:tcPr>
          <w:p w:rsidR="00A64028" w:rsidRPr="00EB3EA8" w:rsidRDefault="00A64028" w:rsidP="00103148">
            <w:pPr>
              <w:spacing w:after="0"/>
              <w:ind w:left="-57" w:right="-57"/>
              <w:jc w:val="center"/>
              <w:rPr>
                <w:rFonts w:ascii="Arial Narrow" w:hAnsi="Arial Narrow"/>
                <w:sz w:val="18"/>
                <w:szCs w:val="18"/>
              </w:rPr>
            </w:pPr>
            <w:r w:rsidRPr="00EB3EA8">
              <w:rPr>
                <w:rFonts w:ascii="Arial Narrow" w:hAnsi="Arial Narrow"/>
                <w:sz w:val="18"/>
                <w:szCs w:val="18"/>
              </w:rPr>
              <w:t>38,8%</w:t>
            </w:r>
          </w:p>
        </w:tc>
        <w:tc>
          <w:tcPr>
            <w:tcW w:w="708" w:type="dxa"/>
            <w:tcBorders>
              <w:top w:val="single" w:sz="4" w:space="0" w:color="auto"/>
              <w:left w:val="nil"/>
              <w:bottom w:val="single" w:sz="4" w:space="0" w:color="auto"/>
              <w:right w:val="single" w:sz="4" w:space="0" w:color="auto"/>
            </w:tcBorders>
            <w:noWrap/>
            <w:vAlign w:val="center"/>
            <w:hideMark/>
          </w:tcPr>
          <w:p w:rsidR="00A64028" w:rsidRPr="00EB3EA8" w:rsidRDefault="00A64028" w:rsidP="00103148">
            <w:pPr>
              <w:spacing w:after="0"/>
              <w:ind w:left="-57" w:right="-57"/>
              <w:jc w:val="center"/>
              <w:rPr>
                <w:rFonts w:ascii="Arial Narrow" w:hAnsi="Arial Narrow"/>
                <w:sz w:val="18"/>
                <w:szCs w:val="18"/>
              </w:rPr>
            </w:pPr>
            <w:r w:rsidRPr="00EB3EA8">
              <w:rPr>
                <w:rFonts w:ascii="Arial Narrow" w:hAnsi="Arial Narrow"/>
                <w:sz w:val="18"/>
                <w:szCs w:val="18"/>
              </w:rPr>
              <w:t>60,0%</w:t>
            </w:r>
          </w:p>
        </w:tc>
        <w:tc>
          <w:tcPr>
            <w:tcW w:w="567" w:type="dxa"/>
            <w:tcBorders>
              <w:top w:val="single" w:sz="4" w:space="0" w:color="auto"/>
              <w:left w:val="nil"/>
              <w:bottom w:val="single" w:sz="4" w:space="0" w:color="auto"/>
              <w:right w:val="single" w:sz="4" w:space="0" w:color="auto"/>
            </w:tcBorders>
            <w:noWrap/>
            <w:vAlign w:val="center"/>
            <w:hideMark/>
          </w:tcPr>
          <w:p w:rsidR="00A64028" w:rsidRPr="00EB3EA8" w:rsidRDefault="00A64028" w:rsidP="00103148">
            <w:pPr>
              <w:spacing w:after="0"/>
              <w:ind w:left="-57" w:right="-57"/>
              <w:jc w:val="center"/>
              <w:rPr>
                <w:rFonts w:ascii="Arial Narrow" w:hAnsi="Arial Narrow"/>
                <w:sz w:val="18"/>
                <w:szCs w:val="18"/>
              </w:rPr>
            </w:pPr>
            <w:r w:rsidRPr="00EB3EA8">
              <w:rPr>
                <w:rFonts w:ascii="Arial Narrow" w:hAnsi="Arial Narrow"/>
                <w:sz w:val="18"/>
                <w:szCs w:val="18"/>
              </w:rPr>
              <w:t>60,0%</w:t>
            </w:r>
          </w:p>
        </w:tc>
        <w:tc>
          <w:tcPr>
            <w:tcW w:w="567" w:type="dxa"/>
            <w:tcBorders>
              <w:top w:val="single" w:sz="4" w:space="0" w:color="auto"/>
              <w:left w:val="nil"/>
              <w:bottom w:val="single" w:sz="4" w:space="0" w:color="auto"/>
              <w:right w:val="single" w:sz="4" w:space="0" w:color="auto"/>
            </w:tcBorders>
            <w:noWrap/>
            <w:vAlign w:val="center"/>
            <w:hideMark/>
          </w:tcPr>
          <w:p w:rsidR="00A64028" w:rsidRPr="00EB3EA8" w:rsidRDefault="00A64028" w:rsidP="00103148">
            <w:pPr>
              <w:spacing w:after="0"/>
              <w:ind w:left="-57" w:right="-57"/>
              <w:jc w:val="center"/>
              <w:rPr>
                <w:rFonts w:ascii="Arial Narrow" w:hAnsi="Arial Narrow"/>
                <w:sz w:val="18"/>
                <w:szCs w:val="18"/>
              </w:rPr>
            </w:pPr>
            <w:r w:rsidRPr="00EB3EA8">
              <w:rPr>
                <w:rFonts w:ascii="Arial Narrow" w:hAnsi="Arial Narrow"/>
                <w:sz w:val="18"/>
                <w:szCs w:val="18"/>
              </w:rPr>
              <w:t>44,0%</w:t>
            </w:r>
          </w:p>
        </w:tc>
        <w:tc>
          <w:tcPr>
            <w:tcW w:w="426" w:type="dxa"/>
            <w:tcBorders>
              <w:top w:val="single" w:sz="4" w:space="0" w:color="auto"/>
              <w:left w:val="nil"/>
              <w:bottom w:val="single" w:sz="4" w:space="0" w:color="auto"/>
              <w:right w:val="single" w:sz="4" w:space="0" w:color="auto"/>
            </w:tcBorders>
            <w:noWrap/>
            <w:vAlign w:val="center"/>
            <w:hideMark/>
          </w:tcPr>
          <w:p w:rsidR="00A64028" w:rsidRPr="00EB3EA8" w:rsidRDefault="00A64028" w:rsidP="00103148">
            <w:pPr>
              <w:spacing w:after="0"/>
              <w:ind w:left="-57" w:right="-57"/>
              <w:jc w:val="center"/>
              <w:rPr>
                <w:rFonts w:ascii="Arial Narrow" w:hAnsi="Arial Narrow"/>
                <w:sz w:val="18"/>
                <w:szCs w:val="18"/>
              </w:rPr>
            </w:pPr>
            <w:r w:rsidRPr="00EB3EA8">
              <w:rPr>
                <w:rFonts w:ascii="Arial Narrow" w:hAnsi="Arial Narrow"/>
                <w:sz w:val="18"/>
                <w:szCs w:val="18"/>
              </w:rPr>
              <w:t>42,9%</w:t>
            </w:r>
          </w:p>
        </w:tc>
        <w:tc>
          <w:tcPr>
            <w:tcW w:w="567" w:type="dxa"/>
            <w:tcBorders>
              <w:top w:val="single" w:sz="4" w:space="0" w:color="auto"/>
              <w:left w:val="nil"/>
              <w:bottom w:val="single" w:sz="4" w:space="0" w:color="auto"/>
              <w:right w:val="single" w:sz="4" w:space="0" w:color="auto"/>
            </w:tcBorders>
            <w:noWrap/>
            <w:vAlign w:val="center"/>
            <w:hideMark/>
          </w:tcPr>
          <w:p w:rsidR="00A64028" w:rsidRPr="00EB3EA8" w:rsidRDefault="00A64028" w:rsidP="00103148">
            <w:pPr>
              <w:spacing w:after="0"/>
              <w:ind w:left="-57" w:right="-57"/>
              <w:jc w:val="center"/>
              <w:rPr>
                <w:rFonts w:ascii="Arial Narrow" w:hAnsi="Arial Narrow"/>
                <w:sz w:val="18"/>
                <w:szCs w:val="18"/>
              </w:rPr>
            </w:pPr>
            <w:r w:rsidRPr="00EB3EA8">
              <w:rPr>
                <w:rFonts w:ascii="Arial Narrow" w:hAnsi="Arial Narrow"/>
                <w:sz w:val="18"/>
                <w:szCs w:val="18"/>
              </w:rPr>
              <w:t>72,0%</w:t>
            </w:r>
          </w:p>
        </w:tc>
        <w:tc>
          <w:tcPr>
            <w:tcW w:w="567" w:type="dxa"/>
            <w:tcBorders>
              <w:top w:val="single" w:sz="4" w:space="0" w:color="auto"/>
              <w:left w:val="nil"/>
              <w:bottom w:val="single" w:sz="4" w:space="0" w:color="auto"/>
              <w:right w:val="single" w:sz="4" w:space="0" w:color="auto"/>
            </w:tcBorders>
            <w:noWrap/>
            <w:vAlign w:val="center"/>
            <w:hideMark/>
          </w:tcPr>
          <w:p w:rsidR="00A64028" w:rsidRPr="00EB3EA8" w:rsidRDefault="00A64028" w:rsidP="00103148">
            <w:pPr>
              <w:spacing w:after="0"/>
              <w:ind w:left="-57" w:right="-57"/>
              <w:jc w:val="center"/>
              <w:rPr>
                <w:rFonts w:ascii="Arial Narrow" w:hAnsi="Arial Narrow"/>
                <w:sz w:val="18"/>
                <w:szCs w:val="18"/>
              </w:rPr>
            </w:pPr>
            <w:r w:rsidRPr="00EB3EA8">
              <w:rPr>
                <w:rFonts w:ascii="Arial Narrow" w:hAnsi="Arial Narrow"/>
                <w:sz w:val="18"/>
                <w:szCs w:val="18"/>
              </w:rPr>
              <w:t>44,0%</w:t>
            </w:r>
          </w:p>
        </w:tc>
        <w:tc>
          <w:tcPr>
            <w:tcW w:w="567" w:type="dxa"/>
            <w:tcBorders>
              <w:top w:val="single" w:sz="4" w:space="0" w:color="auto"/>
              <w:left w:val="nil"/>
              <w:bottom w:val="single" w:sz="4" w:space="0" w:color="auto"/>
              <w:right w:val="single" w:sz="4" w:space="0" w:color="auto"/>
            </w:tcBorders>
            <w:noWrap/>
            <w:vAlign w:val="center"/>
            <w:hideMark/>
          </w:tcPr>
          <w:p w:rsidR="00A64028" w:rsidRPr="00EB3EA8" w:rsidRDefault="00A64028" w:rsidP="00103148">
            <w:pPr>
              <w:spacing w:after="0"/>
              <w:ind w:left="-57" w:right="-57"/>
              <w:jc w:val="center"/>
              <w:rPr>
                <w:rFonts w:ascii="Arial Narrow" w:hAnsi="Arial Narrow"/>
                <w:sz w:val="18"/>
                <w:szCs w:val="18"/>
              </w:rPr>
            </w:pPr>
            <w:r w:rsidRPr="00EB3EA8">
              <w:rPr>
                <w:rFonts w:ascii="Arial Narrow" w:hAnsi="Arial Narrow"/>
                <w:sz w:val="18"/>
                <w:szCs w:val="18"/>
              </w:rPr>
              <w:t>60,0%</w:t>
            </w:r>
          </w:p>
        </w:tc>
        <w:tc>
          <w:tcPr>
            <w:tcW w:w="567" w:type="dxa"/>
            <w:tcBorders>
              <w:top w:val="single" w:sz="4" w:space="0" w:color="auto"/>
              <w:left w:val="nil"/>
              <w:bottom w:val="single" w:sz="4" w:space="0" w:color="auto"/>
              <w:right w:val="single" w:sz="4" w:space="0" w:color="auto"/>
            </w:tcBorders>
            <w:noWrap/>
            <w:vAlign w:val="center"/>
            <w:hideMark/>
          </w:tcPr>
          <w:p w:rsidR="00A64028" w:rsidRPr="00EB3EA8" w:rsidRDefault="00A64028" w:rsidP="00103148">
            <w:pPr>
              <w:spacing w:after="0"/>
              <w:ind w:left="-57" w:right="-57"/>
              <w:jc w:val="center"/>
              <w:rPr>
                <w:rFonts w:ascii="Arial Narrow" w:hAnsi="Arial Narrow"/>
                <w:sz w:val="18"/>
                <w:szCs w:val="18"/>
              </w:rPr>
            </w:pPr>
            <w:r w:rsidRPr="00EB3EA8">
              <w:rPr>
                <w:rFonts w:ascii="Arial Narrow" w:hAnsi="Arial Narrow"/>
                <w:sz w:val="18"/>
                <w:szCs w:val="18"/>
              </w:rPr>
              <w:t>27,8%</w:t>
            </w:r>
          </w:p>
        </w:tc>
        <w:tc>
          <w:tcPr>
            <w:tcW w:w="567" w:type="dxa"/>
            <w:tcBorders>
              <w:top w:val="single" w:sz="4" w:space="0" w:color="auto"/>
              <w:left w:val="nil"/>
              <w:bottom w:val="single" w:sz="4" w:space="0" w:color="auto"/>
              <w:right w:val="single" w:sz="4" w:space="0" w:color="auto"/>
            </w:tcBorders>
            <w:noWrap/>
            <w:vAlign w:val="center"/>
            <w:hideMark/>
          </w:tcPr>
          <w:p w:rsidR="00A64028" w:rsidRPr="00EB3EA8" w:rsidRDefault="00A64028" w:rsidP="00103148">
            <w:pPr>
              <w:spacing w:after="0"/>
              <w:ind w:left="-57" w:right="-57"/>
              <w:jc w:val="center"/>
              <w:rPr>
                <w:rFonts w:ascii="Arial Narrow" w:hAnsi="Arial Narrow"/>
                <w:sz w:val="18"/>
                <w:szCs w:val="18"/>
              </w:rPr>
            </w:pPr>
            <w:r w:rsidRPr="00EB3EA8">
              <w:rPr>
                <w:rFonts w:ascii="Arial Narrow" w:hAnsi="Arial Narrow"/>
                <w:sz w:val="18"/>
                <w:szCs w:val="18"/>
              </w:rPr>
              <w:t>23,3%</w:t>
            </w:r>
          </w:p>
        </w:tc>
        <w:tc>
          <w:tcPr>
            <w:tcW w:w="567" w:type="dxa"/>
            <w:tcBorders>
              <w:top w:val="single" w:sz="4" w:space="0" w:color="auto"/>
              <w:left w:val="nil"/>
              <w:bottom w:val="single" w:sz="4" w:space="0" w:color="auto"/>
              <w:right w:val="single" w:sz="4" w:space="0" w:color="auto"/>
            </w:tcBorders>
            <w:noWrap/>
            <w:vAlign w:val="center"/>
            <w:hideMark/>
          </w:tcPr>
          <w:p w:rsidR="00A64028" w:rsidRPr="00EB3EA8" w:rsidRDefault="00A64028" w:rsidP="00103148">
            <w:pPr>
              <w:spacing w:after="0"/>
              <w:ind w:left="-57" w:right="-57"/>
              <w:jc w:val="center"/>
              <w:rPr>
                <w:rFonts w:ascii="Arial Narrow" w:hAnsi="Arial Narrow"/>
                <w:sz w:val="18"/>
                <w:szCs w:val="18"/>
              </w:rPr>
            </w:pPr>
            <w:r w:rsidRPr="00EB3EA8">
              <w:rPr>
                <w:rFonts w:ascii="Arial Narrow" w:hAnsi="Arial Narrow"/>
                <w:sz w:val="18"/>
                <w:szCs w:val="18"/>
              </w:rPr>
              <w:t>24,0%</w:t>
            </w:r>
          </w:p>
        </w:tc>
        <w:tc>
          <w:tcPr>
            <w:tcW w:w="567" w:type="dxa"/>
            <w:tcBorders>
              <w:top w:val="single" w:sz="4" w:space="0" w:color="auto"/>
              <w:left w:val="nil"/>
              <w:bottom w:val="single" w:sz="4" w:space="0" w:color="auto"/>
              <w:right w:val="single" w:sz="4" w:space="0" w:color="auto"/>
            </w:tcBorders>
            <w:noWrap/>
            <w:vAlign w:val="center"/>
            <w:hideMark/>
          </w:tcPr>
          <w:p w:rsidR="00A64028" w:rsidRPr="00EB3EA8" w:rsidRDefault="00A64028" w:rsidP="00103148">
            <w:pPr>
              <w:spacing w:after="0"/>
              <w:ind w:left="-57" w:right="-57"/>
              <w:jc w:val="center"/>
              <w:rPr>
                <w:rFonts w:ascii="Arial Narrow" w:hAnsi="Arial Narrow"/>
                <w:sz w:val="18"/>
                <w:szCs w:val="18"/>
              </w:rPr>
            </w:pPr>
            <w:r w:rsidRPr="00EB3EA8">
              <w:rPr>
                <w:rFonts w:ascii="Arial Narrow" w:hAnsi="Arial Narrow"/>
                <w:sz w:val="18"/>
                <w:szCs w:val="18"/>
              </w:rPr>
              <w:t>60,0%</w:t>
            </w:r>
          </w:p>
        </w:tc>
        <w:tc>
          <w:tcPr>
            <w:tcW w:w="992" w:type="dxa"/>
            <w:tcBorders>
              <w:top w:val="single" w:sz="4" w:space="0" w:color="auto"/>
              <w:left w:val="nil"/>
              <w:bottom w:val="single" w:sz="4" w:space="0" w:color="auto"/>
              <w:right w:val="single" w:sz="4" w:space="0" w:color="auto"/>
            </w:tcBorders>
            <w:noWrap/>
            <w:vAlign w:val="center"/>
            <w:hideMark/>
          </w:tcPr>
          <w:p w:rsidR="00A64028" w:rsidRPr="00EB3EA8" w:rsidRDefault="00A64028" w:rsidP="00103148">
            <w:pPr>
              <w:spacing w:after="0"/>
              <w:ind w:left="-57" w:right="-57"/>
              <w:jc w:val="center"/>
              <w:rPr>
                <w:rFonts w:ascii="Arial Narrow" w:hAnsi="Arial Narrow"/>
                <w:sz w:val="18"/>
                <w:szCs w:val="18"/>
              </w:rPr>
            </w:pPr>
            <w:r w:rsidRPr="00EB3EA8">
              <w:rPr>
                <w:rFonts w:ascii="Arial Narrow" w:hAnsi="Arial Narrow"/>
                <w:sz w:val="18"/>
                <w:szCs w:val="18"/>
              </w:rPr>
              <w:t>49,0%</w:t>
            </w:r>
          </w:p>
        </w:tc>
        <w:tc>
          <w:tcPr>
            <w:tcW w:w="567" w:type="dxa"/>
            <w:tcBorders>
              <w:top w:val="single" w:sz="4" w:space="0" w:color="auto"/>
              <w:left w:val="nil"/>
              <w:bottom w:val="single" w:sz="4" w:space="0" w:color="auto"/>
              <w:right w:val="single" w:sz="4" w:space="0" w:color="auto"/>
            </w:tcBorders>
            <w:noWrap/>
            <w:vAlign w:val="center"/>
            <w:hideMark/>
          </w:tcPr>
          <w:p w:rsidR="00A64028" w:rsidRPr="00EB3EA8" w:rsidRDefault="00A64028" w:rsidP="00103148">
            <w:pPr>
              <w:spacing w:after="0"/>
              <w:ind w:left="-57" w:right="-57"/>
              <w:jc w:val="center"/>
              <w:rPr>
                <w:rFonts w:ascii="Arial Narrow" w:hAnsi="Arial Narrow"/>
                <w:sz w:val="18"/>
                <w:szCs w:val="18"/>
              </w:rPr>
            </w:pPr>
            <w:r w:rsidRPr="00EB3EA8">
              <w:rPr>
                <w:rFonts w:ascii="Arial Narrow" w:hAnsi="Arial Narrow"/>
                <w:sz w:val="18"/>
                <w:szCs w:val="18"/>
              </w:rPr>
              <w:t>40,0%</w:t>
            </w:r>
          </w:p>
        </w:tc>
      </w:tr>
    </w:tbl>
    <w:p w:rsidR="00E82802" w:rsidRDefault="00E82802" w:rsidP="00103148">
      <w:pPr>
        <w:spacing w:after="0" w:line="360" w:lineRule="auto"/>
        <w:ind w:firstLine="284"/>
        <w:jc w:val="both"/>
        <w:rPr>
          <w:rFonts w:ascii="Arial Narrow" w:hAnsi="Arial Narrow"/>
          <w:b/>
          <w:sz w:val="24"/>
          <w:szCs w:val="24"/>
        </w:rPr>
      </w:pPr>
    </w:p>
    <w:p w:rsidR="00A64028" w:rsidRPr="009B4A85" w:rsidRDefault="00A64028" w:rsidP="00103148">
      <w:pPr>
        <w:spacing w:after="0" w:line="360" w:lineRule="auto"/>
        <w:ind w:firstLine="284"/>
        <w:jc w:val="both"/>
        <w:rPr>
          <w:rFonts w:ascii="Arial Narrow" w:hAnsi="Arial Narrow"/>
          <w:b/>
          <w:sz w:val="24"/>
          <w:szCs w:val="24"/>
        </w:rPr>
      </w:pPr>
      <w:r w:rsidRPr="009B4A85">
        <w:rPr>
          <w:rFonts w:ascii="Arial Narrow" w:hAnsi="Arial Narrow"/>
          <w:b/>
          <w:sz w:val="24"/>
          <w:szCs w:val="24"/>
        </w:rPr>
        <w:t>Значение показателя 1.2.6. Наличие фактов ценового демпинга за 2015–2016 гг. (% от числа участников рынков).</w:t>
      </w:r>
    </w:p>
    <w:p w:rsidR="00A64028" w:rsidRPr="009B4A85" w:rsidRDefault="00A64028" w:rsidP="00103148">
      <w:pPr>
        <w:spacing w:after="0" w:line="360" w:lineRule="auto"/>
        <w:ind w:firstLine="284"/>
        <w:jc w:val="both"/>
        <w:rPr>
          <w:rFonts w:ascii="Arial Narrow" w:hAnsi="Arial Narrow"/>
          <w:sz w:val="24"/>
          <w:szCs w:val="24"/>
        </w:rPr>
      </w:pPr>
      <w:r w:rsidRPr="009B4A85">
        <w:rPr>
          <w:rFonts w:ascii="Arial Narrow" w:hAnsi="Arial Narrow"/>
          <w:sz w:val="24"/>
          <w:szCs w:val="24"/>
        </w:rPr>
        <w:t>Факты ценового демпинга на своих рынках в 2015 г. отметили 48,3 % представителей субъектов предпринимательства, в 2016 г. – 50,2 %. В наибольшей степени ценовой демпинг распространен на рынке услуг в сфере культуры (68 %). Ни один из участников рынка услуг детского отдыха и оздоровления не отметил фактов ценового демпинга. На остальных рынках распространенность ценового демпинга варьируется от 20 % до 56 %.</w:t>
      </w:r>
    </w:p>
    <w:p w:rsidR="00A64028" w:rsidRPr="009B4A85" w:rsidRDefault="00A64028" w:rsidP="00103148">
      <w:pPr>
        <w:spacing w:after="0" w:line="360" w:lineRule="auto"/>
        <w:ind w:firstLine="284"/>
        <w:jc w:val="both"/>
        <w:rPr>
          <w:rFonts w:ascii="Arial Narrow" w:hAnsi="Arial Narrow"/>
          <w:sz w:val="24"/>
          <w:szCs w:val="24"/>
        </w:rPr>
      </w:pPr>
      <w:r w:rsidRPr="009B4A85">
        <w:rPr>
          <w:rFonts w:ascii="Arial Narrow" w:hAnsi="Arial Narrow"/>
          <w:sz w:val="24"/>
          <w:szCs w:val="24"/>
        </w:rPr>
        <w:t>Значительного роста распространенности фактов ценового демпинга в 2016 г. по сравнению с 2015 г. в целом по Новосибирской области не наблюдается. Но на отдельных рынках можно выделить как рост (рынок услуг психолого-педагогического сопровождения детей с ограниченными возможностями здоровья (в 1,5 раза), рынок развития, производства, переработки и хранения сельскохозяйственной продукции, рынок дополнительного образования детей), так и снижение количества фактов ценового демпинга (рынок услуг дошкольного образования (в 2 раза), рынок услуг связи).</w:t>
      </w:r>
    </w:p>
    <w:p w:rsidR="00507E3F" w:rsidRDefault="00507E3F">
      <w:pPr>
        <w:rPr>
          <w:rFonts w:ascii="Arial Narrow" w:eastAsia="Calibri" w:hAnsi="Arial Narrow"/>
          <w:sz w:val="24"/>
          <w:szCs w:val="24"/>
        </w:rPr>
      </w:pPr>
      <w:r>
        <w:rPr>
          <w:rFonts w:ascii="Arial Narrow" w:eastAsia="Calibri" w:hAnsi="Arial Narrow"/>
          <w:sz w:val="24"/>
          <w:szCs w:val="24"/>
        </w:rPr>
        <w:br w:type="page"/>
      </w:r>
    </w:p>
    <w:p w:rsidR="00A64028" w:rsidRPr="009B4A85" w:rsidRDefault="00A64028" w:rsidP="00103148">
      <w:pPr>
        <w:spacing w:after="0"/>
        <w:rPr>
          <w:rFonts w:ascii="Arial Narrow" w:hAnsi="Arial Narrow"/>
          <w:sz w:val="24"/>
          <w:szCs w:val="24"/>
        </w:rPr>
      </w:pPr>
      <w:r>
        <w:rPr>
          <w:rFonts w:ascii="Arial Narrow" w:eastAsia="Calibri" w:hAnsi="Arial Narrow"/>
          <w:sz w:val="24"/>
          <w:szCs w:val="24"/>
        </w:rPr>
        <w:lastRenderedPageBreak/>
        <w:t xml:space="preserve">Таблица </w:t>
      </w:r>
      <w:r w:rsidR="00262F71">
        <w:rPr>
          <w:rFonts w:ascii="Arial Narrow" w:eastAsia="Calibri" w:hAnsi="Arial Narrow"/>
          <w:sz w:val="24"/>
          <w:szCs w:val="24"/>
        </w:rPr>
        <w:t>7.21.</w:t>
      </w:r>
      <w:r w:rsidRPr="009B4A85">
        <w:rPr>
          <w:rFonts w:ascii="Arial Narrow" w:eastAsia="Calibri" w:hAnsi="Arial Narrow"/>
          <w:sz w:val="24"/>
          <w:szCs w:val="24"/>
        </w:rPr>
        <w:t xml:space="preserve"> – </w:t>
      </w:r>
      <w:r w:rsidRPr="009B4A85">
        <w:rPr>
          <w:rFonts w:ascii="Arial Narrow" w:hAnsi="Arial Narrow"/>
          <w:b/>
          <w:sz w:val="24"/>
          <w:szCs w:val="24"/>
        </w:rPr>
        <w:t>Значение показателя 1.2.6. Наличие фактов ценового демпинга за 2015–2016 гг. (% от числа участников рынков)</w:t>
      </w:r>
    </w:p>
    <w:tbl>
      <w:tblPr>
        <w:tblW w:w="10495"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435"/>
        <w:gridCol w:w="1419"/>
        <w:gridCol w:w="840"/>
        <w:gridCol w:w="850"/>
        <w:gridCol w:w="609"/>
        <w:gridCol w:w="513"/>
        <w:gridCol w:w="512"/>
        <w:gridCol w:w="647"/>
        <w:gridCol w:w="512"/>
        <w:gridCol w:w="513"/>
        <w:gridCol w:w="512"/>
        <w:gridCol w:w="513"/>
        <w:gridCol w:w="512"/>
        <w:gridCol w:w="513"/>
        <w:gridCol w:w="744"/>
        <w:gridCol w:w="851"/>
      </w:tblGrid>
      <w:tr w:rsidR="00A64028" w:rsidRPr="00A45259" w:rsidTr="001820C5">
        <w:trPr>
          <w:cantSplit/>
          <w:trHeight w:val="3648"/>
        </w:trPr>
        <w:tc>
          <w:tcPr>
            <w:tcW w:w="435" w:type="dxa"/>
            <w:vAlign w:val="center"/>
            <w:hideMark/>
          </w:tcPr>
          <w:p w:rsidR="00A64028" w:rsidRPr="00A45259" w:rsidRDefault="00A64028" w:rsidP="00103148">
            <w:pPr>
              <w:spacing w:after="0" w:line="254" w:lineRule="auto"/>
              <w:jc w:val="center"/>
              <w:rPr>
                <w:rFonts w:ascii="Arial Narrow" w:hAnsi="Arial Narrow" w:cs="Arial"/>
                <w:sz w:val="20"/>
                <w:szCs w:val="20"/>
              </w:rPr>
            </w:pPr>
            <w:r w:rsidRPr="00A45259">
              <w:rPr>
                <w:rFonts w:ascii="Arial Narrow" w:hAnsi="Arial Narrow" w:cs="Arial"/>
                <w:sz w:val="20"/>
                <w:szCs w:val="20"/>
              </w:rPr>
              <w:t>№</w:t>
            </w:r>
          </w:p>
        </w:tc>
        <w:tc>
          <w:tcPr>
            <w:tcW w:w="1419" w:type="dxa"/>
            <w:vAlign w:val="center"/>
            <w:hideMark/>
          </w:tcPr>
          <w:p w:rsidR="00A64028" w:rsidRPr="00A45259" w:rsidRDefault="00A64028" w:rsidP="00103148">
            <w:pPr>
              <w:spacing w:after="0" w:line="254" w:lineRule="auto"/>
              <w:ind w:left="148" w:right="141"/>
              <w:rPr>
                <w:rFonts w:ascii="Arial Narrow" w:hAnsi="Arial Narrow" w:cs="Arial"/>
                <w:sz w:val="20"/>
                <w:szCs w:val="20"/>
              </w:rPr>
            </w:pPr>
            <w:r w:rsidRPr="00A45259">
              <w:rPr>
                <w:rFonts w:ascii="Arial Narrow" w:hAnsi="Arial Narrow" w:cs="Arial"/>
                <w:sz w:val="20"/>
                <w:szCs w:val="20"/>
              </w:rPr>
              <w:t>Наименование показателя, единица измерения</w:t>
            </w:r>
          </w:p>
        </w:tc>
        <w:tc>
          <w:tcPr>
            <w:tcW w:w="840" w:type="dxa"/>
            <w:textDirection w:val="btLr"/>
            <w:vAlign w:val="center"/>
          </w:tcPr>
          <w:p w:rsidR="00A64028" w:rsidRPr="00A45259" w:rsidRDefault="00A64028" w:rsidP="00086001">
            <w:pPr>
              <w:spacing w:after="0"/>
              <w:ind w:left="113" w:right="113"/>
              <w:jc w:val="center"/>
              <w:rPr>
                <w:rFonts w:ascii="Arial Narrow" w:hAnsi="Arial Narrow" w:cs="Arial"/>
                <w:sz w:val="20"/>
                <w:szCs w:val="20"/>
              </w:rPr>
            </w:pPr>
            <w:r w:rsidRPr="00A45259">
              <w:rPr>
                <w:rFonts w:ascii="Arial Narrow" w:hAnsi="Arial Narrow" w:cs="Arial"/>
                <w:sz w:val="20"/>
                <w:szCs w:val="20"/>
              </w:rPr>
              <w:t>Общий по Новосибирской области</w:t>
            </w:r>
          </w:p>
        </w:tc>
        <w:tc>
          <w:tcPr>
            <w:tcW w:w="850" w:type="dxa"/>
            <w:noWrap/>
            <w:textDirection w:val="btLr"/>
            <w:vAlign w:val="center"/>
            <w:hideMark/>
          </w:tcPr>
          <w:p w:rsidR="00A64028" w:rsidRPr="00507E3F" w:rsidRDefault="00A64028" w:rsidP="00103148">
            <w:pPr>
              <w:spacing w:after="0"/>
              <w:ind w:left="113" w:right="113"/>
              <w:jc w:val="center"/>
              <w:rPr>
                <w:rFonts w:ascii="Arial Narrow" w:hAnsi="Arial Narrow" w:cs="Arial"/>
                <w:sz w:val="18"/>
                <w:szCs w:val="18"/>
              </w:rPr>
            </w:pPr>
            <w:r w:rsidRPr="00507E3F">
              <w:rPr>
                <w:rFonts w:ascii="Arial Narrow" w:hAnsi="Arial Narrow" w:cs="Arial"/>
                <w:sz w:val="18"/>
                <w:szCs w:val="18"/>
              </w:rPr>
              <w:t>Рынок услуг дошкольного образования (коммерческие детские сады и учреждения пребывания неполного дня)</w:t>
            </w:r>
          </w:p>
        </w:tc>
        <w:tc>
          <w:tcPr>
            <w:tcW w:w="609" w:type="dxa"/>
            <w:noWrap/>
            <w:textDirection w:val="btLr"/>
            <w:vAlign w:val="center"/>
            <w:hideMark/>
          </w:tcPr>
          <w:p w:rsidR="00A64028" w:rsidRPr="00507E3F" w:rsidRDefault="00A64028" w:rsidP="00103148">
            <w:pPr>
              <w:spacing w:after="0"/>
              <w:ind w:left="113" w:right="113"/>
              <w:jc w:val="center"/>
              <w:rPr>
                <w:rFonts w:ascii="Arial Narrow" w:hAnsi="Arial Narrow" w:cs="Arial"/>
                <w:sz w:val="18"/>
                <w:szCs w:val="18"/>
              </w:rPr>
            </w:pPr>
            <w:r w:rsidRPr="00507E3F">
              <w:rPr>
                <w:rFonts w:ascii="Arial Narrow" w:hAnsi="Arial Narrow" w:cs="Arial"/>
                <w:sz w:val="18"/>
                <w:szCs w:val="18"/>
              </w:rPr>
              <w:t>Рынок услуг детского отдыха и оздоровления</w:t>
            </w:r>
          </w:p>
        </w:tc>
        <w:tc>
          <w:tcPr>
            <w:tcW w:w="513" w:type="dxa"/>
            <w:noWrap/>
            <w:textDirection w:val="btLr"/>
            <w:vAlign w:val="center"/>
            <w:hideMark/>
          </w:tcPr>
          <w:p w:rsidR="00A64028" w:rsidRPr="00507E3F" w:rsidRDefault="00A64028" w:rsidP="00103148">
            <w:pPr>
              <w:spacing w:after="0"/>
              <w:ind w:left="113" w:right="113"/>
              <w:jc w:val="center"/>
              <w:rPr>
                <w:rFonts w:ascii="Arial Narrow" w:hAnsi="Arial Narrow" w:cs="Arial"/>
                <w:sz w:val="18"/>
                <w:szCs w:val="18"/>
              </w:rPr>
            </w:pPr>
            <w:r w:rsidRPr="00507E3F">
              <w:rPr>
                <w:rFonts w:ascii="Arial Narrow" w:hAnsi="Arial Narrow" w:cs="Arial"/>
                <w:sz w:val="18"/>
                <w:szCs w:val="18"/>
              </w:rPr>
              <w:t>Рынок дополнительного образования детей</w:t>
            </w:r>
          </w:p>
        </w:tc>
        <w:tc>
          <w:tcPr>
            <w:tcW w:w="512" w:type="dxa"/>
            <w:noWrap/>
            <w:textDirection w:val="btLr"/>
            <w:vAlign w:val="center"/>
            <w:hideMark/>
          </w:tcPr>
          <w:p w:rsidR="00A64028" w:rsidRPr="00507E3F" w:rsidRDefault="00A64028" w:rsidP="00103148">
            <w:pPr>
              <w:spacing w:after="0"/>
              <w:ind w:left="113" w:right="113"/>
              <w:jc w:val="center"/>
              <w:rPr>
                <w:rFonts w:ascii="Arial Narrow" w:hAnsi="Arial Narrow" w:cs="Arial"/>
                <w:sz w:val="18"/>
                <w:szCs w:val="18"/>
              </w:rPr>
            </w:pPr>
            <w:r w:rsidRPr="00507E3F">
              <w:rPr>
                <w:rFonts w:ascii="Arial Narrow" w:hAnsi="Arial Narrow" w:cs="Arial"/>
                <w:sz w:val="18"/>
                <w:szCs w:val="18"/>
              </w:rPr>
              <w:t>Рынок медицинских услуг</w:t>
            </w:r>
          </w:p>
        </w:tc>
        <w:tc>
          <w:tcPr>
            <w:tcW w:w="647" w:type="dxa"/>
            <w:noWrap/>
            <w:textDirection w:val="btLr"/>
            <w:vAlign w:val="center"/>
            <w:hideMark/>
          </w:tcPr>
          <w:p w:rsidR="00A64028" w:rsidRPr="00507E3F" w:rsidRDefault="00A64028" w:rsidP="00103148">
            <w:pPr>
              <w:spacing w:after="0"/>
              <w:ind w:left="113" w:right="113"/>
              <w:jc w:val="center"/>
              <w:rPr>
                <w:rFonts w:ascii="Arial Narrow" w:hAnsi="Arial Narrow" w:cs="Arial"/>
                <w:sz w:val="18"/>
                <w:szCs w:val="18"/>
              </w:rPr>
            </w:pPr>
            <w:r w:rsidRPr="00507E3F">
              <w:rPr>
                <w:rFonts w:ascii="Arial Narrow" w:hAnsi="Arial Narrow" w:cs="Arial"/>
                <w:sz w:val="18"/>
                <w:szCs w:val="18"/>
              </w:rPr>
              <w:t>Рынок услуг психолого-педагогического сопровождения детей с ограниченными возможностями здоровья</w:t>
            </w:r>
          </w:p>
        </w:tc>
        <w:tc>
          <w:tcPr>
            <w:tcW w:w="512" w:type="dxa"/>
            <w:noWrap/>
            <w:textDirection w:val="btLr"/>
            <w:vAlign w:val="center"/>
            <w:hideMark/>
          </w:tcPr>
          <w:p w:rsidR="00A64028" w:rsidRPr="00507E3F" w:rsidRDefault="00A64028" w:rsidP="00103148">
            <w:pPr>
              <w:spacing w:after="0"/>
              <w:ind w:left="113" w:right="113"/>
              <w:jc w:val="center"/>
              <w:rPr>
                <w:rFonts w:ascii="Arial Narrow" w:hAnsi="Arial Narrow" w:cs="Arial"/>
                <w:sz w:val="18"/>
                <w:szCs w:val="18"/>
              </w:rPr>
            </w:pPr>
            <w:r w:rsidRPr="00507E3F">
              <w:rPr>
                <w:rFonts w:ascii="Arial Narrow" w:hAnsi="Arial Narrow" w:cs="Arial"/>
                <w:sz w:val="18"/>
                <w:szCs w:val="18"/>
              </w:rPr>
              <w:t>Рынок услуг в сфере культуры</w:t>
            </w:r>
          </w:p>
        </w:tc>
        <w:tc>
          <w:tcPr>
            <w:tcW w:w="513" w:type="dxa"/>
            <w:noWrap/>
            <w:textDirection w:val="btLr"/>
            <w:vAlign w:val="center"/>
            <w:hideMark/>
          </w:tcPr>
          <w:p w:rsidR="00A64028" w:rsidRPr="00507E3F" w:rsidRDefault="00A64028" w:rsidP="00103148">
            <w:pPr>
              <w:spacing w:after="0"/>
              <w:ind w:left="113" w:right="113"/>
              <w:jc w:val="center"/>
              <w:rPr>
                <w:rFonts w:ascii="Arial Narrow" w:hAnsi="Arial Narrow" w:cs="Arial"/>
                <w:sz w:val="18"/>
                <w:szCs w:val="18"/>
              </w:rPr>
            </w:pPr>
            <w:r w:rsidRPr="00507E3F">
              <w:rPr>
                <w:rFonts w:ascii="Arial Narrow" w:hAnsi="Arial Narrow" w:cs="Arial"/>
                <w:sz w:val="18"/>
                <w:szCs w:val="18"/>
              </w:rPr>
              <w:t>Рынок услуг ЖКХ (управляющие компании)</w:t>
            </w:r>
          </w:p>
        </w:tc>
        <w:tc>
          <w:tcPr>
            <w:tcW w:w="512" w:type="dxa"/>
            <w:noWrap/>
            <w:textDirection w:val="btLr"/>
            <w:vAlign w:val="center"/>
            <w:hideMark/>
          </w:tcPr>
          <w:p w:rsidR="00A64028" w:rsidRPr="00507E3F" w:rsidRDefault="00A64028" w:rsidP="00103148">
            <w:pPr>
              <w:spacing w:after="0"/>
              <w:ind w:left="113" w:right="113"/>
              <w:jc w:val="center"/>
              <w:rPr>
                <w:rFonts w:ascii="Arial Narrow" w:hAnsi="Arial Narrow" w:cs="Arial"/>
                <w:sz w:val="18"/>
                <w:szCs w:val="18"/>
              </w:rPr>
            </w:pPr>
            <w:r w:rsidRPr="00507E3F">
              <w:rPr>
                <w:rFonts w:ascii="Arial Narrow" w:hAnsi="Arial Narrow" w:cs="Arial"/>
                <w:sz w:val="18"/>
                <w:szCs w:val="18"/>
              </w:rPr>
              <w:t>Розничная торговля (продажа продуктов питания и непродовольственных товаров)</w:t>
            </w:r>
          </w:p>
        </w:tc>
        <w:tc>
          <w:tcPr>
            <w:tcW w:w="513" w:type="dxa"/>
            <w:noWrap/>
            <w:textDirection w:val="btLr"/>
            <w:vAlign w:val="center"/>
            <w:hideMark/>
          </w:tcPr>
          <w:p w:rsidR="00A64028" w:rsidRPr="00507E3F" w:rsidRDefault="00A64028" w:rsidP="00103148">
            <w:pPr>
              <w:spacing w:after="0"/>
              <w:ind w:left="113" w:right="113"/>
              <w:jc w:val="center"/>
              <w:rPr>
                <w:rFonts w:ascii="Arial Narrow" w:hAnsi="Arial Narrow" w:cs="Arial"/>
                <w:sz w:val="18"/>
                <w:szCs w:val="18"/>
              </w:rPr>
            </w:pPr>
            <w:r w:rsidRPr="00507E3F">
              <w:rPr>
                <w:rFonts w:ascii="Arial Narrow" w:hAnsi="Arial Narrow" w:cs="Arial"/>
                <w:sz w:val="18"/>
                <w:szCs w:val="18"/>
              </w:rPr>
              <w:t>Рынок услуг перевозок пассажиров наземным транспортом (автобусные перевозки и такси)</w:t>
            </w:r>
          </w:p>
        </w:tc>
        <w:tc>
          <w:tcPr>
            <w:tcW w:w="512" w:type="dxa"/>
            <w:noWrap/>
            <w:textDirection w:val="btLr"/>
            <w:vAlign w:val="center"/>
            <w:hideMark/>
          </w:tcPr>
          <w:p w:rsidR="00A64028" w:rsidRPr="00507E3F" w:rsidRDefault="00A64028" w:rsidP="00103148">
            <w:pPr>
              <w:spacing w:after="0"/>
              <w:ind w:left="113" w:right="113"/>
              <w:jc w:val="center"/>
              <w:rPr>
                <w:rFonts w:ascii="Arial Narrow" w:hAnsi="Arial Narrow" w:cs="Arial"/>
                <w:sz w:val="18"/>
                <w:szCs w:val="18"/>
              </w:rPr>
            </w:pPr>
            <w:r w:rsidRPr="00507E3F">
              <w:rPr>
                <w:rFonts w:ascii="Arial Narrow" w:hAnsi="Arial Narrow" w:cs="Arial"/>
                <w:sz w:val="18"/>
                <w:szCs w:val="18"/>
              </w:rPr>
              <w:t>Рынок услуг связи</w:t>
            </w:r>
          </w:p>
        </w:tc>
        <w:tc>
          <w:tcPr>
            <w:tcW w:w="513" w:type="dxa"/>
            <w:noWrap/>
            <w:textDirection w:val="btLr"/>
            <w:vAlign w:val="center"/>
            <w:hideMark/>
          </w:tcPr>
          <w:p w:rsidR="00A64028" w:rsidRPr="00507E3F" w:rsidRDefault="00A64028" w:rsidP="00103148">
            <w:pPr>
              <w:spacing w:after="0"/>
              <w:ind w:left="113" w:right="113"/>
              <w:jc w:val="center"/>
              <w:rPr>
                <w:rFonts w:ascii="Arial Narrow" w:hAnsi="Arial Narrow" w:cs="Arial"/>
                <w:sz w:val="18"/>
                <w:szCs w:val="18"/>
              </w:rPr>
            </w:pPr>
            <w:r w:rsidRPr="00507E3F">
              <w:rPr>
                <w:rFonts w:ascii="Arial Narrow" w:hAnsi="Arial Narrow" w:cs="Arial"/>
                <w:sz w:val="18"/>
                <w:szCs w:val="18"/>
              </w:rPr>
              <w:t>Рынок услуг социального обслуживания населения</w:t>
            </w:r>
          </w:p>
        </w:tc>
        <w:tc>
          <w:tcPr>
            <w:tcW w:w="744" w:type="dxa"/>
            <w:noWrap/>
            <w:textDirection w:val="btLr"/>
            <w:vAlign w:val="center"/>
            <w:hideMark/>
          </w:tcPr>
          <w:p w:rsidR="00A64028" w:rsidRPr="00507E3F" w:rsidRDefault="00A64028" w:rsidP="00103148">
            <w:pPr>
              <w:spacing w:after="0"/>
              <w:ind w:left="113" w:right="113"/>
              <w:jc w:val="center"/>
              <w:rPr>
                <w:rFonts w:ascii="Arial Narrow" w:hAnsi="Arial Narrow" w:cs="Arial"/>
                <w:sz w:val="18"/>
                <w:szCs w:val="18"/>
              </w:rPr>
            </w:pPr>
            <w:r w:rsidRPr="00507E3F">
              <w:rPr>
                <w:rFonts w:ascii="Arial Narrow" w:hAnsi="Arial Narrow" w:cs="Arial"/>
                <w:sz w:val="18"/>
                <w:szCs w:val="18"/>
              </w:rPr>
              <w:t>Рынок развития, производства, переработки и хранения сельскохозяйственной продукции</w:t>
            </w:r>
          </w:p>
        </w:tc>
        <w:tc>
          <w:tcPr>
            <w:tcW w:w="851" w:type="dxa"/>
            <w:noWrap/>
            <w:textDirection w:val="btLr"/>
            <w:vAlign w:val="center"/>
            <w:hideMark/>
          </w:tcPr>
          <w:p w:rsidR="00A64028" w:rsidRPr="00507E3F" w:rsidRDefault="00A64028" w:rsidP="00103148">
            <w:pPr>
              <w:spacing w:after="0"/>
              <w:ind w:left="113" w:right="113"/>
              <w:jc w:val="center"/>
              <w:rPr>
                <w:rFonts w:ascii="Arial Narrow" w:hAnsi="Arial Narrow" w:cs="Arial"/>
                <w:sz w:val="18"/>
                <w:szCs w:val="18"/>
              </w:rPr>
            </w:pPr>
            <w:r w:rsidRPr="00507E3F">
              <w:rPr>
                <w:rFonts w:ascii="Arial Narrow" w:hAnsi="Arial Narrow" w:cs="Arial"/>
                <w:sz w:val="18"/>
                <w:szCs w:val="18"/>
              </w:rPr>
              <w:t>Рынок услуг по сбору, сортировке и переработке твердых коммунальных (бытовых) отходов</w:t>
            </w:r>
          </w:p>
        </w:tc>
      </w:tr>
      <w:tr w:rsidR="00A64028" w:rsidRPr="00A45259" w:rsidTr="00507E3F">
        <w:tc>
          <w:tcPr>
            <w:tcW w:w="435" w:type="dxa"/>
            <w:vAlign w:val="center"/>
          </w:tcPr>
          <w:p w:rsidR="00A64028" w:rsidRPr="00A45259" w:rsidRDefault="00A64028" w:rsidP="00103148">
            <w:pPr>
              <w:spacing w:after="0"/>
              <w:jc w:val="both"/>
              <w:rPr>
                <w:rFonts w:ascii="Arial Narrow" w:hAnsi="Arial Narrow"/>
                <w:sz w:val="20"/>
                <w:szCs w:val="20"/>
              </w:rPr>
            </w:pPr>
            <w:r w:rsidRPr="00A45259">
              <w:rPr>
                <w:rFonts w:ascii="Arial Narrow" w:hAnsi="Arial Narrow"/>
                <w:sz w:val="20"/>
                <w:szCs w:val="20"/>
              </w:rPr>
              <w:t>1.2.6.</w:t>
            </w:r>
          </w:p>
        </w:tc>
        <w:tc>
          <w:tcPr>
            <w:tcW w:w="10060" w:type="dxa"/>
            <w:gridSpan w:val="15"/>
          </w:tcPr>
          <w:p w:rsidR="00A64028" w:rsidRPr="00A45259" w:rsidRDefault="00A64028" w:rsidP="00E82802">
            <w:pPr>
              <w:spacing w:after="0"/>
              <w:ind w:left="132"/>
              <w:rPr>
                <w:rFonts w:ascii="Arial Narrow" w:hAnsi="Arial Narrow"/>
                <w:sz w:val="20"/>
                <w:szCs w:val="20"/>
              </w:rPr>
            </w:pPr>
            <w:r w:rsidRPr="00A45259">
              <w:rPr>
                <w:rFonts w:ascii="Arial Narrow" w:hAnsi="Arial Narrow"/>
                <w:sz w:val="20"/>
                <w:szCs w:val="20"/>
              </w:rPr>
              <w:t>Наличие фактов ценового демпинга за 2015–2016 гг. (% от числа участников рынков)</w:t>
            </w:r>
          </w:p>
        </w:tc>
      </w:tr>
      <w:tr w:rsidR="00A64028" w:rsidRPr="00A45259" w:rsidTr="001820C5">
        <w:tc>
          <w:tcPr>
            <w:tcW w:w="435" w:type="dxa"/>
            <w:vAlign w:val="center"/>
            <w:hideMark/>
          </w:tcPr>
          <w:p w:rsidR="00A64028" w:rsidRPr="00A45259" w:rsidRDefault="00A64028" w:rsidP="00103148">
            <w:pPr>
              <w:spacing w:after="0"/>
              <w:jc w:val="both"/>
              <w:rPr>
                <w:rFonts w:ascii="Arial Narrow" w:hAnsi="Arial Narrow"/>
                <w:sz w:val="20"/>
                <w:szCs w:val="20"/>
              </w:rPr>
            </w:pPr>
            <w:r w:rsidRPr="00A45259">
              <w:rPr>
                <w:rFonts w:ascii="Arial Narrow" w:hAnsi="Arial Narrow"/>
                <w:sz w:val="20"/>
                <w:szCs w:val="20"/>
              </w:rPr>
              <w:t> </w:t>
            </w:r>
          </w:p>
        </w:tc>
        <w:tc>
          <w:tcPr>
            <w:tcW w:w="1419" w:type="dxa"/>
            <w:vAlign w:val="center"/>
            <w:hideMark/>
          </w:tcPr>
          <w:p w:rsidR="00A64028" w:rsidRPr="00A45259" w:rsidRDefault="00A64028" w:rsidP="00103148">
            <w:pPr>
              <w:spacing w:after="0"/>
              <w:ind w:left="143"/>
              <w:jc w:val="both"/>
              <w:rPr>
                <w:rFonts w:ascii="Arial Narrow" w:hAnsi="Arial Narrow"/>
                <w:sz w:val="20"/>
                <w:szCs w:val="20"/>
              </w:rPr>
            </w:pPr>
            <w:r w:rsidRPr="00A45259">
              <w:rPr>
                <w:rFonts w:ascii="Arial Narrow" w:hAnsi="Arial Narrow"/>
                <w:sz w:val="20"/>
                <w:szCs w:val="20"/>
              </w:rPr>
              <w:t>в 2015 г., %</w:t>
            </w:r>
          </w:p>
        </w:tc>
        <w:tc>
          <w:tcPr>
            <w:tcW w:w="840" w:type="dxa"/>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48,3%</w:t>
            </w:r>
          </w:p>
        </w:tc>
        <w:tc>
          <w:tcPr>
            <w:tcW w:w="850" w:type="dxa"/>
            <w:noWrap/>
            <w:vAlign w:val="center"/>
            <w:hideMark/>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20,0%</w:t>
            </w:r>
          </w:p>
        </w:tc>
        <w:tc>
          <w:tcPr>
            <w:tcW w:w="609" w:type="dxa"/>
            <w:noWrap/>
            <w:vAlign w:val="center"/>
            <w:hideMark/>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0,0%</w:t>
            </w:r>
          </w:p>
        </w:tc>
        <w:tc>
          <w:tcPr>
            <w:tcW w:w="513" w:type="dxa"/>
            <w:noWrap/>
            <w:vAlign w:val="center"/>
            <w:hideMark/>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32,0%</w:t>
            </w:r>
          </w:p>
        </w:tc>
        <w:tc>
          <w:tcPr>
            <w:tcW w:w="512" w:type="dxa"/>
            <w:noWrap/>
            <w:vAlign w:val="center"/>
            <w:hideMark/>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31,4%</w:t>
            </w:r>
          </w:p>
        </w:tc>
        <w:tc>
          <w:tcPr>
            <w:tcW w:w="647" w:type="dxa"/>
            <w:noWrap/>
            <w:vAlign w:val="center"/>
            <w:hideMark/>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8,0%</w:t>
            </w:r>
          </w:p>
        </w:tc>
        <w:tc>
          <w:tcPr>
            <w:tcW w:w="512" w:type="dxa"/>
            <w:noWrap/>
            <w:vAlign w:val="center"/>
            <w:hideMark/>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68,0%</w:t>
            </w:r>
          </w:p>
        </w:tc>
        <w:tc>
          <w:tcPr>
            <w:tcW w:w="513" w:type="dxa"/>
            <w:noWrap/>
            <w:vAlign w:val="center"/>
            <w:hideMark/>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21,4%</w:t>
            </w:r>
          </w:p>
        </w:tc>
        <w:tc>
          <w:tcPr>
            <w:tcW w:w="512" w:type="dxa"/>
            <w:noWrap/>
            <w:vAlign w:val="center"/>
            <w:hideMark/>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46,1%</w:t>
            </w:r>
          </w:p>
        </w:tc>
        <w:tc>
          <w:tcPr>
            <w:tcW w:w="513" w:type="dxa"/>
            <w:noWrap/>
            <w:vAlign w:val="center"/>
            <w:hideMark/>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51,7%</w:t>
            </w:r>
          </w:p>
        </w:tc>
        <w:tc>
          <w:tcPr>
            <w:tcW w:w="512" w:type="dxa"/>
            <w:noWrap/>
            <w:vAlign w:val="center"/>
            <w:hideMark/>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56,0%</w:t>
            </w:r>
          </w:p>
        </w:tc>
        <w:tc>
          <w:tcPr>
            <w:tcW w:w="513" w:type="dxa"/>
            <w:noWrap/>
            <w:vAlign w:val="center"/>
            <w:hideMark/>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20,0%</w:t>
            </w:r>
          </w:p>
        </w:tc>
        <w:tc>
          <w:tcPr>
            <w:tcW w:w="744" w:type="dxa"/>
            <w:noWrap/>
            <w:vAlign w:val="center"/>
            <w:hideMark/>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39,0%</w:t>
            </w:r>
          </w:p>
        </w:tc>
        <w:tc>
          <w:tcPr>
            <w:tcW w:w="851" w:type="dxa"/>
            <w:noWrap/>
            <w:vAlign w:val="center"/>
            <w:hideMark/>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50,0%</w:t>
            </w:r>
          </w:p>
        </w:tc>
      </w:tr>
      <w:tr w:rsidR="00A64028" w:rsidRPr="00A45259" w:rsidTr="001820C5">
        <w:tc>
          <w:tcPr>
            <w:tcW w:w="435" w:type="dxa"/>
            <w:vAlign w:val="center"/>
            <w:hideMark/>
          </w:tcPr>
          <w:p w:rsidR="00A64028" w:rsidRPr="00A45259" w:rsidRDefault="00A64028" w:rsidP="00103148">
            <w:pPr>
              <w:spacing w:after="0"/>
              <w:jc w:val="both"/>
              <w:rPr>
                <w:rFonts w:ascii="Arial Narrow" w:hAnsi="Arial Narrow"/>
                <w:sz w:val="20"/>
                <w:szCs w:val="20"/>
              </w:rPr>
            </w:pPr>
            <w:r w:rsidRPr="00A45259">
              <w:rPr>
                <w:rFonts w:ascii="Arial Narrow" w:hAnsi="Arial Narrow"/>
                <w:sz w:val="20"/>
                <w:szCs w:val="20"/>
              </w:rPr>
              <w:t> </w:t>
            </w:r>
          </w:p>
        </w:tc>
        <w:tc>
          <w:tcPr>
            <w:tcW w:w="1419" w:type="dxa"/>
            <w:vAlign w:val="center"/>
            <w:hideMark/>
          </w:tcPr>
          <w:p w:rsidR="00A64028" w:rsidRPr="00A45259" w:rsidRDefault="00A64028" w:rsidP="00103148">
            <w:pPr>
              <w:spacing w:after="0"/>
              <w:ind w:left="143"/>
              <w:jc w:val="both"/>
              <w:rPr>
                <w:rFonts w:ascii="Arial Narrow" w:hAnsi="Arial Narrow"/>
                <w:sz w:val="20"/>
                <w:szCs w:val="20"/>
              </w:rPr>
            </w:pPr>
            <w:r w:rsidRPr="00A45259">
              <w:rPr>
                <w:rFonts w:ascii="Arial Narrow" w:hAnsi="Arial Narrow"/>
                <w:sz w:val="20"/>
                <w:szCs w:val="20"/>
              </w:rPr>
              <w:t>в 2016 г., %</w:t>
            </w:r>
          </w:p>
        </w:tc>
        <w:tc>
          <w:tcPr>
            <w:tcW w:w="840" w:type="dxa"/>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50,2%</w:t>
            </w:r>
          </w:p>
        </w:tc>
        <w:tc>
          <w:tcPr>
            <w:tcW w:w="850" w:type="dxa"/>
            <w:noWrap/>
            <w:vAlign w:val="center"/>
            <w:hideMark/>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10,0%</w:t>
            </w:r>
          </w:p>
        </w:tc>
        <w:tc>
          <w:tcPr>
            <w:tcW w:w="609" w:type="dxa"/>
            <w:noWrap/>
            <w:vAlign w:val="center"/>
            <w:hideMark/>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0,0%</w:t>
            </w:r>
          </w:p>
        </w:tc>
        <w:tc>
          <w:tcPr>
            <w:tcW w:w="513" w:type="dxa"/>
            <w:noWrap/>
            <w:vAlign w:val="center"/>
            <w:hideMark/>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36,0%</w:t>
            </w:r>
          </w:p>
        </w:tc>
        <w:tc>
          <w:tcPr>
            <w:tcW w:w="512" w:type="dxa"/>
            <w:noWrap/>
            <w:vAlign w:val="center"/>
            <w:hideMark/>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32,9%</w:t>
            </w:r>
          </w:p>
        </w:tc>
        <w:tc>
          <w:tcPr>
            <w:tcW w:w="647" w:type="dxa"/>
            <w:noWrap/>
            <w:vAlign w:val="center"/>
            <w:hideMark/>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12,0%</w:t>
            </w:r>
          </w:p>
        </w:tc>
        <w:tc>
          <w:tcPr>
            <w:tcW w:w="512" w:type="dxa"/>
            <w:noWrap/>
            <w:vAlign w:val="center"/>
            <w:hideMark/>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68,0%</w:t>
            </w:r>
          </w:p>
        </w:tc>
        <w:tc>
          <w:tcPr>
            <w:tcW w:w="513" w:type="dxa"/>
            <w:noWrap/>
            <w:vAlign w:val="center"/>
            <w:hideMark/>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24,3%</w:t>
            </w:r>
          </w:p>
        </w:tc>
        <w:tc>
          <w:tcPr>
            <w:tcW w:w="512" w:type="dxa"/>
            <w:noWrap/>
            <w:vAlign w:val="center"/>
            <w:hideMark/>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48,9%</w:t>
            </w:r>
          </w:p>
        </w:tc>
        <w:tc>
          <w:tcPr>
            <w:tcW w:w="513" w:type="dxa"/>
            <w:noWrap/>
            <w:vAlign w:val="center"/>
            <w:hideMark/>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51,7%</w:t>
            </w:r>
          </w:p>
        </w:tc>
        <w:tc>
          <w:tcPr>
            <w:tcW w:w="512" w:type="dxa"/>
            <w:noWrap/>
            <w:vAlign w:val="center"/>
            <w:hideMark/>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48,0%</w:t>
            </w:r>
          </w:p>
        </w:tc>
        <w:tc>
          <w:tcPr>
            <w:tcW w:w="513" w:type="dxa"/>
            <w:noWrap/>
            <w:vAlign w:val="center"/>
            <w:hideMark/>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20,0%</w:t>
            </w:r>
          </w:p>
        </w:tc>
        <w:tc>
          <w:tcPr>
            <w:tcW w:w="744" w:type="dxa"/>
            <w:noWrap/>
            <w:vAlign w:val="center"/>
            <w:hideMark/>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44,0%</w:t>
            </w:r>
          </w:p>
        </w:tc>
        <w:tc>
          <w:tcPr>
            <w:tcW w:w="851" w:type="dxa"/>
            <w:noWrap/>
            <w:vAlign w:val="center"/>
            <w:hideMark/>
          </w:tcPr>
          <w:p w:rsidR="00A64028" w:rsidRPr="00A45259" w:rsidRDefault="00A64028" w:rsidP="00103148">
            <w:pPr>
              <w:spacing w:after="0"/>
              <w:jc w:val="center"/>
              <w:rPr>
                <w:rFonts w:ascii="Arial Narrow" w:hAnsi="Arial Narrow"/>
                <w:sz w:val="20"/>
                <w:szCs w:val="20"/>
              </w:rPr>
            </w:pPr>
            <w:r w:rsidRPr="00A45259">
              <w:rPr>
                <w:rFonts w:ascii="Arial Narrow" w:hAnsi="Arial Narrow"/>
                <w:sz w:val="20"/>
                <w:szCs w:val="20"/>
              </w:rPr>
              <w:t>50,0%</w:t>
            </w:r>
          </w:p>
        </w:tc>
      </w:tr>
    </w:tbl>
    <w:p w:rsidR="00A64028" w:rsidRPr="009B4A85" w:rsidRDefault="00A64028" w:rsidP="00103148">
      <w:pPr>
        <w:spacing w:after="0"/>
        <w:jc w:val="both"/>
        <w:rPr>
          <w:rFonts w:ascii="Arial Narrow" w:hAnsi="Arial Narrow"/>
          <w:sz w:val="24"/>
          <w:szCs w:val="24"/>
        </w:rPr>
      </w:pPr>
    </w:p>
    <w:p w:rsidR="00A64028" w:rsidRPr="009B4A85" w:rsidRDefault="00A64028" w:rsidP="00103148">
      <w:pPr>
        <w:spacing w:after="0" w:line="360" w:lineRule="auto"/>
        <w:ind w:firstLine="284"/>
        <w:jc w:val="both"/>
        <w:rPr>
          <w:rFonts w:ascii="Arial Narrow" w:hAnsi="Arial Narrow"/>
          <w:b/>
          <w:sz w:val="24"/>
          <w:szCs w:val="24"/>
        </w:rPr>
      </w:pPr>
      <w:r w:rsidRPr="009B4A85">
        <w:rPr>
          <w:rFonts w:ascii="Arial Narrow" w:hAnsi="Arial Narrow"/>
          <w:b/>
          <w:sz w:val="24"/>
          <w:szCs w:val="24"/>
        </w:rPr>
        <w:t>Значение показателя 1.2.7. Количество жалоб в ФАС Новосибирской области по вопросам нарушений в сфере конкуренции за 2015–2016 гг. (единиц).</w:t>
      </w:r>
    </w:p>
    <w:p w:rsidR="00A64028" w:rsidRPr="009B4A85" w:rsidRDefault="00A64028" w:rsidP="00103148">
      <w:pPr>
        <w:spacing w:after="0" w:line="360" w:lineRule="auto"/>
        <w:ind w:firstLine="284"/>
        <w:jc w:val="both"/>
        <w:rPr>
          <w:rFonts w:ascii="Arial Narrow" w:hAnsi="Arial Narrow"/>
          <w:sz w:val="24"/>
          <w:szCs w:val="24"/>
        </w:rPr>
      </w:pPr>
      <w:r w:rsidRPr="009B4A85">
        <w:rPr>
          <w:rFonts w:ascii="Arial Narrow" w:hAnsi="Arial Narrow"/>
          <w:sz w:val="24"/>
          <w:szCs w:val="24"/>
        </w:rPr>
        <w:t>По данным ежегодных отчетов ФАС Новосибирской области, в 2015 г. было принято 2642 жалобы, из них на нарушение Закона о защите конкуренции – 777. В 2016 г. в ФАС поступило 2548 жалоб, в т. ч. 593 касались нарушения Закона о защите конкуренции. Наибольшее число жалоб поступало как в 2015 г., так и в 2016 г. от участников закупок (1227 и 1200 соответственно).</w:t>
      </w:r>
    </w:p>
    <w:p w:rsidR="00A64028" w:rsidRPr="009B4A85" w:rsidRDefault="00A64028" w:rsidP="00103148">
      <w:pPr>
        <w:spacing w:after="0" w:line="360" w:lineRule="auto"/>
        <w:ind w:firstLine="284"/>
        <w:jc w:val="both"/>
        <w:rPr>
          <w:rFonts w:ascii="Arial Narrow" w:hAnsi="Arial Narrow"/>
          <w:sz w:val="24"/>
          <w:szCs w:val="24"/>
        </w:rPr>
      </w:pPr>
      <w:r w:rsidRPr="009B4A85">
        <w:rPr>
          <w:rFonts w:ascii="Arial Narrow" w:hAnsi="Arial Narrow"/>
          <w:sz w:val="24"/>
          <w:szCs w:val="24"/>
        </w:rPr>
        <w:t>Количество всех категорий жалоб в 2016 г. сократилось по отношению к 2015 г. Несмотря на отсутствие данных о количестве жалоб на нарушение требований законодательства при организации и проведении торгов в 2015 г., общее количество жалоб в 2016 г. также сократилось. Сокращение количества принятых жалоб частично обусловлено вступлением в силу с января 2016 года изменений в Закон о защите конкуренции.</w:t>
      </w:r>
    </w:p>
    <w:p w:rsidR="00A64028" w:rsidRPr="009B4A85" w:rsidRDefault="00A64028" w:rsidP="00103148">
      <w:pPr>
        <w:spacing w:after="0"/>
        <w:jc w:val="both"/>
        <w:rPr>
          <w:rFonts w:ascii="Arial Narrow" w:eastAsia="Calibri" w:hAnsi="Arial Narrow"/>
          <w:sz w:val="24"/>
          <w:szCs w:val="24"/>
        </w:rPr>
      </w:pPr>
    </w:p>
    <w:p w:rsidR="00A64028" w:rsidRPr="009B4A85" w:rsidRDefault="00A64028" w:rsidP="00103148">
      <w:pPr>
        <w:spacing w:after="0"/>
        <w:rPr>
          <w:rFonts w:ascii="Arial Narrow" w:hAnsi="Arial Narrow"/>
          <w:b/>
          <w:sz w:val="24"/>
          <w:szCs w:val="24"/>
        </w:rPr>
      </w:pPr>
      <w:r>
        <w:rPr>
          <w:rFonts w:ascii="Arial Narrow" w:eastAsia="Calibri" w:hAnsi="Arial Narrow"/>
          <w:sz w:val="24"/>
          <w:szCs w:val="24"/>
        </w:rPr>
        <w:t xml:space="preserve">Таблица </w:t>
      </w:r>
      <w:r w:rsidR="00262F71">
        <w:rPr>
          <w:rFonts w:ascii="Arial Narrow" w:eastAsia="Calibri" w:hAnsi="Arial Narrow"/>
          <w:sz w:val="24"/>
          <w:szCs w:val="24"/>
        </w:rPr>
        <w:t>7.22.</w:t>
      </w:r>
      <w:r w:rsidRPr="009B4A85">
        <w:rPr>
          <w:rFonts w:ascii="Arial Narrow" w:eastAsia="Calibri" w:hAnsi="Arial Narrow"/>
          <w:sz w:val="24"/>
          <w:szCs w:val="24"/>
        </w:rPr>
        <w:t xml:space="preserve"> – </w:t>
      </w:r>
      <w:r w:rsidRPr="009B4A85">
        <w:rPr>
          <w:rFonts w:ascii="Arial Narrow" w:hAnsi="Arial Narrow"/>
          <w:b/>
          <w:sz w:val="24"/>
          <w:szCs w:val="24"/>
        </w:rPr>
        <w:t>Значение показателя 1.2.7. Количество жалоб в ФАС Новосибирской области по вопросам нарушений в сфере конкуренции за 2015–2016 гг. (единиц)</w:t>
      </w:r>
    </w:p>
    <w:tbl>
      <w:tblPr>
        <w:tblW w:w="9503" w:type="dxa"/>
        <w:tblInd w:w="103" w:type="dxa"/>
        <w:tblLayout w:type="fixed"/>
        <w:tblLook w:val="04A0"/>
      </w:tblPr>
      <w:tblGrid>
        <w:gridCol w:w="1423"/>
        <w:gridCol w:w="1843"/>
        <w:gridCol w:w="1701"/>
        <w:gridCol w:w="2268"/>
        <w:gridCol w:w="1417"/>
        <w:gridCol w:w="851"/>
      </w:tblGrid>
      <w:tr w:rsidR="00A64028" w:rsidRPr="00840DD3" w:rsidTr="00A64028">
        <w:trPr>
          <w:trHeight w:val="1190"/>
        </w:trPr>
        <w:tc>
          <w:tcPr>
            <w:tcW w:w="14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64028" w:rsidRPr="00E82802" w:rsidRDefault="00A64028" w:rsidP="00103148">
            <w:pPr>
              <w:spacing w:after="0"/>
              <w:ind w:left="-103" w:right="-108"/>
              <w:jc w:val="center"/>
              <w:rPr>
                <w:rFonts w:ascii="Arial Narrow" w:hAnsi="Arial Narrow"/>
                <w:sz w:val="20"/>
                <w:szCs w:val="20"/>
              </w:rPr>
            </w:pPr>
            <w:r w:rsidRPr="00E82802">
              <w:rPr>
                <w:rFonts w:ascii="Arial Narrow" w:hAnsi="Arial Narrow" w:cs="Arial"/>
                <w:sz w:val="20"/>
                <w:szCs w:val="20"/>
              </w:rPr>
              <w:t>Наименование показателя, единица измерения</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A64028" w:rsidRPr="00E82802" w:rsidRDefault="00A64028" w:rsidP="00103148">
            <w:pPr>
              <w:spacing w:after="0"/>
              <w:jc w:val="center"/>
              <w:rPr>
                <w:rFonts w:ascii="Arial Narrow" w:hAnsi="Arial Narrow"/>
                <w:sz w:val="20"/>
                <w:szCs w:val="20"/>
              </w:rPr>
            </w:pPr>
            <w:r w:rsidRPr="00E82802">
              <w:rPr>
                <w:rFonts w:ascii="Arial Narrow" w:hAnsi="Arial Narrow"/>
                <w:sz w:val="20"/>
                <w:szCs w:val="20"/>
              </w:rPr>
              <w:t>Заявления о нарушении Закона о защите конкуренции № 135-ФЗ</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A64028" w:rsidRPr="00E82802" w:rsidRDefault="00A64028" w:rsidP="00103148">
            <w:pPr>
              <w:spacing w:after="0"/>
              <w:ind w:left="-108" w:right="-108"/>
              <w:jc w:val="center"/>
              <w:rPr>
                <w:rFonts w:ascii="Arial Narrow" w:hAnsi="Arial Narrow"/>
                <w:sz w:val="20"/>
                <w:szCs w:val="20"/>
              </w:rPr>
            </w:pPr>
            <w:r w:rsidRPr="00E82802">
              <w:rPr>
                <w:rFonts w:ascii="Arial Narrow" w:hAnsi="Arial Narrow"/>
                <w:sz w:val="20"/>
                <w:szCs w:val="20"/>
              </w:rPr>
              <w:t>Жалобы участников закупок на нарушение закона № 44-ФЗ</w:t>
            </w:r>
            <w:r w:rsidRPr="00E82802">
              <w:rPr>
                <w:rStyle w:val="af2"/>
                <w:rFonts w:ascii="Arial Narrow" w:eastAsia="MS Mincho" w:hAnsi="Arial Narrow"/>
                <w:sz w:val="20"/>
                <w:szCs w:val="20"/>
              </w:rPr>
              <w:footnoteReference w:id="4"/>
            </w:r>
          </w:p>
        </w:tc>
        <w:tc>
          <w:tcPr>
            <w:tcW w:w="2268" w:type="dxa"/>
            <w:tcBorders>
              <w:top w:val="single" w:sz="4" w:space="0" w:color="auto"/>
              <w:left w:val="nil"/>
              <w:bottom w:val="single" w:sz="4" w:space="0" w:color="auto"/>
              <w:right w:val="single" w:sz="4" w:space="0" w:color="auto"/>
            </w:tcBorders>
            <w:shd w:val="clear" w:color="auto" w:fill="auto"/>
            <w:noWrap/>
            <w:vAlign w:val="center"/>
            <w:hideMark/>
          </w:tcPr>
          <w:p w:rsidR="00A64028" w:rsidRPr="00E82802" w:rsidRDefault="00A64028" w:rsidP="00103148">
            <w:pPr>
              <w:spacing w:after="0"/>
              <w:ind w:left="-108" w:right="-108"/>
              <w:jc w:val="center"/>
              <w:rPr>
                <w:rFonts w:ascii="Arial Narrow" w:hAnsi="Arial Narrow"/>
                <w:sz w:val="20"/>
                <w:szCs w:val="20"/>
              </w:rPr>
            </w:pPr>
            <w:r w:rsidRPr="00E82802">
              <w:rPr>
                <w:rFonts w:ascii="Arial Narrow" w:hAnsi="Arial Narrow"/>
                <w:sz w:val="20"/>
                <w:szCs w:val="20"/>
              </w:rPr>
              <w:t>Жалобы на нарушение требований законодательства при организации и проведении торгов</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A64028" w:rsidRPr="00E82802" w:rsidRDefault="00A64028" w:rsidP="00103148">
            <w:pPr>
              <w:spacing w:after="0"/>
              <w:ind w:left="-108" w:right="-108"/>
              <w:jc w:val="center"/>
              <w:rPr>
                <w:rFonts w:ascii="Arial Narrow" w:hAnsi="Arial Narrow"/>
                <w:sz w:val="20"/>
                <w:szCs w:val="20"/>
              </w:rPr>
            </w:pPr>
            <w:r w:rsidRPr="00E82802">
              <w:rPr>
                <w:rFonts w:ascii="Arial Narrow" w:hAnsi="Arial Narrow"/>
                <w:sz w:val="20"/>
                <w:szCs w:val="20"/>
              </w:rPr>
              <w:t>Заявления по поводу ненадлежащей рекламы</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A64028" w:rsidRPr="00E82802" w:rsidRDefault="00A64028" w:rsidP="00103148">
            <w:pPr>
              <w:spacing w:after="0"/>
              <w:ind w:left="-108" w:right="-108"/>
              <w:jc w:val="center"/>
              <w:rPr>
                <w:rFonts w:ascii="Arial Narrow" w:hAnsi="Arial Narrow"/>
                <w:sz w:val="20"/>
                <w:szCs w:val="20"/>
              </w:rPr>
            </w:pPr>
            <w:r w:rsidRPr="00E82802">
              <w:rPr>
                <w:rFonts w:ascii="Arial Narrow" w:hAnsi="Arial Narrow"/>
                <w:sz w:val="20"/>
                <w:szCs w:val="20"/>
              </w:rPr>
              <w:t>Всего</w:t>
            </w:r>
          </w:p>
        </w:tc>
      </w:tr>
      <w:tr w:rsidR="00A64028" w:rsidRPr="00840DD3" w:rsidTr="00A64028">
        <w:trPr>
          <w:trHeight w:val="315"/>
        </w:trPr>
        <w:tc>
          <w:tcPr>
            <w:tcW w:w="9503" w:type="dxa"/>
            <w:gridSpan w:val="6"/>
            <w:tcBorders>
              <w:top w:val="nil"/>
              <w:left w:val="single" w:sz="4" w:space="0" w:color="auto"/>
              <w:bottom w:val="single" w:sz="4" w:space="0" w:color="auto"/>
              <w:right w:val="single" w:sz="4" w:space="0" w:color="auto"/>
            </w:tcBorders>
            <w:shd w:val="clear" w:color="auto" w:fill="auto"/>
            <w:vAlign w:val="center"/>
          </w:tcPr>
          <w:p w:rsidR="00A64028" w:rsidRPr="00E82802" w:rsidRDefault="00A64028" w:rsidP="00103148">
            <w:pPr>
              <w:spacing w:after="0"/>
              <w:rPr>
                <w:rFonts w:ascii="Arial Narrow" w:hAnsi="Arial Narrow"/>
                <w:sz w:val="20"/>
                <w:szCs w:val="20"/>
              </w:rPr>
            </w:pPr>
            <w:r w:rsidRPr="00E82802">
              <w:rPr>
                <w:rFonts w:ascii="Arial Narrow" w:hAnsi="Arial Narrow"/>
                <w:sz w:val="20"/>
                <w:szCs w:val="20"/>
              </w:rPr>
              <w:t>1.2.7. Количество жалоб в ФАС Новосибирской области по вопросам нарушений в сфере конкуренции за 2015–2016 гг. (единиц)</w:t>
            </w:r>
          </w:p>
        </w:tc>
      </w:tr>
      <w:tr w:rsidR="00A64028" w:rsidRPr="00840DD3" w:rsidTr="00A64028">
        <w:trPr>
          <w:trHeight w:val="315"/>
        </w:trPr>
        <w:tc>
          <w:tcPr>
            <w:tcW w:w="1423" w:type="dxa"/>
            <w:tcBorders>
              <w:top w:val="nil"/>
              <w:left w:val="single" w:sz="4" w:space="0" w:color="auto"/>
              <w:bottom w:val="single" w:sz="4" w:space="0" w:color="auto"/>
              <w:right w:val="single" w:sz="4" w:space="0" w:color="auto"/>
            </w:tcBorders>
            <w:shd w:val="clear" w:color="auto" w:fill="auto"/>
            <w:vAlign w:val="center"/>
            <w:hideMark/>
          </w:tcPr>
          <w:p w:rsidR="00A64028" w:rsidRPr="00E82802" w:rsidRDefault="00A64028" w:rsidP="00103148">
            <w:pPr>
              <w:spacing w:after="0"/>
              <w:rPr>
                <w:rFonts w:ascii="Arial Narrow" w:hAnsi="Arial Narrow"/>
                <w:sz w:val="20"/>
                <w:szCs w:val="20"/>
              </w:rPr>
            </w:pPr>
            <w:r w:rsidRPr="00E82802">
              <w:rPr>
                <w:rFonts w:ascii="Arial Narrow" w:hAnsi="Arial Narrow"/>
                <w:sz w:val="20"/>
                <w:szCs w:val="20"/>
              </w:rPr>
              <w:t>в 2015 г., ед.</w:t>
            </w:r>
          </w:p>
        </w:tc>
        <w:tc>
          <w:tcPr>
            <w:tcW w:w="1843" w:type="dxa"/>
            <w:tcBorders>
              <w:top w:val="nil"/>
              <w:left w:val="nil"/>
              <w:bottom w:val="single" w:sz="4" w:space="0" w:color="auto"/>
              <w:right w:val="single" w:sz="4" w:space="0" w:color="auto"/>
            </w:tcBorders>
            <w:shd w:val="clear" w:color="auto" w:fill="auto"/>
            <w:vAlign w:val="center"/>
            <w:hideMark/>
          </w:tcPr>
          <w:p w:rsidR="00A64028" w:rsidRPr="00E82802" w:rsidRDefault="00A64028" w:rsidP="00103148">
            <w:pPr>
              <w:spacing w:after="0"/>
              <w:jc w:val="center"/>
              <w:rPr>
                <w:rFonts w:ascii="Arial Narrow" w:hAnsi="Arial Narrow"/>
                <w:sz w:val="20"/>
                <w:szCs w:val="20"/>
              </w:rPr>
            </w:pPr>
            <w:r w:rsidRPr="00E82802">
              <w:rPr>
                <w:rFonts w:ascii="Arial Narrow" w:hAnsi="Arial Narrow"/>
                <w:sz w:val="20"/>
                <w:szCs w:val="20"/>
              </w:rPr>
              <w:t>777</w:t>
            </w:r>
          </w:p>
        </w:tc>
        <w:tc>
          <w:tcPr>
            <w:tcW w:w="1701" w:type="dxa"/>
            <w:tcBorders>
              <w:top w:val="nil"/>
              <w:left w:val="nil"/>
              <w:bottom w:val="single" w:sz="4" w:space="0" w:color="auto"/>
              <w:right w:val="single" w:sz="4" w:space="0" w:color="auto"/>
            </w:tcBorders>
            <w:shd w:val="clear" w:color="auto" w:fill="auto"/>
            <w:noWrap/>
            <w:vAlign w:val="center"/>
            <w:hideMark/>
          </w:tcPr>
          <w:p w:rsidR="00A64028" w:rsidRPr="00E82802" w:rsidRDefault="00A64028" w:rsidP="00103148">
            <w:pPr>
              <w:spacing w:after="0"/>
              <w:jc w:val="center"/>
              <w:rPr>
                <w:rFonts w:ascii="Arial Narrow" w:hAnsi="Arial Narrow"/>
                <w:sz w:val="20"/>
                <w:szCs w:val="20"/>
              </w:rPr>
            </w:pPr>
            <w:r w:rsidRPr="00E82802">
              <w:rPr>
                <w:rFonts w:ascii="Arial Narrow" w:hAnsi="Arial Narrow"/>
                <w:sz w:val="20"/>
                <w:szCs w:val="20"/>
              </w:rPr>
              <w:t>1227</w:t>
            </w:r>
          </w:p>
        </w:tc>
        <w:tc>
          <w:tcPr>
            <w:tcW w:w="2268" w:type="dxa"/>
            <w:tcBorders>
              <w:top w:val="nil"/>
              <w:left w:val="nil"/>
              <w:bottom w:val="single" w:sz="4" w:space="0" w:color="auto"/>
              <w:right w:val="single" w:sz="4" w:space="0" w:color="auto"/>
            </w:tcBorders>
            <w:shd w:val="clear" w:color="auto" w:fill="auto"/>
            <w:noWrap/>
            <w:vAlign w:val="center"/>
            <w:hideMark/>
          </w:tcPr>
          <w:p w:rsidR="00A64028" w:rsidRPr="00E82802" w:rsidRDefault="00A64028" w:rsidP="00103148">
            <w:pPr>
              <w:spacing w:after="0"/>
              <w:jc w:val="center"/>
              <w:rPr>
                <w:rFonts w:ascii="Arial Narrow" w:hAnsi="Arial Narrow"/>
                <w:sz w:val="20"/>
                <w:szCs w:val="20"/>
              </w:rPr>
            </w:pPr>
            <w:r w:rsidRPr="00E82802">
              <w:rPr>
                <w:rFonts w:ascii="Arial Narrow" w:hAnsi="Arial Narrow"/>
                <w:sz w:val="20"/>
                <w:szCs w:val="20"/>
              </w:rPr>
              <w:t>(нет данных)</w:t>
            </w:r>
          </w:p>
        </w:tc>
        <w:tc>
          <w:tcPr>
            <w:tcW w:w="1417" w:type="dxa"/>
            <w:tcBorders>
              <w:top w:val="nil"/>
              <w:left w:val="nil"/>
              <w:bottom w:val="single" w:sz="4" w:space="0" w:color="auto"/>
              <w:right w:val="single" w:sz="4" w:space="0" w:color="auto"/>
            </w:tcBorders>
            <w:shd w:val="clear" w:color="auto" w:fill="auto"/>
            <w:vAlign w:val="center"/>
            <w:hideMark/>
          </w:tcPr>
          <w:p w:rsidR="00A64028" w:rsidRPr="00E82802" w:rsidRDefault="00A64028" w:rsidP="00103148">
            <w:pPr>
              <w:spacing w:after="0"/>
              <w:jc w:val="center"/>
              <w:rPr>
                <w:rFonts w:ascii="Arial Narrow" w:hAnsi="Arial Narrow"/>
                <w:sz w:val="20"/>
                <w:szCs w:val="20"/>
              </w:rPr>
            </w:pPr>
            <w:r w:rsidRPr="00E82802">
              <w:rPr>
                <w:rFonts w:ascii="Arial Narrow" w:hAnsi="Arial Narrow"/>
                <w:sz w:val="20"/>
                <w:szCs w:val="20"/>
              </w:rPr>
              <w:t>638</w:t>
            </w:r>
          </w:p>
        </w:tc>
        <w:tc>
          <w:tcPr>
            <w:tcW w:w="851" w:type="dxa"/>
            <w:tcBorders>
              <w:top w:val="nil"/>
              <w:left w:val="nil"/>
              <w:bottom w:val="single" w:sz="4" w:space="0" w:color="auto"/>
              <w:right w:val="single" w:sz="4" w:space="0" w:color="auto"/>
            </w:tcBorders>
            <w:shd w:val="clear" w:color="auto" w:fill="auto"/>
            <w:noWrap/>
            <w:vAlign w:val="center"/>
            <w:hideMark/>
          </w:tcPr>
          <w:p w:rsidR="00A64028" w:rsidRPr="00E82802" w:rsidRDefault="00A64028" w:rsidP="00103148">
            <w:pPr>
              <w:spacing w:after="0"/>
              <w:jc w:val="center"/>
              <w:rPr>
                <w:rFonts w:ascii="Arial Narrow" w:hAnsi="Arial Narrow"/>
                <w:b/>
                <w:sz w:val="20"/>
                <w:szCs w:val="20"/>
              </w:rPr>
            </w:pPr>
            <w:r w:rsidRPr="00E82802">
              <w:rPr>
                <w:rFonts w:ascii="Arial Narrow" w:hAnsi="Arial Narrow"/>
                <w:b/>
                <w:sz w:val="20"/>
                <w:szCs w:val="20"/>
              </w:rPr>
              <w:t>2642</w:t>
            </w:r>
          </w:p>
        </w:tc>
      </w:tr>
      <w:tr w:rsidR="00A64028" w:rsidRPr="00840DD3" w:rsidTr="00A64028">
        <w:trPr>
          <w:trHeight w:val="315"/>
        </w:trPr>
        <w:tc>
          <w:tcPr>
            <w:tcW w:w="1423" w:type="dxa"/>
            <w:tcBorders>
              <w:top w:val="nil"/>
              <w:left w:val="single" w:sz="4" w:space="0" w:color="auto"/>
              <w:bottom w:val="single" w:sz="4" w:space="0" w:color="auto"/>
              <w:right w:val="single" w:sz="4" w:space="0" w:color="auto"/>
            </w:tcBorders>
            <w:shd w:val="clear" w:color="auto" w:fill="auto"/>
            <w:vAlign w:val="center"/>
            <w:hideMark/>
          </w:tcPr>
          <w:p w:rsidR="00A64028" w:rsidRPr="00E82802" w:rsidRDefault="00A64028" w:rsidP="00103148">
            <w:pPr>
              <w:spacing w:after="0"/>
              <w:rPr>
                <w:rFonts w:ascii="Arial Narrow" w:hAnsi="Arial Narrow"/>
                <w:sz w:val="20"/>
                <w:szCs w:val="20"/>
              </w:rPr>
            </w:pPr>
            <w:r w:rsidRPr="00E82802">
              <w:rPr>
                <w:rFonts w:ascii="Arial Narrow" w:hAnsi="Arial Narrow"/>
                <w:sz w:val="20"/>
                <w:szCs w:val="20"/>
              </w:rPr>
              <w:t>в 2016 г., ед.</w:t>
            </w:r>
          </w:p>
        </w:tc>
        <w:tc>
          <w:tcPr>
            <w:tcW w:w="1843" w:type="dxa"/>
            <w:tcBorders>
              <w:top w:val="nil"/>
              <w:left w:val="nil"/>
              <w:bottom w:val="single" w:sz="4" w:space="0" w:color="auto"/>
              <w:right w:val="single" w:sz="4" w:space="0" w:color="auto"/>
            </w:tcBorders>
            <w:shd w:val="clear" w:color="auto" w:fill="auto"/>
            <w:vAlign w:val="center"/>
            <w:hideMark/>
          </w:tcPr>
          <w:p w:rsidR="00A64028" w:rsidRPr="00E82802" w:rsidRDefault="00A64028" w:rsidP="00103148">
            <w:pPr>
              <w:spacing w:after="0"/>
              <w:jc w:val="center"/>
              <w:rPr>
                <w:rFonts w:ascii="Arial Narrow" w:hAnsi="Arial Narrow"/>
                <w:sz w:val="20"/>
                <w:szCs w:val="20"/>
              </w:rPr>
            </w:pPr>
            <w:r w:rsidRPr="00E82802">
              <w:rPr>
                <w:rFonts w:ascii="Arial Narrow" w:hAnsi="Arial Narrow"/>
                <w:sz w:val="20"/>
                <w:szCs w:val="20"/>
              </w:rPr>
              <w:t>593</w:t>
            </w:r>
          </w:p>
        </w:tc>
        <w:tc>
          <w:tcPr>
            <w:tcW w:w="1701" w:type="dxa"/>
            <w:tcBorders>
              <w:top w:val="nil"/>
              <w:left w:val="nil"/>
              <w:bottom w:val="single" w:sz="4" w:space="0" w:color="auto"/>
              <w:right w:val="single" w:sz="4" w:space="0" w:color="auto"/>
            </w:tcBorders>
            <w:shd w:val="clear" w:color="auto" w:fill="auto"/>
            <w:noWrap/>
            <w:vAlign w:val="center"/>
            <w:hideMark/>
          </w:tcPr>
          <w:p w:rsidR="00A64028" w:rsidRPr="00E82802" w:rsidRDefault="00A64028" w:rsidP="00103148">
            <w:pPr>
              <w:spacing w:after="0"/>
              <w:jc w:val="center"/>
              <w:rPr>
                <w:rFonts w:ascii="Arial Narrow" w:hAnsi="Arial Narrow"/>
                <w:sz w:val="20"/>
                <w:szCs w:val="20"/>
              </w:rPr>
            </w:pPr>
            <w:r w:rsidRPr="00E82802">
              <w:rPr>
                <w:rFonts w:ascii="Arial Narrow" w:hAnsi="Arial Narrow"/>
                <w:sz w:val="20"/>
                <w:szCs w:val="20"/>
              </w:rPr>
              <w:t>1200</w:t>
            </w:r>
          </w:p>
        </w:tc>
        <w:tc>
          <w:tcPr>
            <w:tcW w:w="2268" w:type="dxa"/>
            <w:tcBorders>
              <w:top w:val="nil"/>
              <w:left w:val="nil"/>
              <w:bottom w:val="single" w:sz="4" w:space="0" w:color="auto"/>
              <w:right w:val="single" w:sz="4" w:space="0" w:color="auto"/>
            </w:tcBorders>
            <w:shd w:val="clear" w:color="auto" w:fill="auto"/>
            <w:noWrap/>
            <w:vAlign w:val="center"/>
            <w:hideMark/>
          </w:tcPr>
          <w:p w:rsidR="00A64028" w:rsidRPr="00E82802" w:rsidRDefault="00A64028" w:rsidP="00103148">
            <w:pPr>
              <w:spacing w:after="0"/>
              <w:jc w:val="center"/>
              <w:rPr>
                <w:rFonts w:ascii="Arial Narrow" w:hAnsi="Arial Narrow"/>
                <w:sz w:val="20"/>
                <w:szCs w:val="20"/>
              </w:rPr>
            </w:pPr>
            <w:r w:rsidRPr="00E82802">
              <w:rPr>
                <w:rFonts w:ascii="Arial Narrow" w:hAnsi="Arial Narrow"/>
                <w:sz w:val="20"/>
                <w:szCs w:val="20"/>
              </w:rPr>
              <w:t>224</w:t>
            </w:r>
          </w:p>
        </w:tc>
        <w:tc>
          <w:tcPr>
            <w:tcW w:w="1417" w:type="dxa"/>
            <w:tcBorders>
              <w:top w:val="nil"/>
              <w:left w:val="nil"/>
              <w:bottom w:val="single" w:sz="4" w:space="0" w:color="auto"/>
              <w:right w:val="single" w:sz="4" w:space="0" w:color="auto"/>
            </w:tcBorders>
            <w:shd w:val="clear" w:color="auto" w:fill="auto"/>
            <w:vAlign w:val="center"/>
            <w:hideMark/>
          </w:tcPr>
          <w:p w:rsidR="00A64028" w:rsidRPr="00E82802" w:rsidRDefault="00A64028" w:rsidP="00103148">
            <w:pPr>
              <w:spacing w:after="0"/>
              <w:jc w:val="center"/>
              <w:rPr>
                <w:rFonts w:ascii="Arial Narrow" w:hAnsi="Arial Narrow"/>
                <w:sz w:val="20"/>
                <w:szCs w:val="20"/>
              </w:rPr>
            </w:pPr>
            <w:r w:rsidRPr="00E82802">
              <w:rPr>
                <w:rFonts w:ascii="Arial Narrow" w:hAnsi="Arial Narrow"/>
                <w:sz w:val="20"/>
                <w:szCs w:val="20"/>
              </w:rPr>
              <w:t>531</w:t>
            </w:r>
          </w:p>
        </w:tc>
        <w:tc>
          <w:tcPr>
            <w:tcW w:w="851" w:type="dxa"/>
            <w:tcBorders>
              <w:top w:val="nil"/>
              <w:left w:val="nil"/>
              <w:bottom w:val="single" w:sz="4" w:space="0" w:color="auto"/>
              <w:right w:val="single" w:sz="4" w:space="0" w:color="auto"/>
            </w:tcBorders>
            <w:shd w:val="clear" w:color="auto" w:fill="auto"/>
            <w:noWrap/>
            <w:vAlign w:val="center"/>
            <w:hideMark/>
          </w:tcPr>
          <w:p w:rsidR="00A64028" w:rsidRPr="00E82802" w:rsidRDefault="00A64028" w:rsidP="00103148">
            <w:pPr>
              <w:spacing w:after="0"/>
              <w:jc w:val="center"/>
              <w:rPr>
                <w:rFonts w:ascii="Arial Narrow" w:hAnsi="Arial Narrow"/>
                <w:b/>
                <w:sz w:val="20"/>
                <w:szCs w:val="20"/>
              </w:rPr>
            </w:pPr>
            <w:r w:rsidRPr="00E82802">
              <w:rPr>
                <w:rFonts w:ascii="Arial Narrow" w:hAnsi="Arial Narrow"/>
                <w:b/>
                <w:sz w:val="20"/>
                <w:szCs w:val="20"/>
              </w:rPr>
              <w:t>2548</w:t>
            </w:r>
          </w:p>
        </w:tc>
      </w:tr>
    </w:tbl>
    <w:p w:rsidR="00A64028" w:rsidRDefault="00A64028" w:rsidP="00103148">
      <w:pPr>
        <w:spacing w:after="0" w:line="360" w:lineRule="auto"/>
        <w:rPr>
          <w:rFonts w:ascii="Arial Narrow" w:hAnsi="Arial Narrow"/>
          <w:sz w:val="24"/>
          <w:szCs w:val="24"/>
        </w:rPr>
      </w:pPr>
    </w:p>
    <w:p w:rsidR="00A64028" w:rsidRDefault="00A64028" w:rsidP="00103148">
      <w:pPr>
        <w:spacing w:after="0" w:line="360" w:lineRule="auto"/>
        <w:ind w:firstLine="284"/>
        <w:jc w:val="both"/>
        <w:rPr>
          <w:rFonts w:ascii="Arial Narrow" w:hAnsi="Arial Narrow"/>
          <w:b/>
          <w:sz w:val="24"/>
          <w:szCs w:val="24"/>
        </w:rPr>
      </w:pPr>
      <w:r w:rsidRPr="00422331">
        <w:rPr>
          <w:rFonts w:ascii="Arial Narrow" w:hAnsi="Arial Narrow"/>
          <w:b/>
          <w:sz w:val="24"/>
          <w:szCs w:val="24"/>
        </w:rPr>
        <w:lastRenderedPageBreak/>
        <w:t>1.3. Барьеры входа на товарный рынок (содержит несколько показателей)</w:t>
      </w:r>
    </w:p>
    <w:p w:rsidR="00A64028" w:rsidRDefault="00A64028" w:rsidP="00103148">
      <w:pPr>
        <w:spacing w:after="0" w:line="360" w:lineRule="auto"/>
        <w:ind w:firstLine="284"/>
        <w:jc w:val="both"/>
        <w:rPr>
          <w:rFonts w:ascii="Arial Narrow" w:hAnsi="Arial Narrow"/>
          <w:b/>
          <w:sz w:val="24"/>
          <w:szCs w:val="24"/>
        </w:rPr>
      </w:pPr>
      <w:r>
        <w:rPr>
          <w:rFonts w:ascii="Arial Narrow" w:hAnsi="Arial Narrow"/>
          <w:b/>
          <w:sz w:val="24"/>
          <w:szCs w:val="24"/>
        </w:rPr>
        <w:t>Значение показателя 1.3.1. Доля субъектов предпринимательства, считающих, что войти на их рынок новым участникам сложно (% от числа опрошенных). В том числе для участников из других регионов (% от числа опрошенных).</w:t>
      </w:r>
    </w:p>
    <w:p w:rsidR="00A64028" w:rsidRDefault="00A64028" w:rsidP="00103148">
      <w:pPr>
        <w:spacing w:after="0" w:line="360" w:lineRule="auto"/>
        <w:ind w:firstLine="284"/>
        <w:jc w:val="both"/>
        <w:rPr>
          <w:rFonts w:ascii="Arial Narrow" w:hAnsi="Arial Narrow"/>
          <w:sz w:val="24"/>
          <w:szCs w:val="24"/>
        </w:rPr>
      </w:pPr>
      <w:r>
        <w:rPr>
          <w:rFonts w:ascii="Arial Narrow" w:hAnsi="Arial Narrow"/>
          <w:sz w:val="24"/>
          <w:szCs w:val="24"/>
        </w:rPr>
        <w:t>Представители субъектов предпринимательства Новосибирской области значительно чаще отмечали наличие сложностей для местных компаний при выходе на новые рынки (72,9 %), чем для компаний из других регионов (44,5 %).</w:t>
      </w:r>
    </w:p>
    <w:p w:rsidR="00A64028" w:rsidRDefault="00A64028" w:rsidP="00103148">
      <w:pPr>
        <w:spacing w:after="0" w:line="360" w:lineRule="auto"/>
        <w:ind w:firstLine="284"/>
        <w:jc w:val="both"/>
        <w:rPr>
          <w:rFonts w:ascii="Arial Narrow" w:hAnsi="Arial Narrow"/>
          <w:sz w:val="24"/>
          <w:szCs w:val="24"/>
        </w:rPr>
      </w:pPr>
      <w:r>
        <w:rPr>
          <w:rFonts w:ascii="Arial Narrow" w:hAnsi="Arial Narrow"/>
          <w:sz w:val="24"/>
          <w:szCs w:val="24"/>
        </w:rPr>
        <w:t xml:space="preserve">Наиболее высока доля отметивших </w:t>
      </w:r>
      <w:r>
        <w:rPr>
          <w:rFonts w:ascii="Arial Narrow" w:hAnsi="Arial Narrow"/>
          <w:b/>
          <w:sz w:val="24"/>
          <w:szCs w:val="24"/>
        </w:rPr>
        <w:t>сложности для местных субъектов предпринимательства</w:t>
      </w:r>
      <w:r>
        <w:rPr>
          <w:rFonts w:ascii="Arial Narrow" w:hAnsi="Arial Narrow"/>
          <w:sz w:val="24"/>
          <w:szCs w:val="24"/>
        </w:rPr>
        <w:t xml:space="preserve"> среди участников рынков услуг перевозок пассажиров наземным транспортом (80 %), развития, производства, переработки и хранения сельскохозяйственной продукции (79 %), медицинских услуг и услуг ЖКХ (по 78,6 %). Ниже всего данный показатель для рынка услуг в сфере культуры (52 %). На остальных рынках о сложностях входа для местных компаний говорят от 56 % до 76,1 %.</w:t>
      </w:r>
    </w:p>
    <w:p w:rsidR="00A64028" w:rsidRDefault="00A64028" w:rsidP="00103148">
      <w:pPr>
        <w:spacing w:after="0" w:line="360" w:lineRule="auto"/>
        <w:ind w:firstLine="284"/>
        <w:jc w:val="both"/>
        <w:rPr>
          <w:rFonts w:ascii="Arial Narrow" w:hAnsi="Arial Narrow"/>
          <w:sz w:val="24"/>
          <w:szCs w:val="24"/>
        </w:rPr>
      </w:pPr>
      <w:r>
        <w:rPr>
          <w:rFonts w:ascii="Arial Narrow" w:hAnsi="Arial Narrow"/>
          <w:sz w:val="24"/>
          <w:szCs w:val="24"/>
        </w:rPr>
        <w:t xml:space="preserve">Наиболее высока доля отметивших </w:t>
      </w:r>
      <w:r>
        <w:rPr>
          <w:rFonts w:ascii="Arial Narrow" w:hAnsi="Arial Narrow"/>
          <w:b/>
          <w:sz w:val="24"/>
          <w:szCs w:val="24"/>
        </w:rPr>
        <w:t>сложности входа на рынок Новосибирской области для компаний из других регионов</w:t>
      </w:r>
      <w:r>
        <w:rPr>
          <w:rFonts w:ascii="Arial Narrow" w:hAnsi="Arial Narrow"/>
          <w:sz w:val="24"/>
          <w:szCs w:val="24"/>
        </w:rPr>
        <w:t xml:space="preserve"> среди участников рынка услуг по сбору, сортировке и переработке твердых коммунальных (бытовых) отходов (80 %). Это единственная сфера, в которой инорегиональные компании при выходе на рынок испытывают больше сложностей, чем местные. Реже всего наличие трудностей для иногородних компаний отмечали участники рынка услуг социального обслуживания населения (16 %). На остальных рынках о сложностях входа для компаний из других регионов говорят от 20 % до 65,7 %.</w:t>
      </w:r>
    </w:p>
    <w:p w:rsidR="00E82802" w:rsidRDefault="00E82802" w:rsidP="00103148">
      <w:pPr>
        <w:spacing w:after="0"/>
        <w:rPr>
          <w:rFonts w:ascii="Arial Narrow" w:eastAsia="Calibri" w:hAnsi="Arial Narrow"/>
          <w:sz w:val="24"/>
          <w:szCs w:val="24"/>
        </w:rPr>
      </w:pPr>
    </w:p>
    <w:p w:rsidR="00A64028" w:rsidRDefault="00A64028" w:rsidP="00103148">
      <w:pPr>
        <w:spacing w:after="0"/>
        <w:rPr>
          <w:rFonts w:ascii="Arial Narrow" w:hAnsi="Arial Narrow"/>
          <w:sz w:val="24"/>
          <w:szCs w:val="24"/>
        </w:rPr>
      </w:pPr>
      <w:r>
        <w:rPr>
          <w:rFonts w:ascii="Arial Narrow" w:eastAsia="Calibri" w:hAnsi="Arial Narrow"/>
          <w:sz w:val="24"/>
          <w:szCs w:val="24"/>
        </w:rPr>
        <w:t xml:space="preserve">Таблица </w:t>
      </w:r>
      <w:r w:rsidR="00262F71">
        <w:rPr>
          <w:rFonts w:ascii="Arial Narrow" w:eastAsia="Calibri" w:hAnsi="Arial Narrow"/>
          <w:sz w:val="24"/>
          <w:szCs w:val="24"/>
        </w:rPr>
        <w:t>7.23.</w:t>
      </w:r>
      <w:r>
        <w:rPr>
          <w:rFonts w:ascii="Arial Narrow" w:eastAsia="Calibri" w:hAnsi="Arial Narrow"/>
          <w:sz w:val="24"/>
          <w:szCs w:val="24"/>
        </w:rPr>
        <w:t xml:space="preserve">– </w:t>
      </w:r>
      <w:r>
        <w:rPr>
          <w:rFonts w:ascii="Arial Narrow" w:hAnsi="Arial Narrow"/>
          <w:b/>
          <w:sz w:val="24"/>
          <w:szCs w:val="24"/>
        </w:rPr>
        <w:t>Значение показателя 1.3.1. Доля субъектов предпринимательства, считающих, что войти на их рынок новым участникам сложно (% от числа опрошенных). В том числе для участников из других регионов (% от числа опрошенных)</w:t>
      </w:r>
    </w:p>
    <w:tbl>
      <w:tblPr>
        <w:tblW w:w="10211"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434"/>
        <w:gridCol w:w="1703"/>
        <w:gridCol w:w="846"/>
        <w:gridCol w:w="855"/>
        <w:gridCol w:w="457"/>
        <w:gridCol w:w="513"/>
        <w:gridCol w:w="452"/>
        <w:gridCol w:w="851"/>
        <w:gridCol w:w="512"/>
        <w:gridCol w:w="513"/>
        <w:gridCol w:w="512"/>
        <w:gridCol w:w="513"/>
        <w:gridCol w:w="512"/>
        <w:gridCol w:w="513"/>
        <w:gridCol w:w="512"/>
        <w:gridCol w:w="513"/>
      </w:tblGrid>
      <w:tr w:rsidR="00A64028" w:rsidRPr="00507E3F" w:rsidTr="00086001">
        <w:trPr>
          <w:cantSplit/>
          <w:trHeight w:val="3436"/>
        </w:trPr>
        <w:tc>
          <w:tcPr>
            <w:tcW w:w="434" w:type="dxa"/>
            <w:tcBorders>
              <w:top w:val="single" w:sz="4" w:space="0" w:color="auto"/>
              <w:left w:val="single" w:sz="4" w:space="0" w:color="auto"/>
              <w:bottom w:val="single" w:sz="4" w:space="0" w:color="auto"/>
              <w:right w:val="single" w:sz="4" w:space="0" w:color="auto"/>
            </w:tcBorders>
            <w:vAlign w:val="center"/>
            <w:hideMark/>
          </w:tcPr>
          <w:p w:rsidR="00A64028" w:rsidRPr="00507E3F" w:rsidRDefault="00A64028" w:rsidP="00103148">
            <w:pPr>
              <w:spacing w:after="0" w:line="252" w:lineRule="auto"/>
              <w:jc w:val="center"/>
              <w:rPr>
                <w:rFonts w:ascii="Arial Narrow" w:hAnsi="Arial Narrow" w:cs="Arial"/>
                <w:sz w:val="20"/>
                <w:szCs w:val="20"/>
              </w:rPr>
            </w:pPr>
            <w:r w:rsidRPr="00507E3F">
              <w:rPr>
                <w:rFonts w:ascii="Arial Narrow" w:hAnsi="Arial Narrow" w:cs="Arial"/>
                <w:sz w:val="20"/>
                <w:szCs w:val="20"/>
              </w:rPr>
              <w:t>№</w:t>
            </w:r>
          </w:p>
        </w:tc>
        <w:tc>
          <w:tcPr>
            <w:tcW w:w="1703" w:type="dxa"/>
            <w:tcBorders>
              <w:top w:val="single" w:sz="4" w:space="0" w:color="auto"/>
              <w:left w:val="single" w:sz="4" w:space="0" w:color="auto"/>
              <w:bottom w:val="single" w:sz="4" w:space="0" w:color="auto"/>
              <w:right w:val="single" w:sz="4" w:space="0" w:color="auto"/>
            </w:tcBorders>
            <w:vAlign w:val="center"/>
            <w:hideMark/>
          </w:tcPr>
          <w:p w:rsidR="00A64028" w:rsidRPr="00507E3F" w:rsidRDefault="00A64028" w:rsidP="00103148">
            <w:pPr>
              <w:spacing w:after="0" w:line="252" w:lineRule="auto"/>
              <w:ind w:right="141"/>
              <w:rPr>
                <w:rFonts w:ascii="Arial Narrow" w:hAnsi="Arial Narrow" w:cs="Arial"/>
                <w:sz w:val="20"/>
                <w:szCs w:val="20"/>
              </w:rPr>
            </w:pPr>
            <w:r w:rsidRPr="00507E3F">
              <w:rPr>
                <w:rFonts w:ascii="Arial Narrow" w:hAnsi="Arial Narrow" w:cs="Arial"/>
                <w:sz w:val="20"/>
                <w:szCs w:val="20"/>
              </w:rPr>
              <w:t>Наименование показателя, единица измерения</w:t>
            </w:r>
          </w:p>
        </w:tc>
        <w:tc>
          <w:tcPr>
            <w:tcW w:w="846" w:type="dxa"/>
            <w:tcBorders>
              <w:top w:val="single" w:sz="4" w:space="0" w:color="auto"/>
              <w:left w:val="single" w:sz="4" w:space="0" w:color="auto"/>
              <w:bottom w:val="single" w:sz="4" w:space="0" w:color="auto"/>
              <w:right w:val="single" w:sz="4" w:space="0" w:color="auto"/>
            </w:tcBorders>
            <w:textDirection w:val="btLr"/>
            <w:vAlign w:val="center"/>
            <w:hideMark/>
          </w:tcPr>
          <w:p w:rsidR="00A64028" w:rsidRPr="00507E3F" w:rsidRDefault="00A64028" w:rsidP="00086001">
            <w:pPr>
              <w:spacing w:after="0"/>
              <w:ind w:left="113" w:right="113"/>
              <w:jc w:val="center"/>
              <w:rPr>
                <w:rFonts w:ascii="Arial Narrow" w:hAnsi="Arial Narrow" w:cs="Arial"/>
                <w:sz w:val="20"/>
                <w:szCs w:val="20"/>
              </w:rPr>
            </w:pPr>
            <w:r w:rsidRPr="00507E3F">
              <w:rPr>
                <w:rFonts w:ascii="Arial Narrow" w:hAnsi="Arial Narrow" w:cs="Arial"/>
                <w:sz w:val="20"/>
                <w:szCs w:val="20"/>
              </w:rPr>
              <w:t>Общий по Новосибирской области</w:t>
            </w:r>
          </w:p>
        </w:tc>
        <w:tc>
          <w:tcPr>
            <w:tcW w:w="855" w:type="dxa"/>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507E3F" w:rsidRDefault="00A64028" w:rsidP="00103148">
            <w:pPr>
              <w:spacing w:after="0"/>
              <w:ind w:right="113"/>
              <w:jc w:val="center"/>
              <w:rPr>
                <w:rFonts w:ascii="Arial Narrow" w:hAnsi="Arial Narrow" w:cs="Arial"/>
                <w:sz w:val="18"/>
                <w:szCs w:val="18"/>
              </w:rPr>
            </w:pPr>
            <w:r w:rsidRPr="00507E3F">
              <w:rPr>
                <w:rFonts w:ascii="Arial Narrow" w:hAnsi="Arial Narrow" w:cs="Arial"/>
                <w:sz w:val="18"/>
                <w:szCs w:val="18"/>
              </w:rPr>
              <w:t>Рынок услуг дошкольного образования (коммерческие детские сады и учреждения пребывания неполного дня)</w:t>
            </w:r>
          </w:p>
        </w:tc>
        <w:tc>
          <w:tcPr>
            <w:tcW w:w="457" w:type="dxa"/>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507E3F" w:rsidRDefault="00A64028" w:rsidP="00103148">
            <w:pPr>
              <w:spacing w:after="0"/>
              <w:ind w:right="113"/>
              <w:jc w:val="center"/>
              <w:rPr>
                <w:rFonts w:ascii="Arial Narrow" w:hAnsi="Arial Narrow" w:cs="Arial"/>
                <w:sz w:val="18"/>
                <w:szCs w:val="18"/>
              </w:rPr>
            </w:pPr>
            <w:r w:rsidRPr="00507E3F">
              <w:rPr>
                <w:rFonts w:ascii="Arial Narrow" w:hAnsi="Arial Narrow" w:cs="Arial"/>
                <w:sz w:val="18"/>
                <w:szCs w:val="18"/>
              </w:rPr>
              <w:t>Рынок услуг детского отдыха и оздоровления</w:t>
            </w:r>
          </w:p>
        </w:tc>
        <w:tc>
          <w:tcPr>
            <w:tcW w:w="513" w:type="dxa"/>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507E3F" w:rsidRDefault="00A64028" w:rsidP="00103148">
            <w:pPr>
              <w:spacing w:after="0"/>
              <w:ind w:right="113"/>
              <w:jc w:val="center"/>
              <w:rPr>
                <w:rFonts w:ascii="Arial Narrow" w:hAnsi="Arial Narrow" w:cs="Arial"/>
                <w:sz w:val="18"/>
                <w:szCs w:val="18"/>
              </w:rPr>
            </w:pPr>
            <w:r w:rsidRPr="00507E3F">
              <w:rPr>
                <w:rFonts w:ascii="Arial Narrow" w:hAnsi="Arial Narrow" w:cs="Arial"/>
                <w:sz w:val="18"/>
                <w:szCs w:val="18"/>
              </w:rPr>
              <w:t>Рынок дополнительного образования детей</w:t>
            </w:r>
          </w:p>
        </w:tc>
        <w:tc>
          <w:tcPr>
            <w:tcW w:w="452" w:type="dxa"/>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507E3F" w:rsidRDefault="00A64028" w:rsidP="00103148">
            <w:pPr>
              <w:spacing w:after="0"/>
              <w:ind w:right="113"/>
              <w:jc w:val="center"/>
              <w:rPr>
                <w:rFonts w:ascii="Arial Narrow" w:hAnsi="Arial Narrow" w:cs="Arial"/>
                <w:sz w:val="18"/>
                <w:szCs w:val="18"/>
              </w:rPr>
            </w:pPr>
            <w:r w:rsidRPr="00507E3F">
              <w:rPr>
                <w:rFonts w:ascii="Arial Narrow" w:hAnsi="Arial Narrow" w:cs="Arial"/>
                <w:sz w:val="18"/>
                <w:szCs w:val="18"/>
              </w:rPr>
              <w:t>Рынок медицинских услуг</w:t>
            </w:r>
          </w:p>
        </w:tc>
        <w:tc>
          <w:tcPr>
            <w:tcW w:w="851" w:type="dxa"/>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507E3F" w:rsidRDefault="00A64028" w:rsidP="00103148">
            <w:pPr>
              <w:spacing w:after="0"/>
              <w:ind w:right="113"/>
              <w:jc w:val="center"/>
              <w:rPr>
                <w:rFonts w:ascii="Arial Narrow" w:hAnsi="Arial Narrow" w:cs="Arial"/>
                <w:sz w:val="18"/>
                <w:szCs w:val="18"/>
              </w:rPr>
            </w:pPr>
            <w:r w:rsidRPr="00507E3F">
              <w:rPr>
                <w:rFonts w:ascii="Arial Narrow" w:hAnsi="Arial Narrow" w:cs="Arial"/>
                <w:sz w:val="18"/>
                <w:szCs w:val="18"/>
              </w:rPr>
              <w:t>Рынок услуг психолого-педагогического сопровождения детей с ограниченными возможностями здоровья</w:t>
            </w:r>
          </w:p>
        </w:tc>
        <w:tc>
          <w:tcPr>
            <w:tcW w:w="512" w:type="dxa"/>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507E3F" w:rsidRDefault="00A64028" w:rsidP="00103148">
            <w:pPr>
              <w:spacing w:after="0"/>
              <w:ind w:right="113"/>
              <w:jc w:val="center"/>
              <w:rPr>
                <w:rFonts w:ascii="Arial Narrow" w:hAnsi="Arial Narrow" w:cs="Arial"/>
                <w:sz w:val="18"/>
                <w:szCs w:val="18"/>
              </w:rPr>
            </w:pPr>
            <w:r w:rsidRPr="00507E3F">
              <w:rPr>
                <w:rFonts w:ascii="Arial Narrow" w:hAnsi="Arial Narrow" w:cs="Arial"/>
                <w:sz w:val="18"/>
                <w:szCs w:val="18"/>
              </w:rPr>
              <w:t>Рынок услуг в сфере культуры</w:t>
            </w:r>
          </w:p>
        </w:tc>
        <w:tc>
          <w:tcPr>
            <w:tcW w:w="513" w:type="dxa"/>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507E3F" w:rsidRDefault="00A64028" w:rsidP="00103148">
            <w:pPr>
              <w:spacing w:after="0"/>
              <w:ind w:right="113"/>
              <w:jc w:val="center"/>
              <w:rPr>
                <w:rFonts w:ascii="Arial Narrow" w:hAnsi="Arial Narrow" w:cs="Arial"/>
                <w:sz w:val="18"/>
                <w:szCs w:val="18"/>
              </w:rPr>
            </w:pPr>
            <w:r w:rsidRPr="00507E3F">
              <w:rPr>
                <w:rFonts w:ascii="Arial Narrow" w:hAnsi="Arial Narrow" w:cs="Arial"/>
                <w:sz w:val="18"/>
                <w:szCs w:val="18"/>
              </w:rPr>
              <w:t>Рынок услуг ЖКХ (управляющие компании)</w:t>
            </w:r>
          </w:p>
        </w:tc>
        <w:tc>
          <w:tcPr>
            <w:tcW w:w="512" w:type="dxa"/>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507E3F" w:rsidRDefault="00A64028" w:rsidP="00103148">
            <w:pPr>
              <w:spacing w:after="0"/>
              <w:ind w:right="113"/>
              <w:jc w:val="center"/>
              <w:rPr>
                <w:rFonts w:ascii="Arial Narrow" w:hAnsi="Arial Narrow" w:cs="Arial"/>
                <w:sz w:val="18"/>
                <w:szCs w:val="18"/>
              </w:rPr>
            </w:pPr>
            <w:r w:rsidRPr="00507E3F">
              <w:rPr>
                <w:rFonts w:ascii="Arial Narrow" w:hAnsi="Arial Narrow" w:cs="Arial"/>
                <w:sz w:val="18"/>
                <w:szCs w:val="18"/>
              </w:rPr>
              <w:t>Розничная торговля (продажа продуктов питания и непродовольственных товаров)</w:t>
            </w:r>
          </w:p>
        </w:tc>
        <w:tc>
          <w:tcPr>
            <w:tcW w:w="513" w:type="dxa"/>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507E3F" w:rsidRDefault="00A64028" w:rsidP="00103148">
            <w:pPr>
              <w:spacing w:after="0"/>
              <w:ind w:right="113"/>
              <w:jc w:val="center"/>
              <w:rPr>
                <w:rFonts w:ascii="Arial Narrow" w:hAnsi="Arial Narrow" w:cs="Arial"/>
                <w:sz w:val="18"/>
                <w:szCs w:val="18"/>
              </w:rPr>
            </w:pPr>
            <w:r w:rsidRPr="00507E3F">
              <w:rPr>
                <w:rFonts w:ascii="Arial Narrow" w:hAnsi="Arial Narrow" w:cs="Arial"/>
                <w:sz w:val="18"/>
                <w:szCs w:val="18"/>
              </w:rPr>
              <w:t>Рынок услуг перевозок пассажиров наземным транспортом (автобусные перевозки и такси)</w:t>
            </w:r>
          </w:p>
        </w:tc>
        <w:tc>
          <w:tcPr>
            <w:tcW w:w="512" w:type="dxa"/>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507E3F" w:rsidRDefault="00A64028" w:rsidP="00103148">
            <w:pPr>
              <w:spacing w:after="0"/>
              <w:ind w:right="113"/>
              <w:jc w:val="center"/>
              <w:rPr>
                <w:rFonts w:ascii="Arial Narrow" w:hAnsi="Arial Narrow" w:cs="Arial"/>
                <w:sz w:val="18"/>
                <w:szCs w:val="18"/>
              </w:rPr>
            </w:pPr>
            <w:r w:rsidRPr="00507E3F">
              <w:rPr>
                <w:rFonts w:ascii="Arial Narrow" w:hAnsi="Arial Narrow" w:cs="Arial"/>
                <w:sz w:val="18"/>
                <w:szCs w:val="18"/>
              </w:rPr>
              <w:t>Рынок услуг связи</w:t>
            </w:r>
          </w:p>
        </w:tc>
        <w:tc>
          <w:tcPr>
            <w:tcW w:w="513" w:type="dxa"/>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507E3F" w:rsidRDefault="00A64028" w:rsidP="00103148">
            <w:pPr>
              <w:spacing w:after="0"/>
              <w:ind w:right="113"/>
              <w:jc w:val="center"/>
              <w:rPr>
                <w:rFonts w:ascii="Arial Narrow" w:hAnsi="Arial Narrow" w:cs="Arial"/>
                <w:sz w:val="18"/>
                <w:szCs w:val="18"/>
              </w:rPr>
            </w:pPr>
            <w:r w:rsidRPr="00507E3F">
              <w:rPr>
                <w:rFonts w:ascii="Arial Narrow" w:hAnsi="Arial Narrow" w:cs="Arial"/>
                <w:sz w:val="18"/>
                <w:szCs w:val="18"/>
              </w:rPr>
              <w:t>Рынок услуг социального обслуживания населения</w:t>
            </w:r>
          </w:p>
        </w:tc>
        <w:tc>
          <w:tcPr>
            <w:tcW w:w="512" w:type="dxa"/>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507E3F" w:rsidRDefault="00A64028" w:rsidP="00103148">
            <w:pPr>
              <w:spacing w:after="0"/>
              <w:ind w:right="113"/>
              <w:jc w:val="center"/>
              <w:rPr>
                <w:rFonts w:ascii="Arial Narrow" w:hAnsi="Arial Narrow" w:cs="Arial"/>
                <w:sz w:val="18"/>
                <w:szCs w:val="18"/>
              </w:rPr>
            </w:pPr>
            <w:r w:rsidRPr="00507E3F">
              <w:rPr>
                <w:rFonts w:ascii="Arial Narrow" w:hAnsi="Arial Narrow" w:cs="Arial"/>
                <w:sz w:val="18"/>
                <w:szCs w:val="18"/>
              </w:rPr>
              <w:t>Рынок развития, производства, переработки и хранения сельскохозяйственной продукции</w:t>
            </w:r>
          </w:p>
        </w:tc>
        <w:tc>
          <w:tcPr>
            <w:tcW w:w="513" w:type="dxa"/>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507E3F" w:rsidRDefault="00A64028" w:rsidP="00103148">
            <w:pPr>
              <w:spacing w:after="0"/>
              <w:ind w:right="113"/>
              <w:jc w:val="center"/>
              <w:rPr>
                <w:rFonts w:ascii="Arial Narrow" w:hAnsi="Arial Narrow" w:cs="Arial"/>
                <w:sz w:val="18"/>
                <w:szCs w:val="18"/>
              </w:rPr>
            </w:pPr>
            <w:r w:rsidRPr="00507E3F">
              <w:rPr>
                <w:rFonts w:ascii="Arial Narrow" w:hAnsi="Arial Narrow" w:cs="Arial"/>
                <w:sz w:val="18"/>
                <w:szCs w:val="18"/>
              </w:rPr>
              <w:t>Рынок услуг по сбору, сортировке и переработке твердых коммунальных (бытовых) отходов</w:t>
            </w:r>
          </w:p>
        </w:tc>
      </w:tr>
      <w:tr w:rsidR="00A64028" w:rsidRPr="00507E3F" w:rsidTr="00507E3F">
        <w:tc>
          <w:tcPr>
            <w:tcW w:w="434" w:type="dxa"/>
            <w:tcBorders>
              <w:top w:val="single" w:sz="4" w:space="0" w:color="auto"/>
              <w:left w:val="single" w:sz="4" w:space="0" w:color="auto"/>
              <w:bottom w:val="single" w:sz="4" w:space="0" w:color="auto"/>
              <w:right w:val="single" w:sz="4" w:space="0" w:color="auto"/>
            </w:tcBorders>
            <w:vAlign w:val="center"/>
            <w:hideMark/>
          </w:tcPr>
          <w:p w:rsidR="00A64028" w:rsidRPr="00507E3F" w:rsidRDefault="00A64028" w:rsidP="00103148">
            <w:pPr>
              <w:spacing w:after="0"/>
              <w:jc w:val="both"/>
              <w:rPr>
                <w:rFonts w:ascii="Arial Narrow" w:hAnsi="Arial Narrow"/>
                <w:sz w:val="20"/>
                <w:szCs w:val="20"/>
              </w:rPr>
            </w:pPr>
            <w:r w:rsidRPr="00507E3F">
              <w:rPr>
                <w:rFonts w:ascii="Arial Narrow" w:hAnsi="Arial Narrow"/>
                <w:sz w:val="20"/>
                <w:szCs w:val="20"/>
              </w:rPr>
              <w:t>1.3.1.</w:t>
            </w:r>
          </w:p>
        </w:tc>
        <w:tc>
          <w:tcPr>
            <w:tcW w:w="9777" w:type="dxa"/>
            <w:gridSpan w:val="15"/>
            <w:tcBorders>
              <w:top w:val="single" w:sz="4" w:space="0" w:color="auto"/>
              <w:left w:val="single" w:sz="4" w:space="0" w:color="auto"/>
              <w:bottom w:val="single" w:sz="4" w:space="0" w:color="auto"/>
              <w:right w:val="single" w:sz="4" w:space="0" w:color="auto"/>
            </w:tcBorders>
            <w:hideMark/>
          </w:tcPr>
          <w:p w:rsidR="00A64028" w:rsidRPr="00507E3F" w:rsidRDefault="00A64028" w:rsidP="00103148">
            <w:pPr>
              <w:spacing w:after="0"/>
              <w:rPr>
                <w:rFonts w:ascii="Arial Narrow" w:hAnsi="Arial Narrow"/>
                <w:sz w:val="20"/>
                <w:szCs w:val="20"/>
              </w:rPr>
            </w:pPr>
            <w:r w:rsidRPr="00507E3F">
              <w:rPr>
                <w:rFonts w:ascii="Arial Narrow" w:hAnsi="Arial Narrow"/>
                <w:sz w:val="20"/>
                <w:szCs w:val="20"/>
              </w:rPr>
              <w:t>Доля субъектов предпринимательства, считающих, что войти на их рынок новым участникам сложно (% от числа опрошенных). В том числе для участников из других регионов (% от числа опрошенных)</w:t>
            </w:r>
          </w:p>
        </w:tc>
      </w:tr>
      <w:tr w:rsidR="00A64028" w:rsidRPr="00507E3F" w:rsidTr="00507E3F">
        <w:tc>
          <w:tcPr>
            <w:tcW w:w="434" w:type="dxa"/>
            <w:tcBorders>
              <w:top w:val="single" w:sz="4" w:space="0" w:color="auto"/>
              <w:left w:val="single" w:sz="4" w:space="0" w:color="auto"/>
              <w:bottom w:val="single" w:sz="4" w:space="0" w:color="auto"/>
              <w:right w:val="single" w:sz="4" w:space="0" w:color="auto"/>
            </w:tcBorders>
            <w:vAlign w:val="center"/>
            <w:hideMark/>
          </w:tcPr>
          <w:p w:rsidR="00A64028" w:rsidRPr="00507E3F" w:rsidRDefault="00A64028" w:rsidP="00103148">
            <w:pPr>
              <w:spacing w:after="0"/>
              <w:jc w:val="both"/>
              <w:rPr>
                <w:rFonts w:ascii="Arial Narrow" w:hAnsi="Arial Narrow"/>
                <w:sz w:val="20"/>
                <w:szCs w:val="20"/>
              </w:rPr>
            </w:pPr>
            <w:r w:rsidRPr="00507E3F">
              <w:rPr>
                <w:rFonts w:ascii="Arial Narrow" w:hAnsi="Arial Narrow"/>
                <w:sz w:val="20"/>
                <w:szCs w:val="20"/>
              </w:rPr>
              <w:t> </w:t>
            </w:r>
          </w:p>
        </w:tc>
        <w:tc>
          <w:tcPr>
            <w:tcW w:w="1703" w:type="dxa"/>
            <w:tcBorders>
              <w:top w:val="single" w:sz="4" w:space="0" w:color="auto"/>
              <w:left w:val="single" w:sz="4" w:space="0" w:color="auto"/>
              <w:bottom w:val="single" w:sz="4" w:space="0" w:color="auto"/>
              <w:right w:val="single" w:sz="4" w:space="0" w:color="auto"/>
            </w:tcBorders>
            <w:vAlign w:val="center"/>
            <w:hideMark/>
          </w:tcPr>
          <w:p w:rsidR="00A64028" w:rsidRPr="00507E3F" w:rsidRDefault="00A64028" w:rsidP="00103148">
            <w:pPr>
              <w:spacing w:after="0"/>
              <w:rPr>
                <w:rFonts w:ascii="Arial Narrow" w:hAnsi="Arial Narrow"/>
                <w:sz w:val="20"/>
                <w:szCs w:val="20"/>
              </w:rPr>
            </w:pPr>
            <w:r w:rsidRPr="00507E3F">
              <w:rPr>
                <w:rFonts w:ascii="Arial Narrow" w:hAnsi="Arial Narrow"/>
                <w:sz w:val="20"/>
                <w:szCs w:val="20"/>
              </w:rPr>
              <w:t>Сложно для местной компании, %</w:t>
            </w:r>
          </w:p>
        </w:tc>
        <w:tc>
          <w:tcPr>
            <w:tcW w:w="846" w:type="dxa"/>
            <w:tcBorders>
              <w:top w:val="single" w:sz="4" w:space="0" w:color="auto"/>
              <w:left w:val="single" w:sz="4" w:space="0" w:color="auto"/>
              <w:bottom w:val="single" w:sz="4" w:space="0" w:color="auto"/>
              <w:right w:val="single" w:sz="4" w:space="0" w:color="auto"/>
            </w:tcBorders>
            <w:vAlign w:val="center"/>
            <w:hideMark/>
          </w:tcPr>
          <w:p w:rsidR="00A64028" w:rsidRPr="00507E3F" w:rsidRDefault="00A64028" w:rsidP="00103148">
            <w:pPr>
              <w:spacing w:after="0"/>
              <w:jc w:val="center"/>
              <w:rPr>
                <w:rFonts w:ascii="Arial Narrow" w:hAnsi="Arial Narrow"/>
                <w:sz w:val="20"/>
                <w:szCs w:val="20"/>
              </w:rPr>
            </w:pPr>
            <w:r w:rsidRPr="00507E3F">
              <w:rPr>
                <w:rFonts w:ascii="Arial Narrow" w:hAnsi="Arial Narrow"/>
                <w:sz w:val="20"/>
                <w:szCs w:val="20"/>
              </w:rPr>
              <w:t>72,9%</w:t>
            </w:r>
          </w:p>
        </w:tc>
        <w:tc>
          <w:tcPr>
            <w:tcW w:w="855" w:type="dxa"/>
            <w:tcBorders>
              <w:top w:val="single" w:sz="4" w:space="0" w:color="auto"/>
              <w:left w:val="single" w:sz="4" w:space="0" w:color="auto"/>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hAnsi="Arial Narrow"/>
                <w:sz w:val="20"/>
                <w:szCs w:val="20"/>
              </w:rPr>
            </w:pPr>
            <w:r w:rsidRPr="00507E3F">
              <w:rPr>
                <w:rFonts w:ascii="Arial Narrow" w:hAnsi="Arial Narrow"/>
                <w:sz w:val="20"/>
                <w:szCs w:val="20"/>
              </w:rPr>
              <w:t>60,0%</w:t>
            </w:r>
          </w:p>
        </w:tc>
        <w:tc>
          <w:tcPr>
            <w:tcW w:w="457" w:type="dxa"/>
            <w:tcBorders>
              <w:top w:val="single" w:sz="4" w:space="0" w:color="auto"/>
              <w:left w:val="single" w:sz="4" w:space="0" w:color="auto"/>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hAnsi="Arial Narrow"/>
                <w:sz w:val="20"/>
                <w:szCs w:val="20"/>
              </w:rPr>
            </w:pPr>
            <w:r w:rsidRPr="00507E3F">
              <w:rPr>
                <w:rFonts w:ascii="Arial Narrow" w:hAnsi="Arial Narrow"/>
                <w:sz w:val="20"/>
                <w:szCs w:val="20"/>
              </w:rPr>
              <w:t>60,0%</w:t>
            </w:r>
          </w:p>
        </w:tc>
        <w:tc>
          <w:tcPr>
            <w:tcW w:w="513" w:type="dxa"/>
            <w:tcBorders>
              <w:top w:val="single" w:sz="4" w:space="0" w:color="auto"/>
              <w:left w:val="single" w:sz="4" w:space="0" w:color="auto"/>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hAnsi="Arial Narrow"/>
                <w:sz w:val="20"/>
                <w:szCs w:val="20"/>
              </w:rPr>
            </w:pPr>
            <w:r w:rsidRPr="00507E3F">
              <w:rPr>
                <w:rFonts w:ascii="Arial Narrow" w:hAnsi="Arial Narrow"/>
                <w:sz w:val="20"/>
                <w:szCs w:val="20"/>
              </w:rPr>
              <w:t>72,0%</w:t>
            </w:r>
          </w:p>
        </w:tc>
        <w:tc>
          <w:tcPr>
            <w:tcW w:w="452" w:type="dxa"/>
            <w:tcBorders>
              <w:top w:val="single" w:sz="4" w:space="0" w:color="auto"/>
              <w:left w:val="single" w:sz="4" w:space="0" w:color="auto"/>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hAnsi="Arial Narrow"/>
                <w:sz w:val="20"/>
                <w:szCs w:val="20"/>
              </w:rPr>
            </w:pPr>
            <w:r w:rsidRPr="00507E3F">
              <w:rPr>
                <w:rFonts w:ascii="Arial Narrow" w:hAnsi="Arial Narrow"/>
                <w:sz w:val="20"/>
                <w:szCs w:val="20"/>
              </w:rPr>
              <w:t>78,6%</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hAnsi="Arial Narrow"/>
                <w:sz w:val="20"/>
                <w:szCs w:val="20"/>
              </w:rPr>
            </w:pPr>
            <w:r w:rsidRPr="00507E3F">
              <w:rPr>
                <w:rFonts w:ascii="Arial Narrow" w:hAnsi="Arial Narrow"/>
                <w:sz w:val="20"/>
                <w:szCs w:val="20"/>
              </w:rPr>
              <w:t>56,0%</w:t>
            </w:r>
          </w:p>
        </w:tc>
        <w:tc>
          <w:tcPr>
            <w:tcW w:w="512" w:type="dxa"/>
            <w:tcBorders>
              <w:top w:val="single" w:sz="4" w:space="0" w:color="auto"/>
              <w:left w:val="single" w:sz="4" w:space="0" w:color="auto"/>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hAnsi="Arial Narrow"/>
                <w:sz w:val="20"/>
                <w:szCs w:val="20"/>
              </w:rPr>
            </w:pPr>
            <w:r w:rsidRPr="00507E3F">
              <w:rPr>
                <w:rFonts w:ascii="Arial Narrow" w:hAnsi="Arial Narrow"/>
                <w:sz w:val="20"/>
                <w:szCs w:val="20"/>
              </w:rPr>
              <w:t>52,0%</w:t>
            </w:r>
          </w:p>
        </w:tc>
        <w:tc>
          <w:tcPr>
            <w:tcW w:w="513" w:type="dxa"/>
            <w:tcBorders>
              <w:top w:val="single" w:sz="4" w:space="0" w:color="auto"/>
              <w:left w:val="single" w:sz="4" w:space="0" w:color="auto"/>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hAnsi="Arial Narrow"/>
                <w:sz w:val="20"/>
                <w:szCs w:val="20"/>
              </w:rPr>
            </w:pPr>
            <w:r w:rsidRPr="00507E3F">
              <w:rPr>
                <w:rFonts w:ascii="Arial Narrow" w:hAnsi="Arial Narrow"/>
                <w:sz w:val="20"/>
                <w:szCs w:val="20"/>
              </w:rPr>
              <w:t>78,6%</w:t>
            </w:r>
          </w:p>
        </w:tc>
        <w:tc>
          <w:tcPr>
            <w:tcW w:w="512" w:type="dxa"/>
            <w:tcBorders>
              <w:top w:val="single" w:sz="4" w:space="0" w:color="auto"/>
              <w:left w:val="single" w:sz="4" w:space="0" w:color="auto"/>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hAnsi="Arial Narrow"/>
                <w:sz w:val="20"/>
                <w:szCs w:val="20"/>
              </w:rPr>
            </w:pPr>
            <w:r w:rsidRPr="00507E3F">
              <w:rPr>
                <w:rFonts w:ascii="Arial Narrow" w:hAnsi="Arial Narrow"/>
                <w:sz w:val="20"/>
                <w:szCs w:val="20"/>
              </w:rPr>
              <w:t>76,1%</w:t>
            </w:r>
          </w:p>
        </w:tc>
        <w:tc>
          <w:tcPr>
            <w:tcW w:w="513" w:type="dxa"/>
            <w:tcBorders>
              <w:top w:val="single" w:sz="4" w:space="0" w:color="auto"/>
              <w:left w:val="single" w:sz="4" w:space="0" w:color="auto"/>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hAnsi="Arial Narrow"/>
                <w:sz w:val="20"/>
                <w:szCs w:val="20"/>
              </w:rPr>
            </w:pPr>
            <w:r w:rsidRPr="00507E3F">
              <w:rPr>
                <w:rFonts w:ascii="Arial Narrow" w:hAnsi="Arial Narrow"/>
                <w:sz w:val="20"/>
                <w:szCs w:val="20"/>
              </w:rPr>
              <w:t>80,0%</w:t>
            </w:r>
          </w:p>
        </w:tc>
        <w:tc>
          <w:tcPr>
            <w:tcW w:w="512" w:type="dxa"/>
            <w:tcBorders>
              <w:top w:val="single" w:sz="4" w:space="0" w:color="auto"/>
              <w:left w:val="single" w:sz="4" w:space="0" w:color="auto"/>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hAnsi="Arial Narrow"/>
                <w:sz w:val="20"/>
                <w:szCs w:val="20"/>
              </w:rPr>
            </w:pPr>
            <w:r w:rsidRPr="00507E3F">
              <w:rPr>
                <w:rFonts w:ascii="Arial Narrow" w:hAnsi="Arial Narrow"/>
                <w:sz w:val="20"/>
                <w:szCs w:val="20"/>
              </w:rPr>
              <w:t>72,0%</w:t>
            </w:r>
          </w:p>
        </w:tc>
        <w:tc>
          <w:tcPr>
            <w:tcW w:w="513" w:type="dxa"/>
            <w:tcBorders>
              <w:top w:val="single" w:sz="4" w:space="0" w:color="auto"/>
              <w:left w:val="single" w:sz="4" w:space="0" w:color="auto"/>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hAnsi="Arial Narrow"/>
                <w:sz w:val="20"/>
                <w:szCs w:val="20"/>
              </w:rPr>
            </w:pPr>
            <w:r w:rsidRPr="00507E3F">
              <w:rPr>
                <w:rFonts w:ascii="Arial Narrow" w:hAnsi="Arial Narrow"/>
                <w:sz w:val="20"/>
                <w:szCs w:val="20"/>
              </w:rPr>
              <w:t>60,0%</w:t>
            </w:r>
          </w:p>
        </w:tc>
        <w:tc>
          <w:tcPr>
            <w:tcW w:w="512" w:type="dxa"/>
            <w:tcBorders>
              <w:top w:val="single" w:sz="4" w:space="0" w:color="auto"/>
              <w:left w:val="single" w:sz="4" w:space="0" w:color="auto"/>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hAnsi="Arial Narrow"/>
                <w:sz w:val="20"/>
                <w:szCs w:val="20"/>
              </w:rPr>
            </w:pPr>
            <w:r w:rsidRPr="00507E3F">
              <w:rPr>
                <w:rFonts w:ascii="Arial Narrow" w:hAnsi="Arial Narrow"/>
                <w:sz w:val="20"/>
                <w:szCs w:val="20"/>
              </w:rPr>
              <w:t>79,0%</w:t>
            </w:r>
          </w:p>
        </w:tc>
        <w:tc>
          <w:tcPr>
            <w:tcW w:w="513" w:type="dxa"/>
            <w:tcBorders>
              <w:top w:val="single" w:sz="4" w:space="0" w:color="auto"/>
              <w:left w:val="single" w:sz="4" w:space="0" w:color="auto"/>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hAnsi="Arial Narrow"/>
                <w:sz w:val="20"/>
                <w:szCs w:val="20"/>
              </w:rPr>
            </w:pPr>
            <w:r w:rsidRPr="00507E3F">
              <w:rPr>
                <w:rFonts w:ascii="Arial Narrow" w:hAnsi="Arial Narrow"/>
                <w:sz w:val="20"/>
                <w:szCs w:val="20"/>
              </w:rPr>
              <w:t>70,0%</w:t>
            </w:r>
          </w:p>
        </w:tc>
      </w:tr>
      <w:tr w:rsidR="00A64028" w:rsidRPr="00507E3F" w:rsidTr="00507E3F">
        <w:tc>
          <w:tcPr>
            <w:tcW w:w="434" w:type="dxa"/>
            <w:tcBorders>
              <w:top w:val="single" w:sz="4" w:space="0" w:color="auto"/>
              <w:left w:val="single" w:sz="4" w:space="0" w:color="auto"/>
              <w:bottom w:val="single" w:sz="4" w:space="0" w:color="auto"/>
              <w:right w:val="single" w:sz="4" w:space="0" w:color="auto"/>
            </w:tcBorders>
            <w:vAlign w:val="center"/>
            <w:hideMark/>
          </w:tcPr>
          <w:p w:rsidR="00A64028" w:rsidRPr="00507E3F" w:rsidRDefault="00A64028" w:rsidP="00103148">
            <w:pPr>
              <w:spacing w:after="0"/>
              <w:jc w:val="both"/>
              <w:rPr>
                <w:rFonts w:ascii="Arial Narrow" w:hAnsi="Arial Narrow"/>
                <w:sz w:val="20"/>
                <w:szCs w:val="20"/>
              </w:rPr>
            </w:pPr>
            <w:r w:rsidRPr="00507E3F">
              <w:rPr>
                <w:rFonts w:ascii="Arial Narrow" w:hAnsi="Arial Narrow"/>
                <w:sz w:val="20"/>
                <w:szCs w:val="20"/>
              </w:rPr>
              <w:t> </w:t>
            </w:r>
          </w:p>
        </w:tc>
        <w:tc>
          <w:tcPr>
            <w:tcW w:w="1703" w:type="dxa"/>
            <w:tcBorders>
              <w:top w:val="single" w:sz="4" w:space="0" w:color="auto"/>
              <w:left w:val="single" w:sz="4" w:space="0" w:color="auto"/>
              <w:bottom w:val="single" w:sz="4" w:space="0" w:color="auto"/>
              <w:right w:val="single" w:sz="4" w:space="0" w:color="auto"/>
            </w:tcBorders>
            <w:vAlign w:val="center"/>
            <w:hideMark/>
          </w:tcPr>
          <w:p w:rsidR="00A64028" w:rsidRPr="00507E3F" w:rsidRDefault="00A64028" w:rsidP="00103148">
            <w:pPr>
              <w:spacing w:after="0"/>
              <w:rPr>
                <w:rFonts w:ascii="Arial Narrow" w:hAnsi="Arial Narrow"/>
                <w:sz w:val="20"/>
                <w:szCs w:val="20"/>
              </w:rPr>
            </w:pPr>
            <w:r w:rsidRPr="00507E3F">
              <w:rPr>
                <w:rFonts w:ascii="Arial Narrow" w:hAnsi="Arial Narrow"/>
                <w:sz w:val="20"/>
                <w:szCs w:val="20"/>
              </w:rPr>
              <w:t>Сложно для инорегиональной компании, %</w:t>
            </w:r>
          </w:p>
        </w:tc>
        <w:tc>
          <w:tcPr>
            <w:tcW w:w="846" w:type="dxa"/>
            <w:tcBorders>
              <w:top w:val="single" w:sz="4" w:space="0" w:color="auto"/>
              <w:left w:val="single" w:sz="4" w:space="0" w:color="auto"/>
              <w:bottom w:val="single" w:sz="4" w:space="0" w:color="auto"/>
              <w:right w:val="single" w:sz="4" w:space="0" w:color="auto"/>
            </w:tcBorders>
            <w:vAlign w:val="center"/>
            <w:hideMark/>
          </w:tcPr>
          <w:p w:rsidR="00A64028" w:rsidRPr="00507E3F" w:rsidRDefault="00A64028" w:rsidP="00103148">
            <w:pPr>
              <w:spacing w:after="0"/>
              <w:jc w:val="center"/>
              <w:rPr>
                <w:rFonts w:ascii="Arial Narrow" w:hAnsi="Arial Narrow"/>
                <w:sz w:val="20"/>
                <w:szCs w:val="20"/>
              </w:rPr>
            </w:pPr>
            <w:r w:rsidRPr="00507E3F">
              <w:rPr>
                <w:rFonts w:ascii="Arial Narrow" w:hAnsi="Arial Narrow"/>
                <w:sz w:val="20"/>
                <w:szCs w:val="20"/>
              </w:rPr>
              <w:t>44,5%</w:t>
            </w:r>
          </w:p>
        </w:tc>
        <w:tc>
          <w:tcPr>
            <w:tcW w:w="855" w:type="dxa"/>
            <w:tcBorders>
              <w:top w:val="single" w:sz="4" w:space="0" w:color="auto"/>
              <w:left w:val="single" w:sz="4" w:space="0" w:color="auto"/>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hAnsi="Arial Narrow"/>
                <w:sz w:val="20"/>
                <w:szCs w:val="20"/>
              </w:rPr>
            </w:pPr>
            <w:r w:rsidRPr="00507E3F">
              <w:rPr>
                <w:rFonts w:ascii="Arial Narrow" w:hAnsi="Arial Narrow"/>
                <w:sz w:val="20"/>
                <w:szCs w:val="20"/>
              </w:rPr>
              <w:t>40,0%</w:t>
            </w:r>
          </w:p>
        </w:tc>
        <w:tc>
          <w:tcPr>
            <w:tcW w:w="457" w:type="dxa"/>
            <w:tcBorders>
              <w:top w:val="single" w:sz="4" w:space="0" w:color="auto"/>
              <w:left w:val="single" w:sz="4" w:space="0" w:color="auto"/>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hAnsi="Arial Narrow"/>
                <w:sz w:val="20"/>
                <w:szCs w:val="20"/>
              </w:rPr>
            </w:pPr>
            <w:r w:rsidRPr="00507E3F">
              <w:rPr>
                <w:rFonts w:ascii="Arial Narrow" w:hAnsi="Arial Narrow"/>
                <w:sz w:val="20"/>
                <w:szCs w:val="20"/>
              </w:rPr>
              <w:t>20,0%</w:t>
            </w:r>
          </w:p>
        </w:tc>
        <w:tc>
          <w:tcPr>
            <w:tcW w:w="513" w:type="dxa"/>
            <w:tcBorders>
              <w:top w:val="single" w:sz="4" w:space="0" w:color="auto"/>
              <w:left w:val="single" w:sz="4" w:space="0" w:color="auto"/>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hAnsi="Arial Narrow"/>
                <w:sz w:val="20"/>
                <w:szCs w:val="20"/>
              </w:rPr>
            </w:pPr>
            <w:r w:rsidRPr="00507E3F">
              <w:rPr>
                <w:rFonts w:ascii="Arial Narrow" w:hAnsi="Arial Narrow"/>
                <w:sz w:val="20"/>
                <w:szCs w:val="20"/>
              </w:rPr>
              <w:t>40,0%</w:t>
            </w:r>
          </w:p>
        </w:tc>
        <w:tc>
          <w:tcPr>
            <w:tcW w:w="452" w:type="dxa"/>
            <w:tcBorders>
              <w:top w:val="single" w:sz="4" w:space="0" w:color="auto"/>
              <w:left w:val="single" w:sz="4" w:space="0" w:color="auto"/>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hAnsi="Arial Narrow"/>
                <w:sz w:val="20"/>
                <w:szCs w:val="20"/>
              </w:rPr>
            </w:pPr>
            <w:r w:rsidRPr="00507E3F">
              <w:rPr>
                <w:rFonts w:ascii="Arial Narrow" w:hAnsi="Arial Narrow"/>
                <w:sz w:val="20"/>
                <w:szCs w:val="20"/>
              </w:rPr>
              <w:t>38,6%</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hAnsi="Arial Narrow"/>
                <w:sz w:val="20"/>
                <w:szCs w:val="20"/>
              </w:rPr>
            </w:pPr>
            <w:r w:rsidRPr="00507E3F">
              <w:rPr>
                <w:rFonts w:ascii="Arial Narrow" w:hAnsi="Arial Narrow"/>
                <w:sz w:val="20"/>
                <w:szCs w:val="20"/>
              </w:rPr>
              <w:t>36,0%</w:t>
            </w:r>
          </w:p>
        </w:tc>
        <w:tc>
          <w:tcPr>
            <w:tcW w:w="512" w:type="dxa"/>
            <w:tcBorders>
              <w:top w:val="single" w:sz="4" w:space="0" w:color="auto"/>
              <w:left w:val="single" w:sz="4" w:space="0" w:color="auto"/>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hAnsi="Arial Narrow"/>
                <w:sz w:val="20"/>
                <w:szCs w:val="20"/>
              </w:rPr>
            </w:pPr>
            <w:r w:rsidRPr="00507E3F">
              <w:rPr>
                <w:rFonts w:ascii="Arial Narrow" w:hAnsi="Arial Narrow"/>
                <w:sz w:val="20"/>
                <w:szCs w:val="20"/>
              </w:rPr>
              <w:t>36,0%</w:t>
            </w:r>
          </w:p>
        </w:tc>
        <w:tc>
          <w:tcPr>
            <w:tcW w:w="513" w:type="dxa"/>
            <w:tcBorders>
              <w:top w:val="single" w:sz="4" w:space="0" w:color="auto"/>
              <w:left w:val="single" w:sz="4" w:space="0" w:color="auto"/>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hAnsi="Arial Narrow"/>
                <w:sz w:val="20"/>
                <w:szCs w:val="20"/>
              </w:rPr>
            </w:pPr>
            <w:r w:rsidRPr="00507E3F">
              <w:rPr>
                <w:rFonts w:ascii="Arial Narrow" w:hAnsi="Arial Narrow"/>
                <w:sz w:val="20"/>
                <w:szCs w:val="20"/>
              </w:rPr>
              <w:t>65,7%</w:t>
            </w:r>
          </w:p>
        </w:tc>
        <w:tc>
          <w:tcPr>
            <w:tcW w:w="512" w:type="dxa"/>
            <w:tcBorders>
              <w:top w:val="single" w:sz="4" w:space="0" w:color="auto"/>
              <w:left w:val="single" w:sz="4" w:space="0" w:color="auto"/>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hAnsi="Arial Narrow"/>
                <w:sz w:val="20"/>
                <w:szCs w:val="20"/>
              </w:rPr>
            </w:pPr>
            <w:r w:rsidRPr="00507E3F">
              <w:rPr>
                <w:rFonts w:ascii="Arial Narrow" w:hAnsi="Arial Narrow"/>
                <w:sz w:val="20"/>
                <w:szCs w:val="20"/>
              </w:rPr>
              <w:t>45,6%</w:t>
            </w:r>
          </w:p>
        </w:tc>
        <w:tc>
          <w:tcPr>
            <w:tcW w:w="513" w:type="dxa"/>
            <w:tcBorders>
              <w:top w:val="single" w:sz="4" w:space="0" w:color="auto"/>
              <w:left w:val="single" w:sz="4" w:space="0" w:color="auto"/>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hAnsi="Arial Narrow"/>
                <w:sz w:val="20"/>
                <w:szCs w:val="20"/>
              </w:rPr>
            </w:pPr>
            <w:r w:rsidRPr="00507E3F">
              <w:rPr>
                <w:rFonts w:ascii="Arial Narrow" w:hAnsi="Arial Narrow"/>
                <w:sz w:val="20"/>
                <w:szCs w:val="20"/>
              </w:rPr>
              <w:t>61,7%</w:t>
            </w:r>
          </w:p>
        </w:tc>
        <w:tc>
          <w:tcPr>
            <w:tcW w:w="512" w:type="dxa"/>
            <w:tcBorders>
              <w:top w:val="single" w:sz="4" w:space="0" w:color="auto"/>
              <w:left w:val="single" w:sz="4" w:space="0" w:color="auto"/>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hAnsi="Arial Narrow"/>
                <w:sz w:val="20"/>
                <w:szCs w:val="20"/>
              </w:rPr>
            </w:pPr>
            <w:r w:rsidRPr="00507E3F">
              <w:rPr>
                <w:rFonts w:ascii="Arial Narrow" w:hAnsi="Arial Narrow"/>
                <w:sz w:val="20"/>
                <w:szCs w:val="20"/>
              </w:rPr>
              <w:t>48,0%</w:t>
            </w:r>
          </w:p>
        </w:tc>
        <w:tc>
          <w:tcPr>
            <w:tcW w:w="513" w:type="dxa"/>
            <w:tcBorders>
              <w:top w:val="single" w:sz="4" w:space="0" w:color="auto"/>
              <w:left w:val="single" w:sz="4" w:space="0" w:color="auto"/>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hAnsi="Arial Narrow"/>
                <w:sz w:val="20"/>
                <w:szCs w:val="20"/>
              </w:rPr>
            </w:pPr>
            <w:r w:rsidRPr="00507E3F">
              <w:rPr>
                <w:rFonts w:ascii="Arial Narrow" w:hAnsi="Arial Narrow"/>
                <w:sz w:val="20"/>
                <w:szCs w:val="20"/>
              </w:rPr>
              <w:t>16,0%</w:t>
            </w:r>
          </w:p>
        </w:tc>
        <w:tc>
          <w:tcPr>
            <w:tcW w:w="512" w:type="dxa"/>
            <w:tcBorders>
              <w:top w:val="single" w:sz="4" w:space="0" w:color="auto"/>
              <w:left w:val="single" w:sz="4" w:space="0" w:color="auto"/>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hAnsi="Arial Narrow"/>
                <w:sz w:val="20"/>
                <w:szCs w:val="20"/>
              </w:rPr>
            </w:pPr>
            <w:r w:rsidRPr="00507E3F">
              <w:rPr>
                <w:rFonts w:ascii="Arial Narrow" w:hAnsi="Arial Narrow"/>
                <w:sz w:val="20"/>
                <w:szCs w:val="20"/>
              </w:rPr>
              <w:t>38,0%</w:t>
            </w:r>
          </w:p>
        </w:tc>
        <w:tc>
          <w:tcPr>
            <w:tcW w:w="513" w:type="dxa"/>
            <w:tcBorders>
              <w:top w:val="single" w:sz="4" w:space="0" w:color="auto"/>
              <w:left w:val="single" w:sz="4" w:space="0" w:color="auto"/>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hAnsi="Arial Narrow"/>
                <w:sz w:val="20"/>
                <w:szCs w:val="20"/>
              </w:rPr>
            </w:pPr>
            <w:r w:rsidRPr="00507E3F">
              <w:rPr>
                <w:rFonts w:ascii="Arial Narrow" w:hAnsi="Arial Narrow"/>
                <w:sz w:val="20"/>
                <w:szCs w:val="20"/>
              </w:rPr>
              <w:t>80,0%</w:t>
            </w:r>
          </w:p>
        </w:tc>
      </w:tr>
    </w:tbl>
    <w:p w:rsidR="00A64028" w:rsidRPr="00E82802" w:rsidRDefault="00A64028" w:rsidP="00103148">
      <w:pPr>
        <w:spacing w:after="0" w:line="360" w:lineRule="auto"/>
        <w:ind w:firstLine="284"/>
        <w:jc w:val="both"/>
        <w:rPr>
          <w:rFonts w:ascii="Arial Narrow" w:hAnsi="Arial Narrow"/>
          <w:b/>
          <w:sz w:val="24"/>
          <w:szCs w:val="24"/>
        </w:rPr>
      </w:pPr>
      <w:r w:rsidRPr="00E82802">
        <w:rPr>
          <w:rFonts w:ascii="Arial Narrow" w:hAnsi="Arial Narrow"/>
          <w:b/>
          <w:sz w:val="24"/>
          <w:szCs w:val="24"/>
        </w:rPr>
        <w:lastRenderedPageBreak/>
        <w:t>Значение показателя 1.3.2. Распространенность типов барьеров (% от числа опрошенных).</w:t>
      </w:r>
    </w:p>
    <w:p w:rsidR="00A64028" w:rsidRPr="00E82802" w:rsidRDefault="00A64028" w:rsidP="00103148">
      <w:pPr>
        <w:spacing w:after="0" w:line="360" w:lineRule="auto"/>
        <w:ind w:firstLine="284"/>
        <w:jc w:val="both"/>
        <w:rPr>
          <w:rFonts w:ascii="Arial Narrow" w:hAnsi="Arial Narrow"/>
          <w:sz w:val="24"/>
          <w:szCs w:val="24"/>
        </w:rPr>
      </w:pPr>
      <w:r w:rsidRPr="00E82802">
        <w:rPr>
          <w:rFonts w:ascii="Arial Narrow" w:hAnsi="Arial Narrow"/>
          <w:sz w:val="24"/>
          <w:szCs w:val="24"/>
        </w:rPr>
        <w:t xml:space="preserve">Основным барьером при выходе на новый рынок являются высокие начальные издержки (отметили 37,9 %). Далее следуют насыщенность новых рынков сбыта (отметили 27,3 %) и жесткое противодействие традиционных участников рынка (19,9 %). </w:t>
      </w:r>
    </w:p>
    <w:p w:rsidR="00A64028" w:rsidRPr="00E82802" w:rsidRDefault="00A64028" w:rsidP="00103148">
      <w:pPr>
        <w:spacing w:after="0" w:line="360" w:lineRule="auto"/>
        <w:ind w:firstLine="284"/>
        <w:jc w:val="both"/>
        <w:rPr>
          <w:rFonts w:ascii="Arial Narrow" w:hAnsi="Arial Narrow"/>
          <w:sz w:val="24"/>
          <w:szCs w:val="24"/>
        </w:rPr>
      </w:pPr>
      <w:r w:rsidRPr="00E82802">
        <w:rPr>
          <w:rFonts w:ascii="Arial Narrow" w:hAnsi="Arial Narrow"/>
          <w:b/>
          <w:sz w:val="24"/>
          <w:szCs w:val="24"/>
        </w:rPr>
        <w:t>Высокие начальные издержки</w:t>
      </w:r>
      <w:r w:rsidRPr="00E82802">
        <w:rPr>
          <w:rFonts w:ascii="Arial Narrow" w:hAnsi="Arial Narrow"/>
          <w:sz w:val="24"/>
          <w:szCs w:val="24"/>
        </w:rPr>
        <w:t xml:space="preserve"> в наибольшей степени препятствуют выходу на рынки услуг детского отдыха и оздоровления (60,0 %), медицинских услуг (52,9 %), услуг связи (56,0 %), развития, производства, переработки и хранения с</w:t>
      </w:r>
      <w:r w:rsidRPr="00E82802">
        <w:rPr>
          <w:rFonts w:ascii="Arial" w:hAnsi="Arial" w:cs="Arial"/>
          <w:sz w:val="24"/>
          <w:szCs w:val="24"/>
        </w:rPr>
        <w:t>‎</w:t>
      </w:r>
      <w:r w:rsidRPr="00E82802">
        <w:rPr>
          <w:rFonts w:ascii="Arial Narrow" w:hAnsi="Arial Narrow"/>
          <w:sz w:val="24"/>
          <w:szCs w:val="24"/>
        </w:rPr>
        <w:t>/</w:t>
      </w:r>
      <w:r w:rsidRPr="00E82802">
        <w:rPr>
          <w:rFonts w:ascii="Arial Narrow" w:hAnsi="Arial Narrow" w:cs="Arial Narrow"/>
          <w:sz w:val="24"/>
          <w:szCs w:val="24"/>
        </w:rPr>
        <w:t>х</w:t>
      </w:r>
      <w:r w:rsidRPr="00E82802">
        <w:rPr>
          <w:rFonts w:ascii="Arial Narrow" w:hAnsi="Arial Narrow"/>
          <w:sz w:val="24"/>
          <w:szCs w:val="24"/>
        </w:rPr>
        <w:t xml:space="preserve"> </w:t>
      </w:r>
      <w:r w:rsidRPr="00E82802">
        <w:rPr>
          <w:rFonts w:ascii="Arial Narrow" w:hAnsi="Arial Narrow" w:cs="Arial Narrow"/>
          <w:sz w:val="24"/>
          <w:szCs w:val="24"/>
        </w:rPr>
        <w:t>продукции</w:t>
      </w:r>
      <w:r w:rsidRPr="00E82802">
        <w:rPr>
          <w:rFonts w:ascii="Arial Narrow" w:hAnsi="Arial Narrow"/>
          <w:sz w:val="24"/>
          <w:szCs w:val="24"/>
        </w:rPr>
        <w:t xml:space="preserve"> (50,0 %). В наименьшей степени данная сложность актуальна при выходе на рынок услуг ЖКХ (25,7 %).</w:t>
      </w:r>
    </w:p>
    <w:p w:rsidR="00A64028" w:rsidRPr="00E82802" w:rsidRDefault="00A64028" w:rsidP="00103148">
      <w:pPr>
        <w:spacing w:after="0" w:line="360" w:lineRule="auto"/>
        <w:ind w:firstLine="284"/>
        <w:jc w:val="both"/>
        <w:rPr>
          <w:rFonts w:ascii="Arial Narrow" w:hAnsi="Arial Narrow"/>
          <w:sz w:val="24"/>
          <w:szCs w:val="24"/>
        </w:rPr>
      </w:pPr>
      <w:r w:rsidRPr="00E82802">
        <w:rPr>
          <w:rFonts w:ascii="Arial Narrow" w:hAnsi="Arial Narrow"/>
          <w:b/>
          <w:sz w:val="24"/>
          <w:szCs w:val="24"/>
        </w:rPr>
        <w:t>Насыщенность новых рынков</w:t>
      </w:r>
      <w:r w:rsidRPr="00E82802">
        <w:rPr>
          <w:rFonts w:ascii="Arial Narrow" w:hAnsi="Arial Narrow"/>
          <w:sz w:val="24"/>
          <w:szCs w:val="24"/>
        </w:rPr>
        <w:t xml:space="preserve"> </w:t>
      </w:r>
      <w:r w:rsidRPr="00E82802">
        <w:rPr>
          <w:rFonts w:ascii="Arial Narrow" w:hAnsi="Arial Narrow"/>
          <w:b/>
          <w:sz w:val="24"/>
          <w:szCs w:val="24"/>
        </w:rPr>
        <w:t>сбыта</w:t>
      </w:r>
      <w:r w:rsidRPr="00E82802">
        <w:rPr>
          <w:rFonts w:ascii="Arial Narrow" w:hAnsi="Arial Narrow"/>
          <w:sz w:val="24"/>
          <w:szCs w:val="24"/>
        </w:rPr>
        <w:t xml:space="preserve"> – наименее важным данное препятствие является для субъектов предпринимательства на рынках услуг детского отдыха и оздоровления (0,0 %), дополнительного образования детей (4,0 %) и услуг дошкольного образования (10,0 %). На всех остальных рынках данное препятствие является вторым по распространенности.</w:t>
      </w:r>
    </w:p>
    <w:p w:rsidR="00A64028" w:rsidRPr="00E82802" w:rsidRDefault="00A64028" w:rsidP="00103148">
      <w:pPr>
        <w:spacing w:after="0" w:line="360" w:lineRule="auto"/>
        <w:ind w:firstLine="284"/>
        <w:jc w:val="both"/>
        <w:rPr>
          <w:rFonts w:ascii="Arial Narrow" w:hAnsi="Arial Narrow"/>
          <w:sz w:val="24"/>
          <w:szCs w:val="24"/>
        </w:rPr>
      </w:pPr>
      <w:r w:rsidRPr="00E82802">
        <w:rPr>
          <w:rFonts w:ascii="Arial Narrow" w:hAnsi="Arial Narrow"/>
          <w:b/>
          <w:sz w:val="24"/>
          <w:szCs w:val="24"/>
        </w:rPr>
        <w:t>Жесткое противодействие традиционных участников рынка</w:t>
      </w:r>
      <w:r w:rsidRPr="00E82802">
        <w:rPr>
          <w:rFonts w:ascii="Arial Narrow" w:hAnsi="Arial Narrow"/>
          <w:sz w:val="24"/>
          <w:szCs w:val="24"/>
        </w:rPr>
        <w:t xml:space="preserve"> в большей степени характерно для рынка услуг ЖКХ (35,7 %, 1-е место по распространенности) и совсем не актуально для рынка услуг по сбору, сортировке и переработке твердых коммунальных отходов (0,0 %).</w:t>
      </w:r>
    </w:p>
    <w:p w:rsidR="00A64028" w:rsidRPr="00E82802" w:rsidRDefault="00A64028" w:rsidP="00103148">
      <w:pPr>
        <w:spacing w:after="0" w:line="360" w:lineRule="auto"/>
        <w:ind w:firstLine="284"/>
        <w:jc w:val="both"/>
        <w:rPr>
          <w:rFonts w:ascii="Arial Narrow" w:eastAsia="Calibri" w:hAnsi="Arial Narrow"/>
          <w:sz w:val="24"/>
          <w:szCs w:val="24"/>
        </w:rPr>
      </w:pPr>
      <w:r w:rsidRPr="00E82802">
        <w:rPr>
          <w:rFonts w:ascii="Arial Narrow" w:hAnsi="Arial Narrow"/>
          <w:b/>
          <w:sz w:val="24"/>
          <w:szCs w:val="24"/>
        </w:rPr>
        <w:t xml:space="preserve">Привязанность поставщиков и потребителей к традиционным участникам рынка </w:t>
      </w:r>
      <w:r w:rsidRPr="00E82802">
        <w:rPr>
          <w:rFonts w:ascii="Arial Narrow" w:hAnsi="Arial Narrow"/>
          <w:sz w:val="24"/>
          <w:szCs w:val="24"/>
        </w:rPr>
        <w:t>в большей степени препятствует выходу на рынки услуг в сфере культуры (25,0 %), услуг связи (24,0 %), медицинских услуг и услуг по сбору, сортировке и переработке твердых коммунальных (бытовых) отходов (по 20,0 %).</w:t>
      </w:r>
      <w:r w:rsidRPr="00E82802">
        <w:rPr>
          <w:rFonts w:ascii="Arial Narrow" w:eastAsia="Calibri" w:hAnsi="Arial Narrow"/>
          <w:sz w:val="24"/>
          <w:szCs w:val="24"/>
        </w:rPr>
        <w:br w:type="page"/>
      </w:r>
    </w:p>
    <w:p w:rsidR="00A64028" w:rsidRDefault="00A64028" w:rsidP="00103148">
      <w:pPr>
        <w:spacing w:after="0"/>
        <w:rPr>
          <w:rFonts w:ascii="Arial Narrow" w:hAnsi="Arial Narrow"/>
          <w:sz w:val="24"/>
          <w:szCs w:val="24"/>
        </w:rPr>
      </w:pPr>
      <w:r>
        <w:rPr>
          <w:rFonts w:ascii="Arial Narrow" w:eastAsia="Calibri" w:hAnsi="Arial Narrow"/>
          <w:sz w:val="24"/>
          <w:szCs w:val="24"/>
        </w:rPr>
        <w:lastRenderedPageBreak/>
        <w:t xml:space="preserve">Таблица </w:t>
      </w:r>
      <w:r w:rsidR="00262F71">
        <w:rPr>
          <w:rFonts w:ascii="Arial Narrow" w:eastAsia="Calibri" w:hAnsi="Arial Narrow"/>
          <w:sz w:val="24"/>
          <w:szCs w:val="24"/>
        </w:rPr>
        <w:t>7.24.</w:t>
      </w:r>
      <w:r>
        <w:rPr>
          <w:rFonts w:ascii="Arial Narrow" w:eastAsia="Calibri" w:hAnsi="Arial Narrow"/>
          <w:sz w:val="24"/>
          <w:szCs w:val="24"/>
        </w:rPr>
        <w:t xml:space="preserve"> – </w:t>
      </w:r>
      <w:r>
        <w:rPr>
          <w:rFonts w:ascii="Arial Narrow" w:hAnsi="Arial Narrow"/>
          <w:b/>
          <w:sz w:val="24"/>
          <w:szCs w:val="24"/>
        </w:rPr>
        <w:t>Значение показателя 1.3.2. Распространенность типов барьеров (% от числа опрошенных)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11"/>
        <w:gridCol w:w="1610"/>
        <w:gridCol w:w="545"/>
        <w:gridCol w:w="546"/>
        <w:gridCol w:w="546"/>
        <w:gridCol w:w="546"/>
        <w:gridCol w:w="546"/>
        <w:gridCol w:w="493"/>
        <w:gridCol w:w="573"/>
        <w:gridCol w:w="573"/>
        <w:gridCol w:w="544"/>
        <w:gridCol w:w="546"/>
        <w:gridCol w:w="546"/>
        <w:gridCol w:w="546"/>
        <w:gridCol w:w="546"/>
        <w:gridCol w:w="536"/>
      </w:tblGrid>
      <w:tr w:rsidR="00A64028" w:rsidTr="00E82802">
        <w:trPr>
          <w:cantSplit/>
          <w:trHeight w:val="2811"/>
          <w:tblHeader/>
        </w:trPr>
        <w:tc>
          <w:tcPr>
            <w:tcW w:w="310" w:type="pct"/>
            <w:tcBorders>
              <w:top w:val="single" w:sz="4" w:space="0" w:color="auto"/>
              <w:left w:val="single" w:sz="4" w:space="0" w:color="auto"/>
              <w:bottom w:val="single" w:sz="4" w:space="0" w:color="auto"/>
              <w:right w:val="single" w:sz="4" w:space="0" w:color="auto"/>
            </w:tcBorders>
            <w:noWrap/>
            <w:vAlign w:val="center"/>
            <w:hideMark/>
          </w:tcPr>
          <w:p w:rsidR="00A64028" w:rsidRDefault="00A64028" w:rsidP="00103148">
            <w:pPr>
              <w:spacing w:after="0" w:line="252" w:lineRule="auto"/>
              <w:jc w:val="center"/>
              <w:rPr>
                <w:rFonts w:ascii="Arial Narrow" w:hAnsi="Arial Narrow" w:cs="Arial"/>
              </w:rPr>
            </w:pPr>
            <w:r>
              <w:rPr>
                <w:rFonts w:ascii="Arial Narrow" w:hAnsi="Arial Narrow" w:cs="Arial"/>
              </w:rPr>
              <w:t>№</w:t>
            </w:r>
          </w:p>
        </w:tc>
        <w:tc>
          <w:tcPr>
            <w:tcW w:w="81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line="252" w:lineRule="auto"/>
              <w:ind w:right="141"/>
              <w:rPr>
                <w:rFonts w:ascii="Arial Narrow" w:hAnsi="Arial Narrow" w:cs="Arial"/>
              </w:rPr>
            </w:pPr>
            <w:r>
              <w:rPr>
                <w:rFonts w:ascii="Arial Narrow" w:hAnsi="Arial Narrow" w:cs="Arial"/>
              </w:rPr>
              <w:t>Наименование показателя, единица измерения</w:t>
            </w:r>
          </w:p>
        </w:tc>
        <w:tc>
          <w:tcPr>
            <w:tcW w:w="277" w:type="pct"/>
            <w:tcBorders>
              <w:top w:val="single" w:sz="4" w:space="0" w:color="auto"/>
              <w:left w:val="single" w:sz="4" w:space="0" w:color="auto"/>
              <w:bottom w:val="single" w:sz="4" w:space="0" w:color="auto"/>
              <w:right w:val="single" w:sz="4" w:space="0" w:color="auto"/>
            </w:tcBorders>
            <w:shd w:val="clear" w:color="auto" w:fill="FFFFFF"/>
            <w:textDirection w:val="btLr"/>
            <w:hideMark/>
          </w:tcPr>
          <w:p w:rsidR="00A64028" w:rsidRPr="00E82802" w:rsidRDefault="00A64028" w:rsidP="00E82802">
            <w:pPr>
              <w:spacing w:after="0" w:line="240" w:lineRule="auto"/>
              <w:ind w:right="113"/>
              <w:jc w:val="center"/>
              <w:rPr>
                <w:rFonts w:ascii="Arial Narrow" w:hAnsi="Arial Narrow"/>
                <w:sz w:val="18"/>
                <w:szCs w:val="18"/>
              </w:rPr>
            </w:pPr>
            <w:r w:rsidRPr="00E82802">
              <w:rPr>
                <w:rFonts w:ascii="Arial Narrow" w:hAnsi="Arial Narrow" w:cs="Arial"/>
                <w:sz w:val="18"/>
                <w:szCs w:val="18"/>
              </w:rPr>
              <w:t>Общий по Новосибирской области</w:t>
            </w:r>
          </w:p>
        </w:tc>
        <w:tc>
          <w:tcPr>
            <w:tcW w:w="277"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E82802" w:rsidRDefault="00A64028" w:rsidP="00E82802">
            <w:pPr>
              <w:spacing w:after="0" w:line="240" w:lineRule="auto"/>
              <w:ind w:right="113"/>
              <w:jc w:val="center"/>
              <w:rPr>
                <w:rFonts w:ascii="Arial Narrow" w:hAnsi="Arial Narrow"/>
                <w:sz w:val="18"/>
                <w:szCs w:val="18"/>
              </w:rPr>
            </w:pPr>
            <w:r w:rsidRPr="00E82802">
              <w:rPr>
                <w:rFonts w:ascii="Arial Narrow" w:hAnsi="Arial Narrow"/>
                <w:sz w:val="18"/>
                <w:szCs w:val="18"/>
              </w:rPr>
              <w:t>Рынок услуг дошкольного образования</w:t>
            </w:r>
          </w:p>
        </w:tc>
        <w:tc>
          <w:tcPr>
            <w:tcW w:w="277"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E82802" w:rsidRDefault="00A64028" w:rsidP="00E82802">
            <w:pPr>
              <w:spacing w:after="0" w:line="240" w:lineRule="auto"/>
              <w:ind w:right="113"/>
              <w:jc w:val="center"/>
              <w:rPr>
                <w:rFonts w:ascii="Arial Narrow" w:hAnsi="Arial Narrow"/>
                <w:sz w:val="18"/>
                <w:szCs w:val="18"/>
              </w:rPr>
            </w:pPr>
            <w:r w:rsidRPr="00E82802">
              <w:rPr>
                <w:rFonts w:ascii="Arial Narrow" w:hAnsi="Arial Narrow"/>
                <w:sz w:val="18"/>
                <w:szCs w:val="18"/>
              </w:rPr>
              <w:t>Рынок услуг детского отдыха и оздоровления</w:t>
            </w:r>
          </w:p>
        </w:tc>
        <w:tc>
          <w:tcPr>
            <w:tcW w:w="277"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E82802" w:rsidRDefault="00A64028" w:rsidP="00E82802">
            <w:pPr>
              <w:spacing w:after="0" w:line="240" w:lineRule="auto"/>
              <w:ind w:right="113"/>
              <w:jc w:val="center"/>
              <w:rPr>
                <w:rFonts w:ascii="Arial Narrow" w:hAnsi="Arial Narrow"/>
                <w:sz w:val="18"/>
                <w:szCs w:val="18"/>
              </w:rPr>
            </w:pPr>
            <w:r w:rsidRPr="00E82802">
              <w:rPr>
                <w:rFonts w:ascii="Arial Narrow" w:hAnsi="Arial Narrow"/>
                <w:sz w:val="18"/>
                <w:szCs w:val="18"/>
              </w:rPr>
              <w:t>Рынок дополнительного образования детей</w:t>
            </w:r>
          </w:p>
        </w:tc>
        <w:tc>
          <w:tcPr>
            <w:tcW w:w="277"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E82802" w:rsidRDefault="00A64028" w:rsidP="00E82802">
            <w:pPr>
              <w:spacing w:after="0" w:line="240" w:lineRule="auto"/>
              <w:ind w:right="113"/>
              <w:jc w:val="center"/>
              <w:rPr>
                <w:rFonts w:ascii="Arial Narrow" w:hAnsi="Arial Narrow"/>
                <w:sz w:val="18"/>
                <w:szCs w:val="18"/>
              </w:rPr>
            </w:pPr>
            <w:r w:rsidRPr="00E82802">
              <w:rPr>
                <w:rFonts w:ascii="Arial Narrow" w:hAnsi="Arial Narrow"/>
                <w:sz w:val="18"/>
                <w:szCs w:val="18"/>
              </w:rPr>
              <w:t>Рынок медицинских услуг</w:t>
            </w:r>
          </w:p>
        </w:tc>
        <w:tc>
          <w:tcPr>
            <w:tcW w:w="250"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E82802" w:rsidRDefault="00A64028" w:rsidP="00E82802">
            <w:pPr>
              <w:spacing w:after="0" w:line="240" w:lineRule="auto"/>
              <w:ind w:right="113"/>
              <w:jc w:val="center"/>
              <w:rPr>
                <w:rFonts w:ascii="Arial Narrow" w:hAnsi="Arial Narrow"/>
                <w:sz w:val="18"/>
                <w:szCs w:val="18"/>
              </w:rPr>
            </w:pPr>
            <w:r w:rsidRPr="00E82802">
              <w:rPr>
                <w:rFonts w:ascii="Arial Narrow" w:hAnsi="Arial Narrow"/>
                <w:sz w:val="18"/>
                <w:szCs w:val="18"/>
              </w:rPr>
              <w:t>Рынок услуг психолого-педагогического сопровождения детей с ограниченными возможностями здоровья</w:t>
            </w:r>
          </w:p>
        </w:tc>
        <w:tc>
          <w:tcPr>
            <w:tcW w:w="291"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E82802" w:rsidRDefault="00A64028" w:rsidP="00E82802">
            <w:pPr>
              <w:spacing w:after="0" w:line="240" w:lineRule="auto"/>
              <w:ind w:right="113"/>
              <w:jc w:val="center"/>
              <w:rPr>
                <w:rFonts w:ascii="Arial Narrow" w:hAnsi="Arial Narrow"/>
                <w:sz w:val="18"/>
                <w:szCs w:val="18"/>
              </w:rPr>
            </w:pPr>
            <w:r w:rsidRPr="00E82802">
              <w:rPr>
                <w:rFonts w:ascii="Arial Narrow" w:hAnsi="Arial Narrow"/>
                <w:sz w:val="18"/>
                <w:szCs w:val="18"/>
              </w:rPr>
              <w:t>Рынок услуг в сфере культуры</w:t>
            </w:r>
          </w:p>
        </w:tc>
        <w:tc>
          <w:tcPr>
            <w:tcW w:w="291"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E82802" w:rsidRDefault="00A64028" w:rsidP="00E82802">
            <w:pPr>
              <w:spacing w:after="0" w:line="240" w:lineRule="auto"/>
              <w:ind w:right="113"/>
              <w:jc w:val="center"/>
              <w:rPr>
                <w:rFonts w:ascii="Arial Narrow" w:hAnsi="Arial Narrow"/>
                <w:sz w:val="18"/>
                <w:szCs w:val="18"/>
              </w:rPr>
            </w:pPr>
            <w:r w:rsidRPr="00E82802">
              <w:rPr>
                <w:rFonts w:ascii="Arial Narrow" w:hAnsi="Arial Narrow"/>
                <w:sz w:val="18"/>
                <w:szCs w:val="18"/>
              </w:rPr>
              <w:t>Рынок услуг ЖКХ</w:t>
            </w:r>
          </w:p>
        </w:tc>
        <w:tc>
          <w:tcPr>
            <w:tcW w:w="276"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E82802" w:rsidRDefault="00A64028" w:rsidP="00E82802">
            <w:pPr>
              <w:spacing w:after="0" w:line="240" w:lineRule="auto"/>
              <w:ind w:right="113"/>
              <w:jc w:val="center"/>
              <w:rPr>
                <w:rFonts w:ascii="Arial Narrow" w:hAnsi="Arial Narrow"/>
                <w:sz w:val="18"/>
                <w:szCs w:val="18"/>
              </w:rPr>
            </w:pPr>
            <w:r w:rsidRPr="00E82802">
              <w:rPr>
                <w:rFonts w:ascii="Arial Narrow" w:hAnsi="Arial Narrow"/>
                <w:sz w:val="18"/>
                <w:szCs w:val="18"/>
              </w:rPr>
              <w:t>Розничная торговля</w:t>
            </w:r>
          </w:p>
        </w:tc>
        <w:tc>
          <w:tcPr>
            <w:tcW w:w="277"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E82802" w:rsidRDefault="00A64028" w:rsidP="00E82802">
            <w:pPr>
              <w:spacing w:after="0" w:line="240" w:lineRule="auto"/>
              <w:ind w:right="113"/>
              <w:jc w:val="center"/>
              <w:rPr>
                <w:rFonts w:ascii="Arial Narrow" w:hAnsi="Arial Narrow"/>
                <w:sz w:val="18"/>
                <w:szCs w:val="18"/>
              </w:rPr>
            </w:pPr>
            <w:r w:rsidRPr="00E82802">
              <w:rPr>
                <w:rFonts w:ascii="Arial Narrow" w:hAnsi="Arial Narrow"/>
                <w:sz w:val="18"/>
                <w:szCs w:val="18"/>
              </w:rPr>
              <w:t>Рынок услуг перевозок пассажиров наземным транспортом</w:t>
            </w:r>
          </w:p>
        </w:tc>
        <w:tc>
          <w:tcPr>
            <w:tcW w:w="277"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E82802" w:rsidRDefault="00A64028" w:rsidP="00E82802">
            <w:pPr>
              <w:spacing w:after="0" w:line="240" w:lineRule="auto"/>
              <w:ind w:right="113"/>
              <w:jc w:val="center"/>
              <w:rPr>
                <w:rFonts w:ascii="Arial Narrow" w:hAnsi="Arial Narrow"/>
                <w:sz w:val="18"/>
                <w:szCs w:val="18"/>
              </w:rPr>
            </w:pPr>
            <w:r w:rsidRPr="00E82802">
              <w:rPr>
                <w:rFonts w:ascii="Arial Narrow" w:hAnsi="Arial Narrow"/>
                <w:sz w:val="18"/>
                <w:szCs w:val="18"/>
              </w:rPr>
              <w:t>Рынок услуг связи</w:t>
            </w:r>
          </w:p>
        </w:tc>
        <w:tc>
          <w:tcPr>
            <w:tcW w:w="277"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E82802" w:rsidRDefault="00A64028" w:rsidP="00E82802">
            <w:pPr>
              <w:spacing w:after="0" w:line="240" w:lineRule="auto"/>
              <w:ind w:right="113"/>
              <w:jc w:val="center"/>
              <w:rPr>
                <w:rFonts w:ascii="Arial Narrow" w:hAnsi="Arial Narrow"/>
                <w:sz w:val="18"/>
                <w:szCs w:val="18"/>
              </w:rPr>
            </w:pPr>
            <w:r w:rsidRPr="00E82802">
              <w:rPr>
                <w:rFonts w:ascii="Arial Narrow" w:hAnsi="Arial Narrow"/>
                <w:sz w:val="18"/>
                <w:szCs w:val="18"/>
              </w:rPr>
              <w:t>Рынок услуг социального обслуживания населения</w:t>
            </w:r>
          </w:p>
        </w:tc>
        <w:tc>
          <w:tcPr>
            <w:tcW w:w="277"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E82802" w:rsidRDefault="00A64028" w:rsidP="00E82802">
            <w:pPr>
              <w:spacing w:after="0" w:line="240" w:lineRule="auto"/>
              <w:ind w:right="113"/>
              <w:jc w:val="center"/>
              <w:rPr>
                <w:rFonts w:ascii="Arial Narrow" w:hAnsi="Arial Narrow"/>
                <w:sz w:val="18"/>
                <w:szCs w:val="18"/>
              </w:rPr>
            </w:pPr>
            <w:r w:rsidRPr="00E82802">
              <w:rPr>
                <w:rFonts w:ascii="Arial Narrow" w:hAnsi="Arial Narrow"/>
                <w:sz w:val="18"/>
                <w:szCs w:val="18"/>
              </w:rPr>
              <w:t>Рынок развития, производства, переработки и хранения с/х продукции</w:t>
            </w:r>
          </w:p>
        </w:tc>
        <w:tc>
          <w:tcPr>
            <w:tcW w:w="271"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E82802" w:rsidRDefault="00A64028" w:rsidP="00E82802">
            <w:pPr>
              <w:spacing w:after="0" w:line="240" w:lineRule="auto"/>
              <w:ind w:right="113"/>
              <w:jc w:val="center"/>
              <w:rPr>
                <w:rFonts w:ascii="Arial Narrow" w:hAnsi="Arial Narrow"/>
                <w:sz w:val="18"/>
                <w:szCs w:val="18"/>
              </w:rPr>
            </w:pPr>
            <w:r w:rsidRPr="00E82802">
              <w:rPr>
                <w:rFonts w:ascii="Arial Narrow" w:hAnsi="Arial Narrow"/>
                <w:sz w:val="18"/>
                <w:szCs w:val="18"/>
              </w:rPr>
              <w:t>Рынок услуг по сбору, сортировке и переработке твердых коммунальных (бытовых) отходов</w:t>
            </w:r>
          </w:p>
        </w:tc>
      </w:tr>
      <w:tr w:rsidR="00A64028" w:rsidTr="00E82802">
        <w:trPr>
          <w:cantSplit/>
          <w:trHeight w:val="20"/>
        </w:trPr>
        <w:tc>
          <w:tcPr>
            <w:tcW w:w="310" w:type="pct"/>
            <w:tcBorders>
              <w:top w:val="single" w:sz="4" w:space="0" w:color="auto"/>
              <w:left w:val="single" w:sz="4" w:space="0" w:color="auto"/>
              <w:bottom w:val="single" w:sz="4" w:space="0" w:color="auto"/>
              <w:right w:val="single" w:sz="4" w:space="0" w:color="auto"/>
            </w:tcBorders>
            <w:noWrap/>
            <w:vAlign w:val="center"/>
            <w:hideMark/>
          </w:tcPr>
          <w:p w:rsidR="00A64028" w:rsidRDefault="00A64028" w:rsidP="00103148">
            <w:pPr>
              <w:spacing w:after="0"/>
              <w:ind w:right="-57"/>
              <w:jc w:val="both"/>
              <w:rPr>
                <w:rFonts w:ascii="Arial Narrow" w:hAnsi="Arial Narrow"/>
                <w:sz w:val="16"/>
                <w:szCs w:val="16"/>
              </w:rPr>
            </w:pPr>
            <w:r>
              <w:rPr>
                <w:rFonts w:ascii="Arial Narrow" w:hAnsi="Arial Narrow"/>
                <w:szCs w:val="16"/>
              </w:rPr>
              <w:t>1.3.2.</w:t>
            </w:r>
          </w:p>
        </w:tc>
        <w:tc>
          <w:tcPr>
            <w:tcW w:w="4690" w:type="pct"/>
            <w:gridSpan w:val="15"/>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right="-57"/>
              <w:jc w:val="both"/>
              <w:rPr>
                <w:rFonts w:ascii="Arial Narrow" w:hAnsi="Arial Narrow"/>
                <w:sz w:val="16"/>
                <w:szCs w:val="16"/>
              </w:rPr>
            </w:pPr>
            <w:r>
              <w:rPr>
                <w:rFonts w:ascii="Arial Narrow" w:hAnsi="Arial Narrow"/>
                <w:sz w:val="20"/>
                <w:szCs w:val="16"/>
              </w:rPr>
              <w:t>Причины усиления конкуренции (% от числа опрошенных)</w:t>
            </w:r>
          </w:p>
        </w:tc>
      </w:tr>
      <w:tr w:rsidR="00A64028" w:rsidTr="00E82802">
        <w:trPr>
          <w:cantSplit/>
          <w:trHeight w:val="20"/>
        </w:trPr>
        <w:tc>
          <w:tcPr>
            <w:tcW w:w="310" w:type="pct"/>
            <w:tcBorders>
              <w:top w:val="single" w:sz="4" w:space="0" w:color="auto"/>
              <w:left w:val="single" w:sz="4" w:space="0" w:color="auto"/>
              <w:bottom w:val="single" w:sz="4" w:space="0" w:color="auto"/>
              <w:right w:val="single" w:sz="4" w:space="0" w:color="auto"/>
            </w:tcBorders>
            <w:noWrap/>
            <w:vAlign w:val="bottom"/>
            <w:hideMark/>
          </w:tcPr>
          <w:p w:rsidR="00A64028" w:rsidRDefault="00A64028" w:rsidP="00103148">
            <w:pPr>
              <w:spacing w:after="0"/>
              <w:ind w:right="-57"/>
              <w:rPr>
                <w:rFonts w:ascii="Arial Narrow" w:hAnsi="Arial Narrow"/>
                <w:sz w:val="24"/>
                <w:szCs w:val="24"/>
              </w:rPr>
            </w:pPr>
            <w:r>
              <w:rPr>
                <w:rFonts w:ascii="Arial Narrow" w:hAnsi="Arial Narrow"/>
                <w:sz w:val="24"/>
                <w:szCs w:val="24"/>
              </w:rPr>
              <w:t> </w:t>
            </w:r>
          </w:p>
        </w:tc>
        <w:tc>
          <w:tcPr>
            <w:tcW w:w="81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right="-57"/>
              <w:rPr>
                <w:rFonts w:ascii="Arial Narrow" w:hAnsi="Arial Narrow"/>
                <w:sz w:val="20"/>
                <w:szCs w:val="20"/>
              </w:rPr>
            </w:pPr>
            <w:r>
              <w:rPr>
                <w:rFonts w:ascii="Arial Narrow" w:hAnsi="Arial Narrow"/>
                <w:sz w:val="20"/>
                <w:szCs w:val="20"/>
              </w:rPr>
              <w:t>Высокие начальные издержки, %</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37,9%</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40,0%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60,0%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32,0%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52,9%</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28,0%</w:t>
            </w:r>
          </w:p>
        </w:tc>
        <w:tc>
          <w:tcPr>
            <w:tcW w:w="29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29,2%</w:t>
            </w:r>
          </w:p>
        </w:tc>
        <w:tc>
          <w:tcPr>
            <w:tcW w:w="29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25,7%</w:t>
            </w:r>
          </w:p>
        </w:tc>
        <w:tc>
          <w:tcPr>
            <w:tcW w:w="27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48,3%</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46,7%</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56,0%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44,0%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50,0%</w:t>
            </w:r>
          </w:p>
        </w:tc>
        <w:tc>
          <w:tcPr>
            <w:tcW w:w="27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40,0%</w:t>
            </w:r>
          </w:p>
        </w:tc>
      </w:tr>
      <w:tr w:rsidR="00A64028" w:rsidTr="00E82802">
        <w:trPr>
          <w:cantSplit/>
          <w:trHeight w:val="20"/>
        </w:trPr>
        <w:tc>
          <w:tcPr>
            <w:tcW w:w="310" w:type="pct"/>
            <w:tcBorders>
              <w:top w:val="single" w:sz="4" w:space="0" w:color="auto"/>
              <w:left w:val="single" w:sz="4" w:space="0" w:color="auto"/>
              <w:bottom w:val="single" w:sz="4" w:space="0" w:color="auto"/>
              <w:right w:val="single" w:sz="4" w:space="0" w:color="auto"/>
            </w:tcBorders>
            <w:noWrap/>
            <w:vAlign w:val="bottom"/>
            <w:hideMark/>
          </w:tcPr>
          <w:p w:rsidR="00A64028" w:rsidRDefault="00A64028" w:rsidP="00103148">
            <w:pPr>
              <w:spacing w:after="0"/>
              <w:ind w:right="-57"/>
              <w:rPr>
                <w:rFonts w:ascii="Arial Narrow" w:hAnsi="Arial Narrow"/>
                <w:sz w:val="24"/>
                <w:szCs w:val="24"/>
              </w:rPr>
            </w:pPr>
            <w:r>
              <w:rPr>
                <w:rFonts w:ascii="Arial Narrow" w:hAnsi="Arial Narrow"/>
                <w:sz w:val="24"/>
                <w:szCs w:val="24"/>
              </w:rPr>
              <w:t> </w:t>
            </w:r>
          </w:p>
        </w:tc>
        <w:tc>
          <w:tcPr>
            <w:tcW w:w="81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right="-57"/>
              <w:rPr>
                <w:rFonts w:ascii="Arial Narrow" w:hAnsi="Arial Narrow"/>
                <w:sz w:val="20"/>
                <w:szCs w:val="20"/>
              </w:rPr>
            </w:pPr>
            <w:r>
              <w:rPr>
                <w:rFonts w:ascii="Arial Narrow" w:hAnsi="Arial Narrow"/>
                <w:sz w:val="20"/>
                <w:szCs w:val="20"/>
              </w:rPr>
              <w:t>Жесткое противодействие традиционных участников рынка, %</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19,9%</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20,0%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20,0%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16,0%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11,4%</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4,0%</w:t>
            </w:r>
          </w:p>
        </w:tc>
        <w:tc>
          <w:tcPr>
            <w:tcW w:w="29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12,5%</w:t>
            </w:r>
          </w:p>
        </w:tc>
        <w:tc>
          <w:tcPr>
            <w:tcW w:w="29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35,7%</w:t>
            </w:r>
          </w:p>
        </w:tc>
        <w:tc>
          <w:tcPr>
            <w:tcW w:w="27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18,3%</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23,3%</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16,0%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12,0%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13,3%</w:t>
            </w:r>
          </w:p>
        </w:tc>
        <w:tc>
          <w:tcPr>
            <w:tcW w:w="27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0,0%</w:t>
            </w:r>
          </w:p>
        </w:tc>
      </w:tr>
      <w:tr w:rsidR="00A64028" w:rsidTr="00E82802">
        <w:trPr>
          <w:cantSplit/>
          <w:trHeight w:val="20"/>
        </w:trPr>
        <w:tc>
          <w:tcPr>
            <w:tcW w:w="310" w:type="pct"/>
            <w:tcBorders>
              <w:top w:val="single" w:sz="4" w:space="0" w:color="auto"/>
              <w:left w:val="single" w:sz="4" w:space="0" w:color="auto"/>
              <w:bottom w:val="single" w:sz="4" w:space="0" w:color="auto"/>
              <w:right w:val="single" w:sz="4" w:space="0" w:color="auto"/>
            </w:tcBorders>
            <w:noWrap/>
            <w:vAlign w:val="bottom"/>
            <w:hideMark/>
          </w:tcPr>
          <w:p w:rsidR="00A64028" w:rsidRDefault="00A64028" w:rsidP="00103148">
            <w:pPr>
              <w:spacing w:after="0"/>
              <w:ind w:right="-57"/>
              <w:rPr>
                <w:rFonts w:ascii="Arial Narrow" w:hAnsi="Arial Narrow"/>
                <w:sz w:val="24"/>
                <w:szCs w:val="24"/>
              </w:rPr>
            </w:pPr>
            <w:r>
              <w:rPr>
                <w:rFonts w:ascii="Arial Narrow" w:hAnsi="Arial Narrow"/>
                <w:sz w:val="24"/>
                <w:szCs w:val="24"/>
              </w:rPr>
              <w:t> </w:t>
            </w:r>
          </w:p>
        </w:tc>
        <w:tc>
          <w:tcPr>
            <w:tcW w:w="81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right="-57"/>
              <w:rPr>
                <w:rFonts w:ascii="Arial Narrow" w:hAnsi="Arial Narrow"/>
                <w:sz w:val="20"/>
                <w:szCs w:val="20"/>
              </w:rPr>
            </w:pPr>
            <w:r>
              <w:rPr>
                <w:rFonts w:ascii="Arial Narrow" w:hAnsi="Arial Narrow"/>
                <w:sz w:val="20"/>
                <w:szCs w:val="20"/>
              </w:rPr>
              <w:t>Насыщенность новых рынков сбыта, %</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27,3%</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10,0%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4,0%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25,7%</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12,0%</w:t>
            </w:r>
          </w:p>
        </w:tc>
        <w:tc>
          <w:tcPr>
            <w:tcW w:w="29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16,7%</w:t>
            </w:r>
          </w:p>
        </w:tc>
        <w:tc>
          <w:tcPr>
            <w:tcW w:w="29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28,6%</w:t>
            </w:r>
          </w:p>
        </w:tc>
        <w:tc>
          <w:tcPr>
            <w:tcW w:w="27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33,9%</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41,7%</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32,0%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16,0%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25,5%</w:t>
            </w:r>
          </w:p>
        </w:tc>
        <w:tc>
          <w:tcPr>
            <w:tcW w:w="27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20,0%</w:t>
            </w:r>
          </w:p>
        </w:tc>
      </w:tr>
      <w:tr w:rsidR="00A64028" w:rsidTr="00E82802">
        <w:trPr>
          <w:cantSplit/>
          <w:trHeight w:val="20"/>
        </w:trPr>
        <w:tc>
          <w:tcPr>
            <w:tcW w:w="310" w:type="pct"/>
            <w:tcBorders>
              <w:top w:val="single" w:sz="4" w:space="0" w:color="auto"/>
              <w:left w:val="single" w:sz="4" w:space="0" w:color="auto"/>
              <w:bottom w:val="single" w:sz="4" w:space="0" w:color="auto"/>
              <w:right w:val="single" w:sz="4" w:space="0" w:color="auto"/>
            </w:tcBorders>
            <w:noWrap/>
            <w:vAlign w:val="bottom"/>
            <w:hideMark/>
          </w:tcPr>
          <w:p w:rsidR="00A64028" w:rsidRDefault="00A64028" w:rsidP="00103148">
            <w:pPr>
              <w:spacing w:after="0"/>
              <w:ind w:right="-57"/>
              <w:rPr>
                <w:rFonts w:ascii="Arial Narrow" w:hAnsi="Arial Narrow"/>
                <w:sz w:val="24"/>
                <w:szCs w:val="24"/>
              </w:rPr>
            </w:pPr>
            <w:r>
              <w:rPr>
                <w:rFonts w:ascii="Arial Narrow" w:hAnsi="Arial Narrow"/>
                <w:sz w:val="24"/>
                <w:szCs w:val="24"/>
              </w:rPr>
              <w:t> </w:t>
            </w:r>
          </w:p>
        </w:tc>
        <w:tc>
          <w:tcPr>
            <w:tcW w:w="81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right="-57"/>
              <w:rPr>
                <w:rFonts w:ascii="Arial Narrow" w:hAnsi="Arial Narrow"/>
                <w:sz w:val="20"/>
                <w:szCs w:val="20"/>
              </w:rPr>
            </w:pPr>
            <w:r>
              <w:rPr>
                <w:rFonts w:ascii="Arial Narrow" w:hAnsi="Arial Narrow"/>
                <w:sz w:val="20"/>
                <w:szCs w:val="20"/>
              </w:rPr>
              <w:t>Нет информации о ситуации на новых рынках, %</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5,9%</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10,0%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5,7%</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4,0%</w:t>
            </w:r>
          </w:p>
        </w:tc>
        <w:tc>
          <w:tcPr>
            <w:tcW w:w="29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4,2%</w:t>
            </w:r>
          </w:p>
        </w:tc>
        <w:tc>
          <w:tcPr>
            <w:tcW w:w="29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4,3%</w:t>
            </w:r>
          </w:p>
        </w:tc>
        <w:tc>
          <w:tcPr>
            <w:tcW w:w="27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7,2%</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3,3%</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16,0%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8,0%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5,1%</w:t>
            </w:r>
          </w:p>
        </w:tc>
        <w:tc>
          <w:tcPr>
            <w:tcW w:w="27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20,0%</w:t>
            </w:r>
          </w:p>
        </w:tc>
      </w:tr>
      <w:tr w:rsidR="00A64028" w:rsidTr="00E82802">
        <w:trPr>
          <w:cantSplit/>
          <w:trHeight w:val="20"/>
        </w:trPr>
        <w:tc>
          <w:tcPr>
            <w:tcW w:w="310" w:type="pct"/>
            <w:tcBorders>
              <w:top w:val="single" w:sz="4" w:space="0" w:color="auto"/>
              <w:left w:val="single" w:sz="4" w:space="0" w:color="auto"/>
              <w:bottom w:val="single" w:sz="4" w:space="0" w:color="auto"/>
              <w:right w:val="single" w:sz="4" w:space="0" w:color="auto"/>
            </w:tcBorders>
            <w:noWrap/>
            <w:vAlign w:val="bottom"/>
            <w:hideMark/>
          </w:tcPr>
          <w:p w:rsidR="00A64028" w:rsidRDefault="00A64028" w:rsidP="00103148">
            <w:pPr>
              <w:spacing w:after="0"/>
              <w:ind w:right="-57"/>
              <w:rPr>
                <w:rFonts w:ascii="Arial Narrow" w:hAnsi="Arial Narrow"/>
                <w:sz w:val="24"/>
                <w:szCs w:val="24"/>
              </w:rPr>
            </w:pPr>
            <w:r>
              <w:rPr>
                <w:rFonts w:ascii="Arial Narrow" w:hAnsi="Arial Narrow"/>
                <w:sz w:val="24"/>
                <w:szCs w:val="24"/>
              </w:rPr>
              <w:t> </w:t>
            </w:r>
          </w:p>
        </w:tc>
        <w:tc>
          <w:tcPr>
            <w:tcW w:w="81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right="-57"/>
              <w:rPr>
                <w:rFonts w:ascii="Arial Narrow" w:hAnsi="Arial Narrow"/>
                <w:sz w:val="20"/>
                <w:szCs w:val="20"/>
              </w:rPr>
            </w:pPr>
            <w:r>
              <w:rPr>
                <w:rFonts w:ascii="Arial Narrow" w:hAnsi="Arial Narrow"/>
                <w:sz w:val="20"/>
                <w:szCs w:val="20"/>
              </w:rPr>
              <w:t>Поддержка местными властями традиционных участников рынка, %</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10,5%</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20,0%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4,0%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11,4%</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4,0%</w:t>
            </w:r>
          </w:p>
        </w:tc>
        <w:tc>
          <w:tcPr>
            <w:tcW w:w="29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12,5%</w:t>
            </w:r>
          </w:p>
        </w:tc>
        <w:tc>
          <w:tcPr>
            <w:tcW w:w="29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15,7%</w:t>
            </w:r>
          </w:p>
        </w:tc>
        <w:tc>
          <w:tcPr>
            <w:tcW w:w="27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14,4%</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3,3%</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8,0%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16,0%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13,3%</w:t>
            </w:r>
          </w:p>
        </w:tc>
        <w:tc>
          <w:tcPr>
            <w:tcW w:w="27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10,0%</w:t>
            </w:r>
          </w:p>
        </w:tc>
      </w:tr>
      <w:tr w:rsidR="00A64028" w:rsidTr="00E82802">
        <w:trPr>
          <w:cantSplit/>
          <w:trHeight w:val="20"/>
        </w:trPr>
        <w:tc>
          <w:tcPr>
            <w:tcW w:w="310" w:type="pct"/>
            <w:tcBorders>
              <w:top w:val="single" w:sz="4" w:space="0" w:color="auto"/>
              <w:left w:val="single" w:sz="4" w:space="0" w:color="auto"/>
              <w:bottom w:val="single" w:sz="4" w:space="0" w:color="auto"/>
              <w:right w:val="single" w:sz="4" w:space="0" w:color="auto"/>
            </w:tcBorders>
            <w:noWrap/>
            <w:vAlign w:val="bottom"/>
            <w:hideMark/>
          </w:tcPr>
          <w:p w:rsidR="00A64028" w:rsidRDefault="00A64028" w:rsidP="00103148">
            <w:pPr>
              <w:spacing w:after="0"/>
              <w:ind w:right="-57"/>
              <w:rPr>
                <w:rFonts w:ascii="Arial Narrow" w:hAnsi="Arial Narrow"/>
                <w:sz w:val="24"/>
                <w:szCs w:val="24"/>
              </w:rPr>
            </w:pPr>
            <w:r>
              <w:rPr>
                <w:rFonts w:ascii="Arial Narrow" w:hAnsi="Arial Narrow"/>
                <w:sz w:val="24"/>
                <w:szCs w:val="24"/>
              </w:rPr>
              <w:t> </w:t>
            </w:r>
          </w:p>
        </w:tc>
        <w:tc>
          <w:tcPr>
            <w:tcW w:w="81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right="-57"/>
              <w:rPr>
                <w:rFonts w:ascii="Arial Narrow" w:hAnsi="Arial Narrow"/>
                <w:sz w:val="20"/>
                <w:szCs w:val="20"/>
              </w:rPr>
            </w:pPr>
            <w:r>
              <w:rPr>
                <w:rFonts w:ascii="Arial Narrow" w:hAnsi="Arial Narrow"/>
                <w:sz w:val="20"/>
                <w:szCs w:val="20"/>
              </w:rPr>
              <w:t>Привязанность поставщиков и потребителей к традиционным участникам рынка, %</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15,0%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10,0%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8,0%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20,0%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4,0%</w:t>
            </w:r>
          </w:p>
        </w:tc>
        <w:tc>
          <w:tcPr>
            <w:tcW w:w="29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25,0%</w:t>
            </w:r>
          </w:p>
        </w:tc>
        <w:tc>
          <w:tcPr>
            <w:tcW w:w="29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18,6%</w:t>
            </w:r>
          </w:p>
        </w:tc>
        <w:tc>
          <w:tcPr>
            <w:tcW w:w="27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13,3%</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16,7%</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24,0%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4,0%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18,4%</w:t>
            </w:r>
          </w:p>
        </w:tc>
        <w:tc>
          <w:tcPr>
            <w:tcW w:w="27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20,0%</w:t>
            </w:r>
          </w:p>
        </w:tc>
      </w:tr>
      <w:tr w:rsidR="00A64028" w:rsidTr="00E82802">
        <w:trPr>
          <w:cantSplit/>
          <w:trHeight w:val="20"/>
        </w:trPr>
        <w:tc>
          <w:tcPr>
            <w:tcW w:w="310" w:type="pct"/>
            <w:tcBorders>
              <w:top w:val="single" w:sz="4" w:space="0" w:color="auto"/>
              <w:left w:val="single" w:sz="4" w:space="0" w:color="auto"/>
              <w:bottom w:val="single" w:sz="4" w:space="0" w:color="auto"/>
              <w:right w:val="single" w:sz="4" w:space="0" w:color="auto"/>
            </w:tcBorders>
            <w:noWrap/>
            <w:vAlign w:val="bottom"/>
            <w:hideMark/>
          </w:tcPr>
          <w:p w:rsidR="00A64028" w:rsidRDefault="00A64028" w:rsidP="00103148">
            <w:pPr>
              <w:spacing w:after="0"/>
              <w:ind w:right="-57"/>
              <w:rPr>
                <w:rFonts w:ascii="Arial Narrow" w:hAnsi="Arial Narrow"/>
                <w:sz w:val="24"/>
                <w:szCs w:val="24"/>
              </w:rPr>
            </w:pPr>
            <w:r>
              <w:rPr>
                <w:rFonts w:ascii="Arial Narrow" w:hAnsi="Arial Narrow"/>
                <w:sz w:val="24"/>
                <w:szCs w:val="24"/>
              </w:rPr>
              <w:t> </w:t>
            </w:r>
          </w:p>
        </w:tc>
        <w:tc>
          <w:tcPr>
            <w:tcW w:w="81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right="-57"/>
              <w:rPr>
                <w:rFonts w:ascii="Arial Narrow" w:hAnsi="Arial Narrow"/>
                <w:sz w:val="20"/>
                <w:szCs w:val="20"/>
              </w:rPr>
            </w:pPr>
            <w:r>
              <w:rPr>
                <w:rFonts w:ascii="Arial Narrow" w:hAnsi="Arial Narrow"/>
                <w:sz w:val="20"/>
                <w:szCs w:val="20"/>
              </w:rPr>
              <w:t>Никакие, %</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9,8%</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10,0%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20,0%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16,0%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8,6%</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40,0%</w:t>
            </w:r>
          </w:p>
        </w:tc>
        <w:tc>
          <w:tcPr>
            <w:tcW w:w="29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16,7%</w:t>
            </w:r>
          </w:p>
        </w:tc>
        <w:tc>
          <w:tcPr>
            <w:tcW w:w="29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7,1%</w:t>
            </w:r>
          </w:p>
        </w:tc>
        <w:tc>
          <w:tcPr>
            <w:tcW w:w="27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6,1%</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12,0%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24,0%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11,2%</w:t>
            </w:r>
          </w:p>
        </w:tc>
        <w:tc>
          <w:tcPr>
            <w:tcW w:w="27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0,0%</w:t>
            </w:r>
          </w:p>
        </w:tc>
      </w:tr>
      <w:tr w:rsidR="00A64028" w:rsidTr="00E82802">
        <w:trPr>
          <w:cantSplit/>
          <w:trHeight w:val="20"/>
        </w:trPr>
        <w:tc>
          <w:tcPr>
            <w:tcW w:w="310" w:type="pct"/>
            <w:tcBorders>
              <w:top w:val="single" w:sz="4" w:space="0" w:color="auto"/>
              <w:left w:val="single" w:sz="4" w:space="0" w:color="auto"/>
              <w:bottom w:val="single" w:sz="4" w:space="0" w:color="auto"/>
              <w:right w:val="single" w:sz="4" w:space="0" w:color="auto"/>
            </w:tcBorders>
            <w:noWrap/>
            <w:vAlign w:val="bottom"/>
            <w:hideMark/>
          </w:tcPr>
          <w:p w:rsidR="00A64028" w:rsidRDefault="00A64028" w:rsidP="00103148">
            <w:pPr>
              <w:spacing w:after="0"/>
              <w:ind w:right="-57"/>
              <w:rPr>
                <w:rFonts w:ascii="Arial Narrow" w:hAnsi="Arial Narrow"/>
                <w:sz w:val="24"/>
                <w:szCs w:val="24"/>
              </w:rPr>
            </w:pPr>
            <w:r>
              <w:rPr>
                <w:rFonts w:ascii="Arial Narrow" w:hAnsi="Arial Narrow"/>
                <w:sz w:val="24"/>
                <w:szCs w:val="24"/>
              </w:rPr>
              <w:t> </w:t>
            </w:r>
          </w:p>
        </w:tc>
        <w:tc>
          <w:tcPr>
            <w:tcW w:w="81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right="-57"/>
              <w:rPr>
                <w:rFonts w:ascii="Arial Narrow" w:hAnsi="Arial Narrow"/>
                <w:sz w:val="20"/>
                <w:szCs w:val="20"/>
              </w:rPr>
            </w:pPr>
            <w:r>
              <w:rPr>
                <w:rFonts w:ascii="Arial Narrow" w:hAnsi="Arial Narrow"/>
                <w:sz w:val="20"/>
                <w:szCs w:val="20"/>
              </w:rPr>
              <w:t>Другие, %</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6,1%</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10,0%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4,0%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8,6%</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12,0%</w:t>
            </w:r>
          </w:p>
        </w:tc>
        <w:tc>
          <w:tcPr>
            <w:tcW w:w="29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8,3%</w:t>
            </w:r>
          </w:p>
        </w:tc>
        <w:tc>
          <w:tcPr>
            <w:tcW w:w="29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7,1%</w:t>
            </w:r>
          </w:p>
        </w:tc>
        <w:tc>
          <w:tcPr>
            <w:tcW w:w="27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5,0%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4,0%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9,2%</w:t>
            </w:r>
          </w:p>
        </w:tc>
        <w:tc>
          <w:tcPr>
            <w:tcW w:w="27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Default="00A64028" w:rsidP="00103148">
            <w:pPr>
              <w:spacing w:after="0"/>
              <w:ind w:left="-98" w:right="-129" w:firstLine="98"/>
              <w:jc w:val="center"/>
              <w:rPr>
                <w:rFonts w:ascii="Arial Narrow" w:hAnsi="Arial Narrow"/>
                <w:sz w:val="16"/>
                <w:szCs w:val="16"/>
              </w:rPr>
            </w:pPr>
            <w:r>
              <w:rPr>
                <w:rFonts w:ascii="Arial Narrow" w:hAnsi="Arial Narrow"/>
                <w:sz w:val="16"/>
                <w:szCs w:val="16"/>
              </w:rPr>
              <w:t>0,0%</w:t>
            </w:r>
          </w:p>
        </w:tc>
      </w:tr>
    </w:tbl>
    <w:p w:rsidR="00A64028" w:rsidRDefault="00A64028" w:rsidP="00103148">
      <w:pPr>
        <w:spacing w:after="0"/>
        <w:ind w:firstLine="567"/>
        <w:jc w:val="both"/>
        <w:rPr>
          <w:rFonts w:ascii="Arial Narrow" w:hAnsi="Arial Narrow"/>
          <w:sz w:val="24"/>
          <w:szCs w:val="24"/>
        </w:rPr>
      </w:pPr>
    </w:p>
    <w:p w:rsidR="00A64028" w:rsidRDefault="00A64028" w:rsidP="00E82802">
      <w:pPr>
        <w:spacing w:after="0" w:line="360" w:lineRule="auto"/>
        <w:ind w:firstLine="284"/>
        <w:jc w:val="both"/>
        <w:rPr>
          <w:rFonts w:ascii="Arial Narrow" w:hAnsi="Arial Narrow"/>
          <w:b/>
          <w:sz w:val="24"/>
          <w:szCs w:val="24"/>
        </w:rPr>
      </w:pPr>
      <w:r>
        <w:rPr>
          <w:rFonts w:ascii="Arial Narrow" w:hAnsi="Arial Narrow"/>
          <w:b/>
          <w:sz w:val="24"/>
          <w:szCs w:val="24"/>
        </w:rPr>
        <w:t>Значение показателя 1.3.3. Доля представителей рынков, планировавших выход на новые рынки в течение последних 3 лет (% от числа опрошенных).</w:t>
      </w:r>
    </w:p>
    <w:p w:rsidR="00A64028" w:rsidRDefault="00A64028" w:rsidP="00E82802">
      <w:pPr>
        <w:spacing w:after="0" w:line="360" w:lineRule="auto"/>
        <w:ind w:firstLine="284"/>
        <w:jc w:val="both"/>
        <w:rPr>
          <w:rFonts w:ascii="Arial Narrow" w:eastAsia="Calibri" w:hAnsi="Arial Narrow"/>
          <w:bCs/>
          <w:sz w:val="24"/>
        </w:rPr>
      </w:pPr>
      <w:r>
        <w:rPr>
          <w:rFonts w:ascii="Arial Narrow" w:eastAsia="Calibri" w:hAnsi="Arial Narrow"/>
          <w:sz w:val="24"/>
          <w:szCs w:val="24"/>
        </w:rPr>
        <w:t xml:space="preserve">Выйти на новые рынки в течение последних 3 лет планировали 43,2 % участников рынков. </w:t>
      </w:r>
      <w:r>
        <w:rPr>
          <w:rFonts w:ascii="Arial Narrow" w:eastAsia="Calibri" w:hAnsi="Arial Narrow"/>
          <w:bCs/>
          <w:sz w:val="24"/>
        </w:rPr>
        <w:t>Чаще всего планы по выходу на новые рынки строили занятые в сферах услуг связи (76 %), дополнительного образования детей (56 %) и услуг в сфере культуры (56 %). Наименее активными в освоении новых рынков оказались участники рынка услуг психолого-педагогического сопровождения детей с ограниченными возможностями здоровья (12 %). В остальных сферах планы по выходу на новые рынки строили от 20 % до 50 % представителей субъектов предпринимательства.</w:t>
      </w:r>
    </w:p>
    <w:p w:rsidR="00A64028" w:rsidRDefault="00A64028" w:rsidP="00103148">
      <w:pPr>
        <w:spacing w:after="0"/>
        <w:rPr>
          <w:rFonts w:ascii="Arial Narrow" w:hAnsi="Arial Narrow"/>
          <w:sz w:val="24"/>
          <w:szCs w:val="24"/>
        </w:rPr>
      </w:pPr>
      <w:r>
        <w:rPr>
          <w:rFonts w:ascii="Arial Narrow" w:eastAsia="Calibri" w:hAnsi="Arial Narrow"/>
          <w:sz w:val="24"/>
          <w:szCs w:val="24"/>
        </w:rPr>
        <w:lastRenderedPageBreak/>
        <w:t xml:space="preserve">Таблица </w:t>
      </w:r>
      <w:r w:rsidR="00262F71">
        <w:rPr>
          <w:rFonts w:ascii="Arial Narrow" w:eastAsia="Calibri" w:hAnsi="Arial Narrow"/>
          <w:sz w:val="24"/>
          <w:szCs w:val="24"/>
        </w:rPr>
        <w:t>7.25.</w:t>
      </w:r>
      <w:r>
        <w:rPr>
          <w:rFonts w:ascii="Arial Narrow" w:eastAsia="Calibri" w:hAnsi="Arial Narrow"/>
          <w:sz w:val="24"/>
          <w:szCs w:val="24"/>
        </w:rPr>
        <w:t xml:space="preserve"> – </w:t>
      </w:r>
      <w:r>
        <w:rPr>
          <w:rFonts w:ascii="Arial Narrow" w:hAnsi="Arial Narrow"/>
          <w:b/>
          <w:sz w:val="24"/>
          <w:szCs w:val="24"/>
        </w:rPr>
        <w:t>Значение показателя 1.3.3. Доля представителей рынков, планировавших выход на новые рынки в течение последних 3 лет (% от числа опрошенных)</w:t>
      </w:r>
    </w:p>
    <w:tbl>
      <w:tblPr>
        <w:tblW w:w="10004"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433"/>
        <w:gridCol w:w="1562"/>
        <w:gridCol w:w="567"/>
        <w:gridCol w:w="709"/>
        <w:gridCol w:w="457"/>
        <w:gridCol w:w="513"/>
        <w:gridCol w:w="454"/>
        <w:gridCol w:w="702"/>
        <w:gridCol w:w="512"/>
        <w:gridCol w:w="513"/>
        <w:gridCol w:w="512"/>
        <w:gridCol w:w="726"/>
        <w:gridCol w:w="512"/>
        <w:gridCol w:w="513"/>
        <w:gridCol w:w="612"/>
        <w:gridCol w:w="707"/>
      </w:tblGrid>
      <w:tr w:rsidR="00A64028" w:rsidRPr="00422331" w:rsidTr="00130274">
        <w:trPr>
          <w:cantSplit/>
          <w:trHeight w:val="3136"/>
        </w:trPr>
        <w:tc>
          <w:tcPr>
            <w:tcW w:w="433" w:type="dxa"/>
            <w:tcBorders>
              <w:top w:val="single" w:sz="4" w:space="0" w:color="auto"/>
              <w:left w:val="single" w:sz="4" w:space="0" w:color="auto"/>
              <w:bottom w:val="single" w:sz="4" w:space="0" w:color="auto"/>
              <w:right w:val="single" w:sz="4" w:space="0" w:color="auto"/>
            </w:tcBorders>
            <w:vAlign w:val="center"/>
            <w:hideMark/>
          </w:tcPr>
          <w:p w:rsidR="00A64028" w:rsidRPr="00422331" w:rsidRDefault="00A64028" w:rsidP="00103148">
            <w:pPr>
              <w:spacing w:after="0" w:line="252" w:lineRule="auto"/>
              <w:jc w:val="center"/>
              <w:rPr>
                <w:rFonts w:ascii="Arial Narrow" w:hAnsi="Arial Narrow" w:cs="Arial"/>
                <w:sz w:val="17"/>
                <w:szCs w:val="17"/>
              </w:rPr>
            </w:pPr>
            <w:r w:rsidRPr="00422331">
              <w:rPr>
                <w:rFonts w:ascii="Arial Narrow" w:hAnsi="Arial Narrow" w:cs="Arial"/>
                <w:sz w:val="17"/>
                <w:szCs w:val="17"/>
              </w:rPr>
              <w:t>№</w:t>
            </w:r>
          </w:p>
        </w:tc>
        <w:tc>
          <w:tcPr>
            <w:tcW w:w="1562" w:type="dxa"/>
            <w:tcBorders>
              <w:top w:val="single" w:sz="4" w:space="0" w:color="auto"/>
              <w:left w:val="single" w:sz="4" w:space="0" w:color="auto"/>
              <w:bottom w:val="single" w:sz="4" w:space="0" w:color="auto"/>
              <w:right w:val="single" w:sz="4" w:space="0" w:color="auto"/>
            </w:tcBorders>
            <w:vAlign w:val="center"/>
            <w:hideMark/>
          </w:tcPr>
          <w:p w:rsidR="00A64028" w:rsidRPr="00086001" w:rsidRDefault="00A64028" w:rsidP="00086001">
            <w:pPr>
              <w:spacing w:after="0" w:line="240" w:lineRule="auto"/>
              <w:ind w:left="145" w:right="141"/>
              <w:rPr>
                <w:rFonts w:ascii="Arial Narrow" w:hAnsi="Arial Narrow" w:cs="Arial"/>
                <w:sz w:val="18"/>
                <w:szCs w:val="18"/>
              </w:rPr>
            </w:pPr>
            <w:r w:rsidRPr="00086001">
              <w:rPr>
                <w:rFonts w:ascii="Arial Narrow" w:hAnsi="Arial Narrow" w:cs="Arial"/>
                <w:sz w:val="18"/>
                <w:szCs w:val="18"/>
              </w:rPr>
              <w:t>Наименование показателя, единица измерения</w:t>
            </w:r>
          </w:p>
        </w:tc>
        <w:tc>
          <w:tcPr>
            <w:tcW w:w="567" w:type="dxa"/>
            <w:tcBorders>
              <w:top w:val="single" w:sz="4" w:space="0" w:color="auto"/>
              <w:left w:val="single" w:sz="4" w:space="0" w:color="auto"/>
              <w:bottom w:val="single" w:sz="4" w:space="0" w:color="auto"/>
              <w:right w:val="single" w:sz="4" w:space="0" w:color="auto"/>
            </w:tcBorders>
            <w:textDirection w:val="btLr"/>
            <w:vAlign w:val="center"/>
            <w:hideMark/>
          </w:tcPr>
          <w:p w:rsidR="00A64028" w:rsidRPr="00086001" w:rsidRDefault="00A64028" w:rsidP="00086001">
            <w:pPr>
              <w:spacing w:after="0" w:line="240" w:lineRule="auto"/>
              <w:ind w:left="113" w:right="113"/>
              <w:jc w:val="center"/>
              <w:rPr>
                <w:rFonts w:ascii="Arial Narrow" w:hAnsi="Arial Narrow" w:cs="Arial"/>
                <w:sz w:val="18"/>
                <w:szCs w:val="18"/>
              </w:rPr>
            </w:pPr>
            <w:r w:rsidRPr="00086001">
              <w:rPr>
                <w:rFonts w:ascii="Arial Narrow" w:hAnsi="Arial Narrow" w:cs="Arial"/>
                <w:sz w:val="18"/>
                <w:szCs w:val="18"/>
              </w:rPr>
              <w:t>Общий по Новосибирской области</w:t>
            </w:r>
          </w:p>
        </w:tc>
        <w:tc>
          <w:tcPr>
            <w:tcW w:w="709" w:type="dxa"/>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086001" w:rsidRDefault="00A64028" w:rsidP="00086001">
            <w:pPr>
              <w:spacing w:after="0" w:line="240" w:lineRule="auto"/>
              <w:ind w:right="113"/>
              <w:jc w:val="center"/>
              <w:rPr>
                <w:rFonts w:ascii="Arial Narrow" w:hAnsi="Arial Narrow" w:cs="Arial"/>
                <w:sz w:val="18"/>
                <w:szCs w:val="18"/>
              </w:rPr>
            </w:pPr>
            <w:r w:rsidRPr="00086001">
              <w:rPr>
                <w:rFonts w:ascii="Arial Narrow" w:hAnsi="Arial Narrow" w:cs="Arial"/>
                <w:sz w:val="18"/>
                <w:szCs w:val="18"/>
              </w:rPr>
              <w:t>Рынок услуг дошкольного образования (коммерческие детские сады и учреждения пребывания неполного дня)</w:t>
            </w:r>
          </w:p>
        </w:tc>
        <w:tc>
          <w:tcPr>
            <w:tcW w:w="457" w:type="dxa"/>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086001" w:rsidRDefault="00A64028" w:rsidP="00086001">
            <w:pPr>
              <w:spacing w:after="0" w:line="240" w:lineRule="auto"/>
              <w:ind w:right="113"/>
              <w:jc w:val="center"/>
              <w:rPr>
                <w:rFonts w:ascii="Arial Narrow" w:hAnsi="Arial Narrow" w:cs="Arial"/>
                <w:sz w:val="18"/>
                <w:szCs w:val="18"/>
              </w:rPr>
            </w:pPr>
            <w:r w:rsidRPr="00086001">
              <w:rPr>
                <w:rFonts w:ascii="Arial Narrow" w:hAnsi="Arial Narrow" w:cs="Arial"/>
                <w:sz w:val="18"/>
                <w:szCs w:val="18"/>
              </w:rPr>
              <w:t>Рынок услуг детского отдыха и оздоровления</w:t>
            </w:r>
          </w:p>
        </w:tc>
        <w:tc>
          <w:tcPr>
            <w:tcW w:w="513" w:type="dxa"/>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086001" w:rsidRDefault="00A64028" w:rsidP="00086001">
            <w:pPr>
              <w:spacing w:after="0" w:line="240" w:lineRule="auto"/>
              <w:ind w:right="113"/>
              <w:jc w:val="center"/>
              <w:rPr>
                <w:rFonts w:ascii="Arial Narrow" w:hAnsi="Arial Narrow" w:cs="Arial"/>
                <w:sz w:val="18"/>
                <w:szCs w:val="18"/>
              </w:rPr>
            </w:pPr>
            <w:r w:rsidRPr="00086001">
              <w:rPr>
                <w:rFonts w:ascii="Arial Narrow" w:hAnsi="Arial Narrow" w:cs="Arial"/>
                <w:sz w:val="18"/>
                <w:szCs w:val="18"/>
              </w:rPr>
              <w:t>Рынок дополнительного образования детей</w:t>
            </w:r>
          </w:p>
        </w:tc>
        <w:tc>
          <w:tcPr>
            <w:tcW w:w="454" w:type="dxa"/>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086001" w:rsidRDefault="00A64028" w:rsidP="00086001">
            <w:pPr>
              <w:spacing w:after="0" w:line="240" w:lineRule="auto"/>
              <w:ind w:right="113"/>
              <w:jc w:val="center"/>
              <w:rPr>
                <w:rFonts w:ascii="Arial Narrow" w:hAnsi="Arial Narrow" w:cs="Arial"/>
                <w:sz w:val="18"/>
                <w:szCs w:val="18"/>
              </w:rPr>
            </w:pPr>
            <w:r w:rsidRPr="00086001">
              <w:rPr>
                <w:rFonts w:ascii="Arial Narrow" w:hAnsi="Arial Narrow" w:cs="Arial"/>
                <w:sz w:val="18"/>
                <w:szCs w:val="18"/>
              </w:rPr>
              <w:t>Рынок медицинских услуг</w:t>
            </w:r>
          </w:p>
        </w:tc>
        <w:tc>
          <w:tcPr>
            <w:tcW w:w="702" w:type="dxa"/>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086001" w:rsidRDefault="00A64028" w:rsidP="00086001">
            <w:pPr>
              <w:spacing w:after="0" w:line="240" w:lineRule="auto"/>
              <w:ind w:right="113"/>
              <w:jc w:val="center"/>
              <w:rPr>
                <w:rFonts w:ascii="Arial Narrow" w:hAnsi="Arial Narrow" w:cs="Arial"/>
                <w:sz w:val="18"/>
                <w:szCs w:val="18"/>
              </w:rPr>
            </w:pPr>
            <w:r w:rsidRPr="00086001">
              <w:rPr>
                <w:rFonts w:ascii="Arial Narrow" w:hAnsi="Arial Narrow" w:cs="Arial"/>
                <w:sz w:val="18"/>
                <w:szCs w:val="18"/>
              </w:rPr>
              <w:t>Рынок услуг психолого-педагогического сопровождения детей с ограниченными возможностями здоровья</w:t>
            </w:r>
          </w:p>
        </w:tc>
        <w:tc>
          <w:tcPr>
            <w:tcW w:w="512" w:type="dxa"/>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086001" w:rsidRDefault="00A64028" w:rsidP="00086001">
            <w:pPr>
              <w:spacing w:after="0" w:line="240" w:lineRule="auto"/>
              <w:ind w:right="113"/>
              <w:jc w:val="center"/>
              <w:rPr>
                <w:rFonts w:ascii="Arial Narrow" w:hAnsi="Arial Narrow" w:cs="Arial"/>
                <w:sz w:val="18"/>
                <w:szCs w:val="18"/>
              </w:rPr>
            </w:pPr>
            <w:r w:rsidRPr="00086001">
              <w:rPr>
                <w:rFonts w:ascii="Arial Narrow" w:hAnsi="Arial Narrow" w:cs="Arial"/>
                <w:sz w:val="18"/>
                <w:szCs w:val="18"/>
              </w:rPr>
              <w:t>Рынок услуг в сфере культуры</w:t>
            </w:r>
          </w:p>
        </w:tc>
        <w:tc>
          <w:tcPr>
            <w:tcW w:w="513" w:type="dxa"/>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086001" w:rsidRDefault="00A64028" w:rsidP="00086001">
            <w:pPr>
              <w:spacing w:after="0" w:line="240" w:lineRule="auto"/>
              <w:ind w:right="113"/>
              <w:jc w:val="center"/>
              <w:rPr>
                <w:rFonts w:ascii="Arial Narrow" w:hAnsi="Arial Narrow" w:cs="Arial"/>
                <w:sz w:val="18"/>
                <w:szCs w:val="18"/>
              </w:rPr>
            </w:pPr>
            <w:r w:rsidRPr="00086001">
              <w:rPr>
                <w:rFonts w:ascii="Arial Narrow" w:hAnsi="Arial Narrow" w:cs="Arial"/>
                <w:sz w:val="18"/>
                <w:szCs w:val="18"/>
              </w:rPr>
              <w:t>Рынок услуг ЖКХ (управляющие компании)</w:t>
            </w:r>
          </w:p>
        </w:tc>
        <w:tc>
          <w:tcPr>
            <w:tcW w:w="512" w:type="dxa"/>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086001" w:rsidRDefault="00A64028" w:rsidP="00086001">
            <w:pPr>
              <w:spacing w:after="0" w:line="240" w:lineRule="auto"/>
              <w:ind w:right="113"/>
              <w:jc w:val="center"/>
              <w:rPr>
                <w:rFonts w:ascii="Arial Narrow" w:hAnsi="Arial Narrow" w:cs="Arial"/>
                <w:sz w:val="18"/>
                <w:szCs w:val="18"/>
              </w:rPr>
            </w:pPr>
            <w:r w:rsidRPr="00086001">
              <w:rPr>
                <w:rFonts w:ascii="Arial Narrow" w:hAnsi="Arial Narrow" w:cs="Arial"/>
                <w:sz w:val="18"/>
                <w:szCs w:val="18"/>
              </w:rPr>
              <w:t>Розничная торговля (продажа продуктов питания и непродовольственных товаров)</w:t>
            </w:r>
          </w:p>
        </w:tc>
        <w:tc>
          <w:tcPr>
            <w:tcW w:w="726" w:type="dxa"/>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086001" w:rsidRDefault="00A64028" w:rsidP="00086001">
            <w:pPr>
              <w:spacing w:after="0" w:line="240" w:lineRule="auto"/>
              <w:ind w:right="113"/>
              <w:jc w:val="center"/>
              <w:rPr>
                <w:rFonts w:ascii="Arial Narrow" w:hAnsi="Arial Narrow" w:cs="Arial"/>
                <w:sz w:val="18"/>
                <w:szCs w:val="18"/>
              </w:rPr>
            </w:pPr>
            <w:r w:rsidRPr="00086001">
              <w:rPr>
                <w:rFonts w:ascii="Arial Narrow" w:hAnsi="Arial Narrow" w:cs="Arial"/>
                <w:sz w:val="18"/>
                <w:szCs w:val="18"/>
              </w:rPr>
              <w:t>Рынок услуг перевозок пассажиров наземным транспортом (автобусные перевозки и такси)</w:t>
            </w:r>
          </w:p>
        </w:tc>
        <w:tc>
          <w:tcPr>
            <w:tcW w:w="512" w:type="dxa"/>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086001" w:rsidRDefault="00A64028" w:rsidP="00086001">
            <w:pPr>
              <w:spacing w:after="0" w:line="240" w:lineRule="auto"/>
              <w:ind w:right="113"/>
              <w:jc w:val="center"/>
              <w:rPr>
                <w:rFonts w:ascii="Arial Narrow" w:hAnsi="Arial Narrow" w:cs="Arial"/>
                <w:sz w:val="18"/>
                <w:szCs w:val="18"/>
              </w:rPr>
            </w:pPr>
            <w:r w:rsidRPr="00086001">
              <w:rPr>
                <w:rFonts w:ascii="Arial Narrow" w:hAnsi="Arial Narrow" w:cs="Arial"/>
                <w:sz w:val="18"/>
                <w:szCs w:val="18"/>
              </w:rPr>
              <w:t>Рынок услуг связи</w:t>
            </w:r>
          </w:p>
        </w:tc>
        <w:tc>
          <w:tcPr>
            <w:tcW w:w="513" w:type="dxa"/>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086001" w:rsidRDefault="00A64028" w:rsidP="00086001">
            <w:pPr>
              <w:spacing w:after="0" w:line="240" w:lineRule="auto"/>
              <w:ind w:right="113"/>
              <w:jc w:val="center"/>
              <w:rPr>
                <w:rFonts w:ascii="Arial Narrow" w:hAnsi="Arial Narrow" w:cs="Arial"/>
                <w:sz w:val="18"/>
                <w:szCs w:val="18"/>
              </w:rPr>
            </w:pPr>
            <w:r w:rsidRPr="00086001">
              <w:rPr>
                <w:rFonts w:ascii="Arial Narrow" w:hAnsi="Arial Narrow" w:cs="Arial"/>
                <w:sz w:val="18"/>
                <w:szCs w:val="18"/>
              </w:rPr>
              <w:t>Рынок услуг социального обслуживания населения</w:t>
            </w:r>
          </w:p>
        </w:tc>
        <w:tc>
          <w:tcPr>
            <w:tcW w:w="612" w:type="dxa"/>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086001" w:rsidRDefault="00A64028" w:rsidP="00086001">
            <w:pPr>
              <w:spacing w:after="0" w:line="240" w:lineRule="auto"/>
              <w:ind w:right="113"/>
              <w:jc w:val="center"/>
              <w:rPr>
                <w:rFonts w:ascii="Arial Narrow" w:hAnsi="Arial Narrow" w:cs="Arial"/>
                <w:sz w:val="18"/>
                <w:szCs w:val="18"/>
              </w:rPr>
            </w:pPr>
            <w:r w:rsidRPr="00086001">
              <w:rPr>
                <w:rFonts w:ascii="Arial Narrow" w:hAnsi="Arial Narrow" w:cs="Arial"/>
                <w:sz w:val="18"/>
                <w:szCs w:val="18"/>
              </w:rPr>
              <w:t>Рынок развития, производства, переработки и хранения сельскохозяйственной продукции</w:t>
            </w:r>
          </w:p>
        </w:tc>
        <w:tc>
          <w:tcPr>
            <w:tcW w:w="707" w:type="dxa"/>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086001" w:rsidRDefault="00A64028" w:rsidP="00086001">
            <w:pPr>
              <w:spacing w:after="0" w:line="240" w:lineRule="auto"/>
              <w:ind w:right="113"/>
              <w:jc w:val="center"/>
              <w:rPr>
                <w:rFonts w:ascii="Arial Narrow" w:hAnsi="Arial Narrow" w:cs="Arial"/>
                <w:sz w:val="18"/>
                <w:szCs w:val="18"/>
              </w:rPr>
            </w:pPr>
            <w:r w:rsidRPr="00086001">
              <w:rPr>
                <w:rFonts w:ascii="Arial Narrow" w:hAnsi="Arial Narrow" w:cs="Arial"/>
                <w:sz w:val="18"/>
                <w:szCs w:val="18"/>
              </w:rPr>
              <w:t>Рынок услуг по сбору, сортировке и переработке твердых коммунальных (бытовых) отходов</w:t>
            </w:r>
          </w:p>
        </w:tc>
      </w:tr>
      <w:tr w:rsidR="00A64028" w:rsidRPr="00422331" w:rsidTr="00130274">
        <w:tc>
          <w:tcPr>
            <w:tcW w:w="433" w:type="dxa"/>
            <w:tcBorders>
              <w:top w:val="single" w:sz="4" w:space="0" w:color="auto"/>
              <w:left w:val="single" w:sz="4" w:space="0" w:color="auto"/>
              <w:bottom w:val="single" w:sz="4" w:space="0" w:color="auto"/>
              <w:right w:val="single" w:sz="4" w:space="0" w:color="auto"/>
            </w:tcBorders>
            <w:vAlign w:val="center"/>
            <w:hideMark/>
          </w:tcPr>
          <w:p w:rsidR="00A64028" w:rsidRPr="00422331" w:rsidRDefault="00A64028" w:rsidP="00103148">
            <w:pPr>
              <w:spacing w:after="0"/>
              <w:jc w:val="both"/>
              <w:rPr>
                <w:rFonts w:ascii="Arial Narrow" w:hAnsi="Arial Narrow"/>
                <w:sz w:val="17"/>
                <w:szCs w:val="17"/>
              </w:rPr>
            </w:pPr>
            <w:r w:rsidRPr="00422331">
              <w:rPr>
                <w:rFonts w:ascii="Arial Narrow" w:hAnsi="Arial Narrow"/>
                <w:sz w:val="17"/>
                <w:szCs w:val="17"/>
              </w:rPr>
              <w:t>1.3.3.</w:t>
            </w:r>
          </w:p>
        </w:tc>
        <w:tc>
          <w:tcPr>
            <w:tcW w:w="1562" w:type="dxa"/>
            <w:tcBorders>
              <w:top w:val="single" w:sz="4" w:space="0" w:color="auto"/>
              <w:left w:val="single" w:sz="4" w:space="0" w:color="auto"/>
              <w:bottom w:val="single" w:sz="4" w:space="0" w:color="auto"/>
              <w:right w:val="single" w:sz="4" w:space="0" w:color="auto"/>
            </w:tcBorders>
            <w:hideMark/>
          </w:tcPr>
          <w:p w:rsidR="00A64028" w:rsidRPr="00086001" w:rsidRDefault="00A64028" w:rsidP="00086001">
            <w:pPr>
              <w:spacing w:after="0"/>
              <w:ind w:left="145" w:right="140"/>
              <w:rPr>
                <w:rFonts w:ascii="Arial Narrow" w:hAnsi="Arial Narrow"/>
                <w:sz w:val="18"/>
                <w:szCs w:val="18"/>
              </w:rPr>
            </w:pPr>
            <w:r w:rsidRPr="00086001">
              <w:rPr>
                <w:rFonts w:ascii="Arial Narrow" w:hAnsi="Arial Narrow"/>
                <w:sz w:val="18"/>
                <w:szCs w:val="18"/>
              </w:rPr>
              <w:t>Доля представителей рынков, планировавших выход на новые рынки в течение последних 3 лет (% от числа опрошенных)</w:t>
            </w:r>
          </w:p>
        </w:tc>
        <w:tc>
          <w:tcPr>
            <w:tcW w:w="567" w:type="dxa"/>
            <w:tcBorders>
              <w:top w:val="single" w:sz="4" w:space="0" w:color="auto"/>
              <w:left w:val="single" w:sz="4" w:space="0" w:color="auto"/>
              <w:bottom w:val="single" w:sz="4" w:space="0" w:color="auto"/>
              <w:right w:val="single" w:sz="4" w:space="0" w:color="auto"/>
            </w:tcBorders>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43,2%</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30,0%</w:t>
            </w:r>
          </w:p>
        </w:tc>
        <w:tc>
          <w:tcPr>
            <w:tcW w:w="457" w:type="dxa"/>
            <w:tcBorders>
              <w:top w:val="single" w:sz="4" w:space="0" w:color="auto"/>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40,0%</w:t>
            </w:r>
          </w:p>
        </w:tc>
        <w:tc>
          <w:tcPr>
            <w:tcW w:w="513" w:type="dxa"/>
            <w:tcBorders>
              <w:top w:val="single" w:sz="4" w:space="0" w:color="auto"/>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56,0%</w:t>
            </w:r>
          </w:p>
        </w:tc>
        <w:tc>
          <w:tcPr>
            <w:tcW w:w="454" w:type="dxa"/>
            <w:tcBorders>
              <w:top w:val="single" w:sz="4" w:space="0" w:color="auto"/>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25,7%</w:t>
            </w:r>
          </w:p>
        </w:tc>
        <w:tc>
          <w:tcPr>
            <w:tcW w:w="702" w:type="dxa"/>
            <w:tcBorders>
              <w:top w:val="single" w:sz="4" w:space="0" w:color="auto"/>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12,0%</w:t>
            </w:r>
          </w:p>
        </w:tc>
        <w:tc>
          <w:tcPr>
            <w:tcW w:w="512" w:type="dxa"/>
            <w:tcBorders>
              <w:top w:val="single" w:sz="4" w:space="0" w:color="auto"/>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56,0%</w:t>
            </w:r>
          </w:p>
        </w:tc>
        <w:tc>
          <w:tcPr>
            <w:tcW w:w="513" w:type="dxa"/>
            <w:tcBorders>
              <w:top w:val="single" w:sz="4" w:space="0" w:color="auto"/>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31,4%</w:t>
            </w:r>
          </w:p>
        </w:tc>
        <w:tc>
          <w:tcPr>
            <w:tcW w:w="512" w:type="dxa"/>
            <w:tcBorders>
              <w:top w:val="single" w:sz="4" w:space="0" w:color="auto"/>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42,2%</w:t>
            </w:r>
          </w:p>
        </w:tc>
        <w:tc>
          <w:tcPr>
            <w:tcW w:w="726" w:type="dxa"/>
            <w:tcBorders>
              <w:top w:val="single" w:sz="4" w:space="0" w:color="auto"/>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33,3%</w:t>
            </w:r>
          </w:p>
        </w:tc>
        <w:tc>
          <w:tcPr>
            <w:tcW w:w="512" w:type="dxa"/>
            <w:tcBorders>
              <w:top w:val="single" w:sz="4" w:space="0" w:color="auto"/>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76,0%</w:t>
            </w:r>
          </w:p>
        </w:tc>
        <w:tc>
          <w:tcPr>
            <w:tcW w:w="513" w:type="dxa"/>
            <w:tcBorders>
              <w:top w:val="single" w:sz="4" w:space="0" w:color="auto"/>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20,0%</w:t>
            </w:r>
          </w:p>
        </w:tc>
        <w:tc>
          <w:tcPr>
            <w:tcW w:w="612" w:type="dxa"/>
            <w:tcBorders>
              <w:top w:val="single" w:sz="4" w:space="0" w:color="auto"/>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41,0%</w:t>
            </w:r>
          </w:p>
        </w:tc>
        <w:tc>
          <w:tcPr>
            <w:tcW w:w="707" w:type="dxa"/>
            <w:tcBorders>
              <w:top w:val="single" w:sz="4" w:space="0" w:color="auto"/>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50,0%</w:t>
            </w:r>
          </w:p>
        </w:tc>
      </w:tr>
    </w:tbl>
    <w:p w:rsidR="00A64028" w:rsidRDefault="00A64028" w:rsidP="00103148">
      <w:pPr>
        <w:spacing w:after="0"/>
        <w:jc w:val="both"/>
        <w:rPr>
          <w:rFonts w:ascii="Arial Narrow" w:hAnsi="Arial Narrow"/>
          <w:sz w:val="24"/>
          <w:szCs w:val="24"/>
        </w:rPr>
      </w:pPr>
    </w:p>
    <w:p w:rsidR="00A64028" w:rsidRDefault="00A64028" w:rsidP="00E82802">
      <w:pPr>
        <w:spacing w:after="0" w:line="360" w:lineRule="auto"/>
        <w:ind w:firstLine="284"/>
        <w:jc w:val="both"/>
        <w:rPr>
          <w:rFonts w:ascii="Arial Narrow" w:hAnsi="Arial Narrow"/>
          <w:b/>
          <w:sz w:val="24"/>
          <w:szCs w:val="24"/>
        </w:rPr>
      </w:pPr>
      <w:r>
        <w:rPr>
          <w:rFonts w:ascii="Arial Narrow" w:hAnsi="Arial Narrow"/>
          <w:b/>
          <w:sz w:val="24"/>
          <w:szCs w:val="24"/>
        </w:rPr>
        <w:t>Значение показателя 1.3.4. Доля предприятий, столкнувшихся с препятствиями выхода на новые рынки за последние 3 года (% от числа планировавших выход на новые рынки в течение последних 3 лет).</w:t>
      </w:r>
    </w:p>
    <w:p w:rsidR="00A64028" w:rsidRDefault="00A64028" w:rsidP="00E82802">
      <w:pPr>
        <w:spacing w:after="0" w:line="360" w:lineRule="auto"/>
        <w:ind w:firstLine="284"/>
        <w:jc w:val="both"/>
        <w:rPr>
          <w:rFonts w:ascii="Arial Narrow" w:hAnsi="Arial Narrow"/>
          <w:sz w:val="24"/>
          <w:szCs w:val="24"/>
        </w:rPr>
      </w:pPr>
      <w:r>
        <w:rPr>
          <w:rFonts w:ascii="Arial Narrow" w:hAnsi="Arial Narrow"/>
          <w:sz w:val="24"/>
          <w:szCs w:val="24"/>
        </w:rPr>
        <w:t>При выходе на новые рынки 66,0 % представителей субъектов предпринимательства сталкивались с препятствиями. Среди участников рынков услуг психолого-педагогического сопровождения детей с ограниченными возможностями здоровья и услуг по сбору, сортировке и переработке твердых коммунальных (бытовых) отходов с препятствиями столкнулись все планировавшие выход на новые рынки. Наименьшая доля испытавших на себе действие барьеров при выходе на новый рынок зафиксирована среди участников рынков услуг детского отдыха и оздоровления (50,0 %) и услуг связи (52,6 %). Среди представителей бизнеса других сфер деятельности столкнулись с препятствиями при выходе на новые рынки от 57,1 % до 72,2 %.</w:t>
      </w:r>
    </w:p>
    <w:p w:rsidR="00E82802" w:rsidRDefault="00E82802" w:rsidP="00103148">
      <w:pPr>
        <w:spacing w:after="0"/>
        <w:rPr>
          <w:rFonts w:ascii="Arial Narrow" w:eastAsia="Calibri" w:hAnsi="Arial Narrow"/>
          <w:sz w:val="24"/>
          <w:szCs w:val="24"/>
        </w:rPr>
      </w:pPr>
    </w:p>
    <w:p w:rsidR="00E82802" w:rsidRDefault="00E82802">
      <w:pPr>
        <w:rPr>
          <w:rFonts w:ascii="Arial Narrow" w:eastAsia="Calibri" w:hAnsi="Arial Narrow"/>
          <w:sz w:val="24"/>
          <w:szCs w:val="24"/>
        </w:rPr>
      </w:pPr>
      <w:r>
        <w:rPr>
          <w:rFonts w:ascii="Arial Narrow" w:eastAsia="Calibri" w:hAnsi="Arial Narrow"/>
          <w:sz w:val="24"/>
          <w:szCs w:val="24"/>
        </w:rPr>
        <w:br w:type="page"/>
      </w:r>
    </w:p>
    <w:p w:rsidR="00A64028" w:rsidRDefault="00A64028" w:rsidP="00103148">
      <w:pPr>
        <w:spacing w:after="0"/>
        <w:rPr>
          <w:rFonts w:ascii="Arial Narrow" w:hAnsi="Arial Narrow"/>
          <w:sz w:val="24"/>
          <w:szCs w:val="24"/>
        </w:rPr>
      </w:pPr>
      <w:r>
        <w:rPr>
          <w:rFonts w:ascii="Arial Narrow" w:eastAsia="Calibri" w:hAnsi="Arial Narrow"/>
          <w:sz w:val="24"/>
          <w:szCs w:val="24"/>
        </w:rPr>
        <w:lastRenderedPageBreak/>
        <w:t xml:space="preserve">Таблица </w:t>
      </w:r>
      <w:r w:rsidR="00262F71">
        <w:rPr>
          <w:rFonts w:ascii="Arial Narrow" w:eastAsia="Calibri" w:hAnsi="Arial Narrow"/>
          <w:sz w:val="24"/>
          <w:szCs w:val="24"/>
        </w:rPr>
        <w:t>7.26.</w:t>
      </w:r>
      <w:r>
        <w:rPr>
          <w:rFonts w:ascii="Arial Narrow" w:eastAsia="Calibri" w:hAnsi="Arial Narrow"/>
          <w:sz w:val="24"/>
          <w:szCs w:val="24"/>
        </w:rPr>
        <w:t xml:space="preserve"> – </w:t>
      </w:r>
      <w:r>
        <w:rPr>
          <w:rFonts w:ascii="Arial Narrow" w:hAnsi="Arial Narrow"/>
          <w:b/>
          <w:sz w:val="24"/>
          <w:szCs w:val="24"/>
        </w:rPr>
        <w:t>Значение показателя 1.3.4. Доля предприятий, столкнувшихся с препятствиями выхода на новые рынки за последние 3 года (% от числа планировавших выход на новые рынки в течение последних 3 лет)</w:t>
      </w:r>
    </w:p>
    <w:tbl>
      <w:tblPr>
        <w:tblW w:w="10121"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433"/>
        <w:gridCol w:w="2555"/>
        <w:gridCol w:w="570"/>
        <w:gridCol w:w="564"/>
        <w:gridCol w:w="457"/>
        <w:gridCol w:w="394"/>
        <w:gridCol w:w="452"/>
        <w:gridCol w:w="540"/>
        <w:gridCol w:w="422"/>
        <w:gridCol w:w="513"/>
        <w:gridCol w:w="512"/>
        <w:gridCol w:w="537"/>
        <w:gridCol w:w="488"/>
        <w:gridCol w:w="505"/>
        <w:gridCol w:w="608"/>
        <w:gridCol w:w="571"/>
      </w:tblGrid>
      <w:tr w:rsidR="00A64028" w:rsidRPr="00422331" w:rsidTr="00130274">
        <w:trPr>
          <w:cantSplit/>
          <w:trHeight w:val="3138"/>
        </w:trPr>
        <w:tc>
          <w:tcPr>
            <w:tcW w:w="433" w:type="dxa"/>
            <w:tcBorders>
              <w:top w:val="single" w:sz="4" w:space="0" w:color="auto"/>
              <w:left w:val="single" w:sz="4" w:space="0" w:color="auto"/>
              <w:bottom w:val="single" w:sz="4" w:space="0" w:color="auto"/>
              <w:right w:val="single" w:sz="4" w:space="0" w:color="auto"/>
            </w:tcBorders>
            <w:vAlign w:val="center"/>
            <w:hideMark/>
          </w:tcPr>
          <w:p w:rsidR="00A64028" w:rsidRPr="00422331" w:rsidRDefault="00A64028" w:rsidP="00103148">
            <w:pPr>
              <w:spacing w:after="0" w:line="252" w:lineRule="auto"/>
              <w:jc w:val="center"/>
              <w:rPr>
                <w:rFonts w:ascii="Arial Narrow" w:hAnsi="Arial Narrow" w:cs="Arial"/>
                <w:sz w:val="17"/>
                <w:szCs w:val="17"/>
              </w:rPr>
            </w:pPr>
            <w:r w:rsidRPr="00422331">
              <w:rPr>
                <w:rFonts w:ascii="Arial Narrow" w:hAnsi="Arial Narrow" w:cs="Arial"/>
                <w:sz w:val="17"/>
                <w:szCs w:val="17"/>
              </w:rPr>
              <w:t>№</w:t>
            </w:r>
          </w:p>
        </w:tc>
        <w:tc>
          <w:tcPr>
            <w:tcW w:w="2555" w:type="dxa"/>
            <w:tcBorders>
              <w:top w:val="single" w:sz="4" w:space="0" w:color="auto"/>
              <w:left w:val="single" w:sz="4" w:space="0" w:color="auto"/>
              <w:bottom w:val="single" w:sz="4" w:space="0" w:color="auto"/>
              <w:right w:val="single" w:sz="4" w:space="0" w:color="auto"/>
            </w:tcBorders>
            <w:vAlign w:val="center"/>
            <w:hideMark/>
          </w:tcPr>
          <w:p w:rsidR="00A64028" w:rsidRPr="00086001" w:rsidRDefault="00A64028" w:rsidP="00086001">
            <w:pPr>
              <w:spacing w:after="0" w:line="240" w:lineRule="auto"/>
              <w:ind w:right="141"/>
              <w:rPr>
                <w:rFonts w:ascii="Arial Narrow" w:hAnsi="Arial Narrow" w:cs="Arial"/>
                <w:sz w:val="18"/>
                <w:szCs w:val="18"/>
              </w:rPr>
            </w:pPr>
            <w:r w:rsidRPr="00086001">
              <w:rPr>
                <w:rFonts w:ascii="Arial Narrow" w:hAnsi="Arial Narrow" w:cs="Arial"/>
                <w:sz w:val="18"/>
                <w:szCs w:val="18"/>
              </w:rPr>
              <w:t>Наименование показателя, единица измерения</w:t>
            </w:r>
          </w:p>
        </w:tc>
        <w:tc>
          <w:tcPr>
            <w:tcW w:w="570" w:type="dxa"/>
            <w:tcBorders>
              <w:top w:val="single" w:sz="4" w:space="0" w:color="auto"/>
              <w:left w:val="single" w:sz="4" w:space="0" w:color="auto"/>
              <w:bottom w:val="single" w:sz="4" w:space="0" w:color="auto"/>
              <w:right w:val="single" w:sz="4" w:space="0" w:color="auto"/>
            </w:tcBorders>
            <w:textDirection w:val="btLr"/>
            <w:vAlign w:val="center"/>
            <w:hideMark/>
          </w:tcPr>
          <w:p w:rsidR="00A64028" w:rsidRPr="00086001" w:rsidRDefault="00A64028" w:rsidP="00086001">
            <w:pPr>
              <w:spacing w:after="0" w:line="240" w:lineRule="auto"/>
              <w:ind w:left="113" w:right="113"/>
              <w:jc w:val="center"/>
              <w:rPr>
                <w:rFonts w:ascii="Arial Narrow" w:hAnsi="Arial Narrow" w:cs="Arial"/>
                <w:sz w:val="18"/>
                <w:szCs w:val="18"/>
              </w:rPr>
            </w:pPr>
            <w:r w:rsidRPr="00086001">
              <w:rPr>
                <w:rFonts w:ascii="Arial Narrow" w:hAnsi="Arial Narrow" w:cs="Arial"/>
                <w:sz w:val="18"/>
                <w:szCs w:val="18"/>
              </w:rPr>
              <w:t>Общий по Новосибирской области</w:t>
            </w:r>
          </w:p>
        </w:tc>
        <w:tc>
          <w:tcPr>
            <w:tcW w:w="564" w:type="dxa"/>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086001" w:rsidRDefault="00A64028" w:rsidP="00086001">
            <w:pPr>
              <w:spacing w:after="0" w:line="240" w:lineRule="auto"/>
              <w:ind w:right="113"/>
              <w:jc w:val="center"/>
              <w:rPr>
                <w:rFonts w:ascii="Arial Narrow" w:hAnsi="Arial Narrow" w:cs="Arial"/>
                <w:sz w:val="18"/>
                <w:szCs w:val="18"/>
              </w:rPr>
            </w:pPr>
            <w:r w:rsidRPr="00086001">
              <w:rPr>
                <w:rFonts w:ascii="Arial Narrow" w:hAnsi="Arial Narrow" w:cs="Arial"/>
                <w:sz w:val="18"/>
                <w:szCs w:val="18"/>
              </w:rPr>
              <w:t>Рынок услуг дошкольного образования (коммерческие детские сады и учреждения пребывания неполного дня)</w:t>
            </w:r>
          </w:p>
        </w:tc>
        <w:tc>
          <w:tcPr>
            <w:tcW w:w="457" w:type="dxa"/>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086001" w:rsidRDefault="00A64028" w:rsidP="00086001">
            <w:pPr>
              <w:spacing w:after="0" w:line="240" w:lineRule="auto"/>
              <w:ind w:right="113"/>
              <w:jc w:val="center"/>
              <w:rPr>
                <w:rFonts w:ascii="Arial Narrow" w:hAnsi="Arial Narrow" w:cs="Arial"/>
                <w:sz w:val="18"/>
                <w:szCs w:val="18"/>
              </w:rPr>
            </w:pPr>
            <w:r w:rsidRPr="00086001">
              <w:rPr>
                <w:rFonts w:ascii="Arial Narrow" w:hAnsi="Arial Narrow" w:cs="Arial"/>
                <w:sz w:val="18"/>
                <w:szCs w:val="18"/>
              </w:rPr>
              <w:t>Рынок услуг детского отдыха и оздоровления</w:t>
            </w:r>
          </w:p>
        </w:tc>
        <w:tc>
          <w:tcPr>
            <w:tcW w:w="394" w:type="dxa"/>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086001" w:rsidRDefault="00A64028" w:rsidP="00086001">
            <w:pPr>
              <w:spacing w:after="0" w:line="240" w:lineRule="auto"/>
              <w:ind w:right="113"/>
              <w:jc w:val="center"/>
              <w:rPr>
                <w:rFonts w:ascii="Arial Narrow" w:hAnsi="Arial Narrow" w:cs="Arial"/>
                <w:sz w:val="18"/>
                <w:szCs w:val="18"/>
              </w:rPr>
            </w:pPr>
            <w:r w:rsidRPr="00086001">
              <w:rPr>
                <w:rFonts w:ascii="Arial Narrow" w:hAnsi="Arial Narrow" w:cs="Arial"/>
                <w:sz w:val="18"/>
                <w:szCs w:val="18"/>
              </w:rPr>
              <w:t>Рынок дополнительного образования детей</w:t>
            </w:r>
          </w:p>
        </w:tc>
        <w:tc>
          <w:tcPr>
            <w:tcW w:w="452" w:type="dxa"/>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086001" w:rsidRDefault="00A64028" w:rsidP="00086001">
            <w:pPr>
              <w:spacing w:after="0" w:line="240" w:lineRule="auto"/>
              <w:ind w:right="113"/>
              <w:jc w:val="center"/>
              <w:rPr>
                <w:rFonts w:ascii="Arial Narrow" w:hAnsi="Arial Narrow" w:cs="Arial"/>
                <w:sz w:val="18"/>
                <w:szCs w:val="18"/>
              </w:rPr>
            </w:pPr>
            <w:r w:rsidRPr="00086001">
              <w:rPr>
                <w:rFonts w:ascii="Arial Narrow" w:hAnsi="Arial Narrow" w:cs="Arial"/>
                <w:sz w:val="18"/>
                <w:szCs w:val="18"/>
              </w:rPr>
              <w:t>Рынок медицинских услуг</w:t>
            </w:r>
          </w:p>
        </w:tc>
        <w:tc>
          <w:tcPr>
            <w:tcW w:w="540" w:type="dxa"/>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086001" w:rsidRDefault="00A64028" w:rsidP="00086001">
            <w:pPr>
              <w:spacing w:after="0" w:line="240" w:lineRule="auto"/>
              <w:ind w:right="113"/>
              <w:jc w:val="center"/>
              <w:rPr>
                <w:rFonts w:ascii="Arial Narrow" w:hAnsi="Arial Narrow" w:cs="Arial"/>
                <w:sz w:val="18"/>
                <w:szCs w:val="18"/>
              </w:rPr>
            </w:pPr>
            <w:r w:rsidRPr="00086001">
              <w:rPr>
                <w:rFonts w:ascii="Arial Narrow" w:hAnsi="Arial Narrow" w:cs="Arial"/>
                <w:sz w:val="18"/>
                <w:szCs w:val="18"/>
              </w:rPr>
              <w:t>Рынок услуг психолого-педагогического сопровождения детей с ограниченными возможностями здоровья</w:t>
            </w:r>
          </w:p>
        </w:tc>
        <w:tc>
          <w:tcPr>
            <w:tcW w:w="422" w:type="dxa"/>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086001" w:rsidRDefault="00A64028" w:rsidP="00086001">
            <w:pPr>
              <w:spacing w:after="0" w:line="240" w:lineRule="auto"/>
              <w:ind w:right="113"/>
              <w:jc w:val="center"/>
              <w:rPr>
                <w:rFonts w:ascii="Arial Narrow" w:hAnsi="Arial Narrow" w:cs="Arial"/>
                <w:sz w:val="18"/>
                <w:szCs w:val="18"/>
              </w:rPr>
            </w:pPr>
            <w:r w:rsidRPr="00086001">
              <w:rPr>
                <w:rFonts w:ascii="Arial Narrow" w:hAnsi="Arial Narrow" w:cs="Arial"/>
                <w:sz w:val="18"/>
                <w:szCs w:val="18"/>
              </w:rPr>
              <w:t>Рынок услуг в сфере культуры</w:t>
            </w:r>
          </w:p>
        </w:tc>
        <w:tc>
          <w:tcPr>
            <w:tcW w:w="513" w:type="dxa"/>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086001" w:rsidRDefault="00A64028" w:rsidP="00086001">
            <w:pPr>
              <w:spacing w:after="0" w:line="240" w:lineRule="auto"/>
              <w:ind w:right="113"/>
              <w:jc w:val="center"/>
              <w:rPr>
                <w:rFonts w:ascii="Arial Narrow" w:hAnsi="Arial Narrow" w:cs="Arial"/>
                <w:sz w:val="18"/>
                <w:szCs w:val="18"/>
              </w:rPr>
            </w:pPr>
            <w:r w:rsidRPr="00086001">
              <w:rPr>
                <w:rFonts w:ascii="Arial Narrow" w:hAnsi="Arial Narrow" w:cs="Arial"/>
                <w:sz w:val="18"/>
                <w:szCs w:val="18"/>
              </w:rPr>
              <w:t>Рынок услуг ЖКХ (управляющие компании)</w:t>
            </w:r>
          </w:p>
        </w:tc>
        <w:tc>
          <w:tcPr>
            <w:tcW w:w="512" w:type="dxa"/>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086001" w:rsidRDefault="00A64028" w:rsidP="00086001">
            <w:pPr>
              <w:spacing w:after="0" w:line="240" w:lineRule="auto"/>
              <w:ind w:right="113"/>
              <w:jc w:val="center"/>
              <w:rPr>
                <w:rFonts w:ascii="Arial Narrow" w:hAnsi="Arial Narrow" w:cs="Arial"/>
                <w:sz w:val="18"/>
                <w:szCs w:val="18"/>
              </w:rPr>
            </w:pPr>
            <w:r w:rsidRPr="00086001">
              <w:rPr>
                <w:rFonts w:ascii="Arial Narrow" w:hAnsi="Arial Narrow" w:cs="Arial"/>
                <w:sz w:val="18"/>
                <w:szCs w:val="18"/>
              </w:rPr>
              <w:t>Розничная торговля (продажа продуктов питания и непродовольственных товаров)</w:t>
            </w:r>
          </w:p>
        </w:tc>
        <w:tc>
          <w:tcPr>
            <w:tcW w:w="537" w:type="dxa"/>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086001" w:rsidRDefault="00A64028" w:rsidP="00086001">
            <w:pPr>
              <w:spacing w:after="0" w:line="240" w:lineRule="auto"/>
              <w:ind w:right="113"/>
              <w:jc w:val="center"/>
              <w:rPr>
                <w:rFonts w:ascii="Arial Narrow" w:hAnsi="Arial Narrow" w:cs="Arial"/>
                <w:sz w:val="18"/>
                <w:szCs w:val="18"/>
              </w:rPr>
            </w:pPr>
            <w:r w:rsidRPr="00086001">
              <w:rPr>
                <w:rFonts w:ascii="Arial Narrow" w:hAnsi="Arial Narrow" w:cs="Arial"/>
                <w:sz w:val="18"/>
                <w:szCs w:val="18"/>
              </w:rPr>
              <w:t>Рынок услуг перевозок пассажиров наземным транспортом (автобусные перевозки и такси)</w:t>
            </w:r>
          </w:p>
        </w:tc>
        <w:tc>
          <w:tcPr>
            <w:tcW w:w="488" w:type="dxa"/>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086001" w:rsidRDefault="00A64028" w:rsidP="00086001">
            <w:pPr>
              <w:spacing w:after="0" w:line="240" w:lineRule="auto"/>
              <w:ind w:right="113"/>
              <w:jc w:val="center"/>
              <w:rPr>
                <w:rFonts w:ascii="Arial Narrow" w:hAnsi="Arial Narrow" w:cs="Arial"/>
                <w:sz w:val="18"/>
                <w:szCs w:val="18"/>
              </w:rPr>
            </w:pPr>
            <w:r w:rsidRPr="00086001">
              <w:rPr>
                <w:rFonts w:ascii="Arial Narrow" w:hAnsi="Arial Narrow" w:cs="Arial"/>
                <w:sz w:val="18"/>
                <w:szCs w:val="18"/>
              </w:rPr>
              <w:t>Рынок услуг связи</w:t>
            </w:r>
          </w:p>
        </w:tc>
        <w:tc>
          <w:tcPr>
            <w:tcW w:w="505" w:type="dxa"/>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086001" w:rsidRDefault="00A64028" w:rsidP="00086001">
            <w:pPr>
              <w:spacing w:after="0" w:line="240" w:lineRule="auto"/>
              <w:ind w:right="113"/>
              <w:jc w:val="center"/>
              <w:rPr>
                <w:rFonts w:ascii="Arial Narrow" w:hAnsi="Arial Narrow" w:cs="Arial"/>
                <w:sz w:val="18"/>
                <w:szCs w:val="18"/>
              </w:rPr>
            </w:pPr>
            <w:r w:rsidRPr="00086001">
              <w:rPr>
                <w:rFonts w:ascii="Arial Narrow" w:hAnsi="Arial Narrow" w:cs="Arial"/>
                <w:sz w:val="18"/>
                <w:szCs w:val="18"/>
              </w:rPr>
              <w:t>Рынок услуг социального обслуживания населения</w:t>
            </w:r>
          </w:p>
        </w:tc>
        <w:tc>
          <w:tcPr>
            <w:tcW w:w="608" w:type="dxa"/>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086001" w:rsidRDefault="00A64028" w:rsidP="00086001">
            <w:pPr>
              <w:spacing w:after="0" w:line="240" w:lineRule="auto"/>
              <w:ind w:right="113"/>
              <w:jc w:val="center"/>
              <w:rPr>
                <w:rFonts w:ascii="Arial Narrow" w:hAnsi="Arial Narrow" w:cs="Arial"/>
                <w:sz w:val="18"/>
                <w:szCs w:val="18"/>
              </w:rPr>
            </w:pPr>
            <w:r w:rsidRPr="00086001">
              <w:rPr>
                <w:rFonts w:ascii="Arial Narrow" w:hAnsi="Arial Narrow" w:cs="Arial"/>
                <w:sz w:val="18"/>
                <w:szCs w:val="18"/>
              </w:rPr>
              <w:t>Рынок развития, производства, переработки и хранения сельскохозяйственной продукции</w:t>
            </w:r>
          </w:p>
        </w:tc>
        <w:tc>
          <w:tcPr>
            <w:tcW w:w="571" w:type="dxa"/>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086001" w:rsidRDefault="00A64028" w:rsidP="00086001">
            <w:pPr>
              <w:spacing w:after="0" w:line="240" w:lineRule="auto"/>
              <w:ind w:right="113"/>
              <w:jc w:val="center"/>
              <w:rPr>
                <w:rFonts w:ascii="Arial Narrow" w:hAnsi="Arial Narrow" w:cs="Arial"/>
                <w:sz w:val="18"/>
                <w:szCs w:val="18"/>
              </w:rPr>
            </w:pPr>
            <w:r w:rsidRPr="00086001">
              <w:rPr>
                <w:rFonts w:ascii="Arial Narrow" w:hAnsi="Arial Narrow" w:cs="Arial"/>
                <w:sz w:val="18"/>
                <w:szCs w:val="18"/>
              </w:rPr>
              <w:t>Рынок услуг по сбору, сортировке и переработке твердых коммунальных (бытовых) отходов</w:t>
            </w:r>
          </w:p>
        </w:tc>
      </w:tr>
      <w:tr w:rsidR="00A64028" w:rsidRPr="00422331" w:rsidTr="00130274">
        <w:tc>
          <w:tcPr>
            <w:tcW w:w="433" w:type="dxa"/>
            <w:tcBorders>
              <w:top w:val="single" w:sz="4" w:space="0" w:color="auto"/>
              <w:left w:val="single" w:sz="4" w:space="0" w:color="auto"/>
              <w:bottom w:val="single" w:sz="4" w:space="0" w:color="auto"/>
              <w:right w:val="single" w:sz="4" w:space="0" w:color="auto"/>
            </w:tcBorders>
            <w:vAlign w:val="center"/>
            <w:hideMark/>
          </w:tcPr>
          <w:p w:rsidR="00A64028" w:rsidRPr="00422331" w:rsidRDefault="00A64028" w:rsidP="00103148">
            <w:pPr>
              <w:spacing w:after="0"/>
              <w:jc w:val="both"/>
              <w:rPr>
                <w:rFonts w:ascii="Arial Narrow" w:hAnsi="Arial Narrow"/>
                <w:sz w:val="17"/>
                <w:szCs w:val="17"/>
              </w:rPr>
            </w:pPr>
            <w:r w:rsidRPr="00422331">
              <w:rPr>
                <w:rFonts w:ascii="Arial Narrow" w:hAnsi="Arial Narrow"/>
                <w:sz w:val="17"/>
                <w:szCs w:val="17"/>
              </w:rPr>
              <w:t>1.3.</w:t>
            </w:r>
            <w:r w:rsidRPr="00422331">
              <w:rPr>
                <w:rFonts w:ascii="Arial Narrow" w:hAnsi="Arial Narrow"/>
                <w:sz w:val="17"/>
                <w:szCs w:val="17"/>
                <w:lang w:val="en-US"/>
              </w:rPr>
              <w:t>4</w:t>
            </w:r>
            <w:r w:rsidRPr="00422331">
              <w:rPr>
                <w:rFonts w:ascii="Arial Narrow" w:hAnsi="Arial Narrow"/>
                <w:sz w:val="17"/>
                <w:szCs w:val="17"/>
              </w:rPr>
              <w:t>.</w:t>
            </w:r>
          </w:p>
        </w:tc>
        <w:tc>
          <w:tcPr>
            <w:tcW w:w="2555" w:type="dxa"/>
            <w:tcBorders>
              <w:top w:val="single" w:sz="4" w:space="0" w:color="auto"/>
              <w:left w:val="single" w:sz="4" w:space="0" w:color="auto"/>
              <w:bottom w:val="single" w:sz="4" w:space="0" w:color="auto"/>
              <w:right w:val="single" w:sz="4" w:space="0" w:color="auto"/>
            </w:tcBorders>
            <w:hideMark/>
          </w:tcPr>
          <w:p w:rsidR="00A64028" w:rsidRPr="00086001" w:rsidRDefault="00A64028" w:rsidP="00086001">
            <w:pPr>
              <w:spacing w:after="0"/>
              <w:ind w:left="145" w:right="142"/>
              <w:rPr>
                <w:rFonts w:ascii="Arial Narrow" w:hAnsi="Arial Narrow"/>
                <w:sz w:val="18"/>
                <w:szCs w:val="18"/>
              </w:rPr>
            </w:pPr>
            <w:r w:rsidRPr="00086001">
              <w:rPr>
                <w:rFonts w:ascii="Arial Narrow" w:hAnsi="Arial Narrow"/>
                <w:sz w:val="18"/>
                <w:szCs w:val="18"/>
              </w:rPr>
              <w:t>Доля предприятий, столкнувшихся с препятствиями выхода на новые рынки за последние 3 года (% от числа планировавших выход на новые рынки в течение последних 3 лет)</w:t>
            </w:r>
          </w:p>
        </w:tc>
        <w:tc>
          <w:tcPr>
            <w:tcW w:w="570" w:type="dxa"/>
            <w:tcBorders>
              <w:top w:val="single" w:sz="4" w:space="0" w:color="auto"/>
              <w:left w:val="single" w:sz="4" w:space="0" w:color="auto"/>
              <w:bottom w:val="single" w:sz="4" w:space="0" w:color="auto"/>
              <w:right w:val="single" w:sz="4" w:space="0" w:color="auto"/>
            </w:tcBorders>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66,0%</w:t>
            </w:r>
          </w:p>
        </w:tc>
        <w:tc>
          <w:tcPr>
            <w:tcW w:w="564" w:type="dxa"/>
            <w:tcBorders>
              <w:top w:val="single" w:sz="4" w:space="0" w:color="auto"/>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66,7%</w:t>
            </w:r>
          </w:p>
        </w:tc>
        <w:tc>
          <w:tcPr>
            <w:tcW w:w="457" w:type="dxa"/>
            <w:tcBorders>
              <w:top w:val="single" w:sz="4" w:space="0" w:color="auto"/>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50,0%</w:t>
            </w:r>
          </w:p>
        </w:tc>
        <w:tc>
          <w:tcPr>
            <w:tcW w:w="394" w:type="dxa"/>
            <w:tcBorders>
              <w:top w:val="single" w:sz="4" w:space="0" w:color="auto"/>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57,1%</w:t>
            </w:r>
          </w:p>
        </w:tc>
        <w:tc>
          <w:tcPr>
            <w:tcW w:w="452" w:type="dxa"/>
            <w:tcBorders>
              <w:top w:val="single" w:sz="4" w:space="0" w:color="auto"/>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72,2%</w:t>
            </w:r>
          </w:p>
        </w:tc>
        <w:tc>
          <w:tcPr>
            <w:tcW w:w="540" w:type="dxa"/>
            <w:tcBorders>
              <w:top w:val="single" w:sz="4" w:space="0" w:color="auto"/>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100,0%</w:t>
            </w:r>
          </w:p>
        </w:tc>
        <w:tc>
          <w:tcPr>
            <w:tcW w:w="422" w:type="dxa"/>
            <w:tcBorders>
              <w:top w:val="single" w:sz="4" w:space="0" w:color="auto"/>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64,3%</w:t>
            </w:r>
          </w:p>
        </w:tc>
        <w:tc>
          <w:tcPr>
            <w:tcW w:w="513" w:type="dxa"/>
            <w:tcBorders>
              <w:top w:val="single" w:sz="4" w:space="0" w:color="auto"/>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59,1%</w:t>
            </w:r>
          </w:p>
        </w:tc>
        <w:tc>
          <w:tcPr>
            <w:tcW w:w="512" w:type="dxa"/>
            <w:tcBorders>
              <w:top w:val="single" w:sz="4" w:space="0" w:color="auto"/>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68,4%</w:t>
            </w:r>
          </w:p>
        </w:tc>
        <w:tc>
          <w:tcPr>
            <w:tcW w:w="537" w:type="dxa"/>
            <w:tcBorders>
              <w:top w:val="single" w:sz="4" w:space="0" w:color="auto"/>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100,0%</w:t>
            </w:r>
          </w:p>
        </w:tc>
        <w:tc>
          <w:tcPr>
            <w:tcW w:w="488" w:type="dxa"/>
            <w:tcBorders>
              <w:top w:val="single" w:sz="4" w:space="0" w:color="auto"/>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52,6%</w:t>
            </w:r>
          </w:p>
        </w:tc>
        <w:tc>
          <w:tcPr>
            <w:tcW w:w="505" w:type="dxa"/>
            <w:tcBorders>
              <w:top w:val="single" w:sz="4" w:space="0" w:color="auto"/>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60,0%</w:t>
            </w:r>
          </w:p>
        </w:tc>
        <w:tc>
          <w:tcPr>
            <w:tcW w:w="608" w:type="dxa"/>
            <w:tcBorders>
              <w:top w:val="single" w:sz="4" w:space="0" w:color="auto"/>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73,2%</w:t>
            </w:r>
          </w:p>
        </w:tc>
        <w:tc>
          <w:tcPr>
            <w:tcW w:w="571" w:type="dxa"/>
            <w:tcBorders>
              <w:top w:val="single" w:sz="4" w:space="0" w:color="auto"/>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100,0%</w:t>
            </w:r>
          </w:p>
        </w:tc>
      </w:tr>
    </w:tbl>
    <w:p w:rsidR="00507E3F" w:rsidRDefault="00507E3F" w:rsidP="00103148">
      <w:pPr>
        <w:spacing w:after="0" w:line="360" w:lineRule="auto"/>
        <w:ind w:firstLine="567"/>
        <w:jc w:val="both"/>
        <w:rPr>
          <w:rFonts w:ascii="Arial Narrow" w:hAnsi="Arial Narrow"/>
          <w:b/>
          <w:sz w:val="24"/>
          <w:szCs w:val="24"/>
        </w:rPr>
      </w:pPr>
    </w:p>
    <w:p w:rsidR="00A64028" w:rsidRDefault="00A64028" w:rsidP="00E82802">
      <w:pPr>
        <w:spacing w:after="0" w:line="360" w:lineRule="auto"/>
        <w:ind w:firstLine="284"/>
        <w:jc w:val="both"/>
        <w:rPr>
          <w:rFonts w:ascii="Arial Narrow" w:hAnsi="Arial Narrow"/>
          <w:b/>
          <w:sz w:val="24"/>
          <w:szCs w:val="24"/>
        </w:rPr>
      </w:pPr>
      <w:r>
        <w:rPr>
          <w:rFonts w:ascii="Arial Narrow" w:hAnsi="Arial Narrow"/>
          <w:b/>
          <w:sz w:val="24"/>
          <w:szCs w:val="24"/>
        </w:rPr>
        <w:t>Значение показателя 1.3.5. Доля респондентов, успешно вышедших на новые рынки за последние 3 года (% от числа планировавших выход на новые рынки в течение последних 3 лет).</w:t>
      </w:r>
    </w:p>
    <w:p w:rsidR="00A64028" w:rsidRDefault="00A64028" w:rsidP="00E82802">
      <w:pPr>
        <w:spacing w:after="0" w:line="360" w:lineRule="auto"/>
        <w:ind w:firstLine="284"/>
        <w:jc w:val="both"/>
        <w:rPr>
          <w:rFonts w:ascii="Arial Narrow" w:eastAsia="Calibri" w:hAnsi="Arial Narrow"/>
          <w:bCs/>
          <w:sz w:val="24"/>
        </w:rPr>
      </w:pPr>
      <w:r>
        <w:rPr>
          <w:rFonts w:ascii="Arial Narrow" w:eastAsia="Calibri" w:hAnsi="Arial Narrow"/>
          <w:bCs/>
          <w:sz w:val="24"/>
        </w:rPr>
        <w:t>Успешно вышли на новые рынки за последние 3 года 12,9 % представителей бизнеса – им удалось полностью реализовать свои планы по выходу на новые рынки. Наибольшая доля успешных выходов зафиксирована на рынке услуг социального обслуживания населения (40,0 %). Выйти успешно на новые рынки не удалось ни одному из опрошенных представителей сфер услуг дошкольного образования (коммерческие детские сады и учреждения пребывания неполного дня), услуг детского отдыха и оздоровления, услуг психолого-педагогического сопровождения детей с ограниченными возможностями здоровья и услуг перевозок пассажиров наземным транспортом (автобусные перевозки и такси). В остальных сферах доля успешных выходов на новый рынок составила 4,9–36,4 %.</w:t>
      </w:r>
    </w:p>
    <w:p w:rsidR="00A64028" w:rsidRDefault="00A64028" w:rsidP="00103148">
      <w:pPr>
        <w:spacing w:after="0"/>
        <w:jc w:val="both"/>
        <w:rPr>
          <w:rFonts w:ascii="Arial Narrow" w:eastAsia="Calibri" w:hAnsi="Arial Narrow"/>
          <w:sz w:val="24"/>
          <w:szCs w:val="24"/>
        </w:rPr>
      </w:pPr>
    </w:p>
    <w:p w:rsidR="00E82802" w:rsidRDefault="00E82802">
      <w:pPr>
        <w:rPr>
          <w:rFonts w:ascii="Arial Narrow" w:eastAsia="Calibri" w:hAnsi="Arial Narrow"/>
          <w:sz w:val="24"/>
          <w:szCs w:val="24"/>
        </w:rPr>
      </w:pPr>
      <w:r>
        <w:rPr>
          <w:rFonts w:ascii="Arial Narrow" w:eastAsia="Calibri" w:hAnsi="Arial Narrow"/>
          <w:sz w:val="24"/>
          <w:szCs w:val="24"/>
        </w:rPr>
        <w:br w:type="page"/>
      </w:r>
    </w:p>
    <w:p w:rsidR="00A64028" w:rsidRDefault="00A64028" w:rsidP="00103148">
      <w:pPr>
        <w:spacing w:after="0"/>
        <w:rPr>
          <w:rFonts w:ascii="Arial Narrow" w:hAnsi="Arial Narrow"/>
          <w:sz w:val="24"/>
          <w:szCs w:val="24"/>
        </w:rPr>
      </w:pPr>
      <w:r>
        <w:rPr>
          <w:rFonts w:ascii="Arial Narrow" w:eastAsia="Calibri" w:hAnsi="Arial Narrow"/>
          <w:sz w:val="24"/>
          <w:szCs w:val="24"/>
        </w:rPr>
        <w:lastRenderedPageBreak/>
        <w:t xml:space="preserve">Таблица </w:t>
      </w:r>
      <w:r w:rsidR="00262F71">
        <w:rPr>
          <w:rFonts w:ascii="Arial Narrow" w:eastAsia="Calibri" w:hAnsi="Arial Narrow"/>
          <w:sz w:val="24"/>
          <w:szCs w:val="24"/>
        </w:rPr>
        <w:t>7.27.</w:t>
      </w:r>
      <w:r>
        <w:rPr>
          <w:rFonts w:ascii="Arial Narrow" w:eastAsia="Calibri" w:hAnsi="Arial Narrow"/>
          <w:sz w:val="24"/>
          <w:szCs w:val="24"/>
        </w:rPr>
        <w:t xml:space="preserve">– </w:t>
      </w:r>
      <w:r>
        <w:rPr>
          <w:rFonts w:ascii="Arial Narrow" w:hAnsi="Arial Narrow"/>
          <w:b/>
          <w:sz w:val="24"/>
          <w:szCs w:val="24"/>
        </w:rPr>
        <w:t>Значение показателя 1.3.5. Доля респондентов, успешно вышедших на новые рынки за последние 3 года (% от числа планировавших выход на новые рынки в течение последних 3 лет)</w:t>
      </w:r>
    </w:p>
    <w:tbl>
      <w:tblPr>
        <w:tblW w:w="9934"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433"/>
        <w:gridCol w:w="1702"/>
        <w:gridCol w:w="569"/>
        <w:gridCol w:w="709"/>
        <w:gridCol w:w="457"/>
        <w:gridCol w:w="513"/>
        <w:gridCol w:w="452"/>
        <w:gridCol w:w="705"/>
        <w:gridCol w:w="512"/>
        <w:gridCol w:w="513"/>
        <w:gridCol w:w="512"/>
        <w:gridCol w:w="589"/>
        <w:gridCol w:w="512"/>
        <w:gridCol w:w="513"/>
        <w:gridCol w:w="676"/>
        <w:gridCol w:w="567"/>
      </w:tblGrid>
      <w:tr w:rsidR="00A64028" w:rsidRPr="00422331" w:rsidTr="00130274">
        <w:trPr>
          <w:cantSplit/>
          <w:trHeight w:val="3648"/>
        </w:trPr>
        <w:tc>
          <w:tcPr>
            <w:tcW w:w="433" w:type="dxa"/>
            <w:tcBorders>
              <w:top w:val="single" w:sz="4" w:space="0" w:color="auto"/>
              <w:left w:val="single" w:sz="4" w:space="0" w:color="auto"/>
              <w:bottom w:val="single" w:sz="4" w:space="0" w:color="auto"/>
              <w:right w:val="single" w:sz="4" w:space="0" w:color="auto"/>
            </w:tcBorders>
            <w:vAlign w:val="center"/>
            <w:hideMark/>
          </w:tcPr>
          <w:p w:rsidR="00A64028" w:rsidRPr="00422331" w:rsidRDefault="00A64028" w:rsidP="00103148">
            <w:pPr>
              <w:spacing w:after="0" w:line="252" w:lineRule="auto"/>
              <w:jc w:val="center"/>
              <w:rPr>
                <w:rFonts w:ascii="Arial Narrow" w:hAnsi="Arial Narrow" w:cs="Arial"/>
                <w:sz w:val="17"/>
                <w:szCs w:val="17"/>
              </w:rPr>
            </w:pPr>
            <w:r w:rsidRPr="00422331">
              <w:rPr>
                <w:rFonts w:ascii="Arial Narrow" w:hAnsi="Arial Narrow" w:cs="Arial"/>
                <w:sz w:val="17"/>
                <w:szCs w:val="17"/>
              </w:rPr>
              <w:t>№</w:t>
            </w:r>
          </w:p>
        </w:tc>
        <w:tc>
          <w:tcPr>
            <w:tcW w:w="1702" w:type="dxa"/>
            <w:tcBorders>
              <w:top w:val="single" w:sz="4" w:space="0" w:color="auto"/>
              <w:left w:val="single" w:sz="4" w:space="0" w:color="auto"/>
              <w:bottom w:val="single" w:sz="4" w:space="0" w:color="auto"/>
              <w:right w:val="single" w:sz="4" w:space="0" w:color="auto"/>
            </w:tcBorders>
            <w:vAlign w:val="center"/>
            <w:hideMark/>
          </w:tcPr>
          <w:p w:rsidR="00A64028" w:rsidRPr="00086001" w:rsidRDefault="00A64028" w:rsidP="00086001">
            <w:pPr>
              <w:spacing w:after="0" w:line="240" w:lineRule="auto"/>
              <w:ind w:left="145" w:right="141"/>
              <w:jc w:val="center"/>
              <w:rPr>
                <w:rFonts w:ascii="Arial Narrow" w:hAnsi="Arial Narrow" w:cs="Arial"/>
                <w:sz w:val="18"/>
                <w:szCs w:val="18"/>
              </w:rPr>
            </w:pPr>
            <w:r w:rsidRPr="00086001">
              <w:rPr>
                <w:rFonts w:ascii="Arial Narrow" w:hAnsi="Arial Narrow" w:cs="Arial"/>
                <w:sz w:val="18"/>
                <w:szCs w:val="18"/>
              </w:rPr>
              <w:t>Наименование показателя, единица измерения</w:t>
            </w:r>
          </w:p>
        </w:tc>
        <w:tc>
          <w:tcPr>
            <w:tcW w:w="569" w:type="dxa"/>
            <w:tcBorders>
              <w:top w:val="single" w:sz="4" w:space="0" w:color="auto"/>
              <w:left w:val="single" w:sz="4" w:space="0" w:color="auto"/>
              <w:bottom w:val="single" w:sz="4" w:space="0" w:color="auto"/>
              <w:right w:val="single" w:sz="4" w:space="0" w:color="auto"/>
            </w:tcBorders>
            <w:textDirection w:val="btLr"/>
            <w:vAlign w:val="center"/>
            <w:hideMark/>
          </w:tcPr>
          <w:p w:rsidR="00A64028" w:rsidRPr="00086001" w:rsidRDefault="00A64028" w:rsidP="00086001">
            <w:pPr>
              <w:spacing w:after="0" w:line="240" w:lineRule="auto"/>
              <w:ind w:left="113" w:right="113"/>
              <w:jc w:val="center"/>
              <w:rPr>
                <w:rFonts w:ascii="Arial Narrow" w:hAnsi="Arial Narrow" w:cs="Arial"/>
                <w:sz w:val="18"/>
                <w:szCs w:val="18"/>
              </w:rPr>
            </w:pPr>
            <w:r w:rsidRPr="00086001">
              <w:rPr>
                <w:rFonts w:ascii="Arial Narrow" w:hAnsi="Arial Narrow" w:cs="Arial"/>
                <w:sz w:val="18"/>
                <w:szCs w:val="18"/>
              </w:rPr>
              <w:t>Общий по Новосибирской области</w:t>
            </w:r>
          </w:p>
        </w:tc>
        <w:tc>
          <w:tcPr>
            <w:tcW w:w="709" w:type="dxa"/>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086001" w:rsidRDefault="00A64028" w:rsidP="00086001">
            <w:pPr>
              <w:spacing w:after="0" w:line="240" w:lineRule="auto"/>
              <w:ind w:right="113"/>
              <w:jc w:val="center"/>
              <w:rPr>
                <w:rFonts w:ascii="Arial Narrow" w:hAnsi="Arial Narrow" w:cs="Arial"/>
                <w:sz w:val="18"/>
                <w:szCs w:val="18"/>
              </w:rPr>
            </w:pPr>
            <w:r w:rsidRPr="00086001">
              <w:rPr>
                <w:rFonts w:ascii="Arial Narrow" w:hAnsi="Arial Narrow" w:cs="Arial"/>
                <w:sz w:val="18"/>
                <w:szCs w:val="18"/>
              </w:rPr>
              <w:t>Рынок услуг дошкольного образования (коммерческие детские сады и учреждения пребывания неполного дня)</w:t>
            </w:r>
          </w:p>
        </w:tc>
        <w:tc>
          <w:tcPr>
            <w:tcW w:w="457" w:type="dxa"/>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086001" w:rsidRDefault="00A64028" w:rsidP="00086001">
            <w:pPr>
              <w:spacing w:after="0" w:line="240" w:lineRule="auto"/>
              <w:ind w:right="113"/>
              <w:jc w:val="center"/>
              <w:rPr>
                <w:rFonts w:ascii="Arial Narrow" w:hAnsi="Arial Narrow" w:cs="Arial"/>
                <w:sz w:val="18"/>
                <w:szCs w:val="18"/>
              </w:rPr>
            </w:pPr>
            <w:r w:rsidRPr="00086001">
              <w:rPr>
                <w:rFonts w:ascii="Arial Narrow" w:hAnsi="Arial Narrow" w:cs="Arial"/>
                <w:sz w:val="18"/>
                <w:szCs w:val="18"/>
              </w:rPr>
              <w:t>Рынок услуг детского отдыха и оздоровления</w:t>
            </w:r>
          </w:p>
        </w:tc>
        <w:tc>
          <w:tcPr>
            <w:tcW w:w="513" w:type="dxa"/>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086001" w:rsidRDefault="00A64028" w:rsidP="00086001">
            <w:pPr>
              <w:spacing w:after="0" w:line="240" w:lineRule="auto"/>
              <w:ind w:right="113"/>
              <w:jc w:val="center"/>
              <w:rPr>
                <w:rFonts w:ascii="Arial Narrow" w:hAnsi="Arial Narrow" w:cs="Arial"/>
                <w:sz w:val="18"/>
                <w:szCs w:val="18"/>
              </w:rPr>
            </w:pPr>
            <w:r w:rsidRPr="00086001">
              <w:rPr>
                <w:rFonts w:ascii="Arial Narrow" w:hAnsi="Arial Narrow" w:cs="Arial"/>
                <w:sz w:val="18"/>
                <w:szCs w:val="18"/>
              </w:rPr>
              <w:t>Рынок дополнительного образования детей</w:t>
            </w:r>
          </w:p>
        </w:tc>
        <w:tc>
          <w:tcPr>
            <w:tcW w:w="452" w:type="dxa"/>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086001" w:rsidRDefault="00A64028" w:rsidP="00086001">
            <w:pPr>
              <w:spacing w:after="0" w:line="240" w:lineRule="auto"/>
              <w:ind w:right="113"/>
              <w:jc w:val="center"/>
              <w:rPr>
                <w:rFonts w:ascii="Arial Narrow" w:hAnsi="Arial Narrow" w:cs="Arial"/>
                <w:sz w:val="18"/>
                <w:szCs w:val="18"/>
              </w:rPr>
            </w:pPr>
            <w:r w:rsidRPr="00086001">
              <w:rPr>
                <w:rFonts w:ascii="Arial Narrow" w:hAnsi="Arial Narrow" w:cs="Arial"/>
                <w:sz w:val="18"/>
                <w:szCs w:val="18"/>
              </w:rPr>
              <w:t>Рынок медицинских услуг</w:t>
            </w:r>
          </w:p>
        </w:tc>
        <w:tc>
          <w:tcPr>
            <w:tcW w:w="705" w:type="dxa"/>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086001" w:rsidRDefault="00A64028" w:rsidP="00086001">
            <w:pPr>
              <w:spacing w:after="0" w:line="240" w:lineRule="auto"/>
              <w:ind w:right="113"/>
              <w:jc w:val="center"/>
              <w:rPr>
                <w:rFonts w:ascii="Arial Narrow" w:hAnsi="Arial Narrow" w:cs="Arial"/>
                <w:sz w:val="18"/>
                <w:szCs w:val="18"/>
              </w:rPr>
            </w:pPr>
            <w:r w:rsidRPr="00086001">
              <w:rPr>
                <w:rFonts w:ascii="Arial Narrow" w:hAnsi="Arial Narrow" w:cs="Arial"/>
                <w:sz w:val="18"/>
                <w:szCs w:val="18"/>
              </w:rPr>
              <w:t>Рынок услуг психолого-педагогического сопровождения детей с ограниченными возможностями здоровья</w:t>
            </w:r>
          </w:p>
        </w:tc>
        <w:tc>
          <w:tcPr>
            <w:tcW w:w="512" w:type="dxa"/>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086001" w:rsidRDefault="00A64028" w:rsidP="00086001">
            <w:pPr>
              <w:spacing w:after="0" w:line="240" w:lineRule="auto"/>
              <w:ind w:right="113"/>
              <w:jc w:val="center"/>
              <w:rPr>
                <w:rFonts w:ascii="Arial Narrow" w:hAnsi="Arial Narrow" w:cs="Arial"/>
                <w:sz w:val="18"/>
                <w:szCs w:val="18"/>
              </w:rPr>
            </w:pPr>
            <w:r w:rsidRPr="00086001">
              <w:rPr>
                <w:rFonts w:ascii="Arial Narrow" w:hAnsi="Arial Narrow" w:cs="Arial"/>
                <w:sz w:val="18"/>
                <w:szCs w:val="18"/>
              </w:rPr>
              <w:t>Рынок услуг в сфере культуры</w:t>
            </w:r>
          </w:p>
        </w:tc>
        <w:tc>
          <w:tcPr>
            <w:tcW w:w="513" w:type="dxa"/>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086001" w:rsidRDefault="00A64028" w:rsidP="00086001">
            <w:pPr>
              <w:spacing w:after="0" w:line="240" w:lineRule="auto"/>
              <w:ind w:right="113"/>
              <w:jc w:val="center"/>
              <w:rPr>
                <w:rFonts w:ascii="Arial Narrow" w:hAnsi="Arial Narrow" w:cs="Arial"/>
                <w:sz w:val="18"/>
                <w:szCs w:val="18"/>
              </w:rPr>
            </w:pPr>
            <w:r w:rsidRPr="00086001">
              <w:rPr>
                <w:rFonts w:ascii="Arial Narrow" w:hAnsi="Arial Narrow" w:cs="Arial"/>
                <w:sz w:val="18"/>
                <w:szCs w:val="18"/>
              </w:rPr>
              <w:t>Рынок услуг ЖКХ (управляющие компании)</w:t>
            </w:r>
          </w:p>
        </w:tc>
        <w:tc>
          <w:tcPr>
            <w:tcW w:w="512" w:type="dxa"/>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086001" w:rsidRDefault="00A64028" w:rsidP="00086001">
            <w:pPr>
              <w:spacing w:after="0" w:line="240" w:lineRule="auto"/>
              <w:ind w:right="113"/>
              <w:jc w:val="center"/>
              <w:rPr>
                <w:rFonts w:ascii="Arial Narrow" w:hAnsi="Arial Narrow" w:cs="Arial"/>
                <w:sz w:val="18"/>
                <w:szCs w:val="18"/>
              </w:rPr>
            </w:pPr>
            <w:r w:rsidRPr="00086001">
              <w:rPr>
                <w:rFonts w:ascii="Arial Narrow" w:hAnsi="Arial Narrow" w:cs="Arial"/>
                <w:sz w:val="18"/>
                <w:szCs w:val="18"/>
              </w:rPr>
              <w:t>Розничная торговля (продажа продуктов питания и непродовольственных товаров)</w:t>
            </w:r>
          </w:p>
        </w:tc>
        <w:tc>
          <w:tcPr>
            <w:tcW w:w="589" w:type="dxa"/>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086001" w:rsidRDefault="00A64028" w:rsidP="00086001">
            <w:pPr>
              <w:spacing w:after="0" w:line="240" w:lineRule="auto"/>
              <w:ind w:right="113"/>
              <w:jc w:val="center"/>
              <w:rPr>
                <w:rFonts w:ascii="Arial Narrow" w:hAnsi="Arial Narrow" w:cs="Arial"/>
                <w:sz w:val="18"/>
                <w:szCs w:val="18"/>
              </w:rPr>
            </w:pPr>
            <w:r w:rsidRPr="00086001">
              <w:rPr>
                <w:rFonts w:ascii="Arial Narrow" w:hAnsi="Arial Narrow" w:cs="Arial"/>
                <w:sz w:val="18"/>
                <w:szCs w:val="18"/>
              </w:rPr>
              <w:t>Рынок услуг перевозок пассажиров наземным транспортом (автобусные перевозки и такси)</w:t>
            </w:r>
          </w:p>
        </w:tc>
        <w:tc>
          <w:tcPr>
            <w:tcW w:w="512" w:type="dxa"/>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086001" w:rsidRDefault="00A64028" w:rsidP="00086001">
            <w:pPr>
              <w:spacing w:after="0" w:line="240" w:lineRule="auto"/>
              <w:ind w:right="113"/>
              <w:jc w:val="center"/>
              <w:rPr>
                <w:rFonts w:ascii="Arial Narrow" w:hAnsi="Arial Narrow" w:cs="Arial"/>
                <w:sz w:val="18"/>
                <w:szCs w:val="18"/>
              </w:rPr>
            </w:pPr>
            <w:r w:rsidRPr="00086001">
              <w:rPr>
                <w:rFonts w:ascii="Arial Narrow" w:hAnsi="Arial Narrow" w:cs="Arial"/>
                <w:sz w:val="18"/>
                <w:szCs w:val="18"/>
              </w:rPr>
              <w:t>Рынок услуг связи</w:t>
            </w:r>
          </w:p>
        </w:tc>
        <w:tc>
          <w:tcPr>
            <w:tcW w:w="513" w:type="dxa"/>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086001" w:rsidRDefault="00A64028" w:rsidP="00086001">
            <w:pPr>
              <w:spacing w:after="0" w:line="240" w:lineRule="auto"/>
              <w:ind w:right="113"/>
              <w:jc w:val="center"/>
              <w:rPr>
                <w:rFonts w:ascii="Arial Narrow" w:hAnsi="Arial Narrow" w:cs="Arial"/>
                <w:sz w:val="18"/>
                <w:szCs w:val="18"/>
              </w:rPr>
            </w:pPr>
            <w:r w:rsidRPr="00086001">
              <w:rPr>
                <w:rFonts w:ascii="Arial Narrow" w:hAnsi="Arial Narrow" w:cs="Arial"/>
                <w:sz w:val="18"/>
                <w:szCs w:val="18"/>
              </w:rPr>
              <w:t>Рынок услуг социального обслуживания населения</w:t>
            </w:r>
          </w:p>
        </w:tc>
        <w:tc>
          <w:tcPr>
            <w:tcW w:w="676" w:type="dxa"/>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086001" w:rsidRDefault="00A64028" w:rsidP="00086001">
            <w:pPr>
              <w:spacing w:after="0" w:line="240" w:lineRule="auto"/>
              <w:ind w:right="113"/>
              <w:jc w:val="center"/>
              <w:rPr>
                <w:rFonts w:ascii="Arial Narrow" w:hAnsi="Arial Narrow" w:cs="Arial"/>
                <w:sz w:val="18"/>
                <w:szCs w:val="18"/>
              </w:rPr>
            </w:pPr>
            <w:r w:rsidRPr="00086001">
              <w:rPr>
                <w:rFonts w:ascii="Arial Narrow" w:hAnsi="Arial Narrow" w:cs="Arial"/>
                <w:sz w:val="18"/>
                <w:szCs w:val="18"/>
              </w:rPr>
              <w:t>Рынок развития, производства, переработки и хранения сельскохозяйственной продукции</w:t>
            </w:r>
          </w:p>
        </w:tc>
        <w:tc>
          <w:tcPr>
            <w:tcW w:w="567" w:type="dxa"/>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086001" w:rsidRDefault="00A64028" w:rsidP="00086001">
            <w:pPr>
              <w:spacing w:after="0" w:line="240" w:lineRule="auto"/>
              <w:ind w:right="113"/>
              <w:jc w:val="center"/>
              <w:rPr>
                <w:rFonts w:ascii="Arial Narrow" w:hAnsi="Arial Narrow" w:cs="Arial"/>
                <w:sz w:val="18"/>
                <w:szCs w:val="18"/>
              </w:rPr>
            </w:pPr>
            <w:r w:rsidRPr="00086001">
              <w:rPr>
                <w:rFonts w:ascii="Arial Narrow" w:hAnsi="Arial Narrow" w:cs="Arial"/>
                <w:sz w:val="18"/>
                <w:szCs w:val="18"/>
              </w:rPr>
              <w:t>Рынок услуг по сбору, сортировке и переработке твердых коммунальных (бытовых) отходов</w:t>
            </w:r>
          </w:p>
        </w:tc>
      </w:tr>
      <w:tr w:rsidR="00A64028" w:rsidRPr="00422331" w:rsidTr="00130274">
        <w:tc>
          <w:tcPr>
            <w:tcW w:w="433" w:type="dxa"/>
            <w:tcBorders>
              <w:top w:val="single" w:sz="4" w:space="0" w:color="auto"/>
              <w:left w:val="single" w:sz="4" w:space="0" w:color="auto"/>
              <w:bottom w:val="single" w:sz="4" w:space="0" w:color="auto"/>
              <w:right w:val="single" w:sz="4" w:space="0" w:color="auto"/>
            </w:tcBorders>
            <w:vAlign w:val="center"/>
            <w:hideMark/>
          </w:tcPr>
          <w:p w:rsidR="00A64028" w:rsidRPr="00422331" w:rsidRDefault="00A64028" w:rsidP="00103148">
            <w:pPr>
              <w:spacing w:after="0"/>
              <w:jc w:val="both"/>
              <w:rPr>
                <w:rFonts w:ascii="Arial Narrow" w:hAnsi="Arial Narrow"/>
                <w:sz w:val="17"/>
                <w:szCs w:val="17"/>
              </w:rPr>
            </w:pPr>
            <w:r w:rsidRPr="00422331">
              <w:rPr>
                <w:rFonts w:ascii="Arial Narrow" w:hAnsi="Arial Narrow"/>
                <w:sz w:val="17"/>
                <w:szCs w:val="17"/>
              </w:rPr>
              <w:t>1.3.5.</w:t>
            </w:r>
          </w:p>
        </w:tc>
        <w:tc>
          <w:tcPr>
            <w:tcW w:w="1702" w:type="dxa"/>
            <w:tcBorders>
              <w:top w:val="single" w:sz="4" w:space="0" w:color="auto"/>
              <w:left w:val="single" w:sz="4" w:space="0" w:color="auto"/>
              <w:bottom w:val="single" w:sz="4" w:space="0" w:color="auto"/>
              <w:right w:val="single" w:sz="4" w:space="0" w:color="auto"/>
            </w:tcBorders>
            <w:hideMark/>
          </w:tcPr>
          <w:p w:rsidR="00A64028" w:rsidRPr="00422331" w:rsidRDefault="00A64028" w:rsidP="00086001">
            <w:pPr>
              <w:spacing w:after="0"/>
              <w:ind w:left="145" w:right="140"/>
              <w:rPr>
                <w:rFonts w:ascii="Arial Narrow" w:hAnsi="Arial Narrow"/>
                <w:sz w:val="17"/>
                <w:szCs w:val="17"/>
              </w:rPr>
            </w:pPr>
            <w:r w:rsidRPr="00422331">
              <w:rPr>
                <w:rFonts w:ascii="Arial Narrow" w:hAnsi="Arial Narrow"/>
                <w:sz w:val="17"/>
                <w:szCs w:val="17"/>
              </w:rPr>
              <w:t>Доля респондентов, успешно вышедших на новые рынки за последние 3 года (% от числа планировавших выход на новые рынки в течение последних 3 лет)</w:t>
            </w:r>
          </w:p>
        </w:tc>
        <w:tc>
          <w:tcPr>
            <w:tcW w:w="569" w:type="dxa"/>
            <w:tcBorders>
              <w:top w:val="single" w:sz="4" w:space="0" w:color="auto"/>
              <w:left w:val="single" w:sz="4" w:space="0" w:color="auto"/>
              <w:bottom w:val="single" w:sz="4" w:space="0" w:color="auto"/>
              <w:right w:val="single" w:sz="4" w:space="0" w:color="auto"/>
            </w:tcBorders>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12,9%</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0,0%</w:t>
            </w:r>
          </w:p>
        </w:tc>
        <w:tc>
          <w:tcPr>
            <w:tcW w:w="457" w:type="dxa"/>
            <w:tcBorders>
              <w:top w:val="single" w:sz="4" w:space="0" w:color="auto"/>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0,0%</w:t>
            </w:r>
          </w:p>
        </w:tc>
        <w:tc>
          <w:tcPr>
            <w:tcW w:w="513" w:type="dxa"/>
            <w:tcBorders>
              <w:top w:val="single" w:sz="4" w:space="0" w:color="auto"/>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14,3%</w:t>
            </w:r>
          </w:p>
        </w:tc>
        <w:tc>
          <w:tcPr>
            <w:tcW w:w="452" w:type="dxa"/>
            <w:tcBorders>
              <w:top w:val="single" w:sz="4" w:space="0" w:color="auto"/>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16,7%</w:t>
            </w:r>
          </w:p>
        </w:tc>
        <w:tc>
          <w:tcPr>
            <w:tcW w:w="705" w:type="dxa"/>
            <w:tcBorders>
              <w:top w:val="single" w:sz="4" w:space="0" w:color="auto"/>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0,0%</w:t>
            </w:r>
          </w:p>
        </w:tc>
        <w:tc>
          <w:tcPr>
            <w:tcW w:w="512" w:type="dxa"/>
            <w:tcBorders>
              <w:top w:val="single" w:sz="4" w:space="0" w:color="auto"/>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14,3%</w:t>
            </w:r>
          </w:p>
        </w:tc>
        <w:tc>
          <w:tcPr>
            <w:tcW w:w="513" w:type="dxa"/>
            <w:tcBorders>
              <w:top w:val="single" w:sz="4" w:space="0" w:color="auto"/>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36,4%</w:t>
            </w:r>
          </w:p>
        </w:tc>
        <w:tc>
          <w:tcPr>
            <w:tcW w:w="512" w:type="dxa"/>
            <w:tcBorders>
              <w:top w:val="single" w:sz="4" w:space="0" w:color="auto"/>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10,5%</w:t>
            </w:r>
          </w:p>
        </w:tc>
        <w:tc>
          <w:tcPr>
            <w:tcW w:w="589" w:type="dxa"/>
            <w:tcBorders>
              <w:top w:val="single" w:sz="4" w:space="0" w:color="auto"/>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0,0%</w:t>
            </w:r>
          </w:p>
        </w:tc>
        <w:tc>
          <w:tcPr>
            <w:tcW w:w="512" w:type="dxa"/>
            <w:tcBorders>
              <w:top w:val="single" w:sz="4" w:space="0" w:color="auto"/>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10,5%</w:t>
            </w:r>
          </w:p>
        </w:tc>
        <w:tc>
          <w:tcPr>
            <w:tcW w:w="513" w:type="dxa"/>
            <w:tcBorders>
              <w:top w:val="single" w:sz="4" w:space="0" w:color="auto"/>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40,0%</w:t>
            </w:r>
          </w:p>
        </w:tc>
        <w:tc>
          <w:tcPr>
            <w:tcW w:w="676" w:type="dxa"/>
            <w:tcBorders>
              <w:top w:val="single" w:sz="4" w:space="0" w:color="auto"/>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4,9%</w:t>
            </w: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20,0%</w:t>
            </w:r>
          </w:p>
        </w:tc>
      </w:tr>
    </w:tbl>
    <w:p w:rsidR="00A64028" w:rsidRDefault="00A64028" w:rsidP="00103148">
      <w:pPr>
        <w:spacing w:after="0"/>
        <w:jc w:val="both"/>
        <w:rPr>
          <w:rFonts w:ascii="Arial Narrow" w:hAnsi="Arial Narrow"/>
          <w:sz w:val="24"/>
          <w:szCs w:val="24"/>
        </w:rPr>
      </w:pPr>
    </w:p>
    <w:p w:rsidR="00507E3F" w:rsidRDefault="00507E3F">
      <w:pPr>
        <w:rPr>
          <w:rFonts w:ascii="Arial Narrow" w:eastAsia="Times New Roman" w:hAnsi="Arial Narrow" w:cs="Times New Roman"/>
          <w:b/>
          <w:bCs/>
          <w:i/>
          <w:iCs/>
          <w:color w:val="000000"/>
          <w:sz w:val="28"/>
          <w:szCs w:val="28"/>
          <w:lang w:eastAsia="ru-RU"/>
        </w:rPr>
      </w:pPr>
      <w:bookmarkStart w:id="86" w:name="_Toc469663909"/>
      <w:bookmarkStart w:id="87" w:name="_Toc473725871"/>
      <w:r>
        <w:rPr>
          <w:rFonts w:ascii="Arial Narrow" w:hAnsi="Arial Narrow"/>
          <w:i/>
          <w:iCs/>
          <w:sz w:val="28"/>
          <w:szCs w:val="28"/>
        </w:rPr>
        <w:br w:type="page"/>
      </w:r>
    </w:p>
    <w:p w:rsidR="00A64028" w:rsidRPr="0051304D" w:rsidRDefault="00A64028" w:rsidP="00103148">
      <w:pPr>
        <w:pStyle w:val="3"/>
        <w:rPr>
          <w:rFonts w:ascii="Arial Narrow" w:hAnsi="Arial Narrow"/>
          <w:i/>
          <w:iCs/>
          <w:sz w:val="28"/>
          <w:szCs w:val="28"/>
        </w:rPr>
      </w:pPr>
      <w:r w:rsidRPr="0051304D">
        <w:rPr>
          <w:rFonts w:ascii="Arial Narrow" w:hAnsi="Arial Narrow"/>
          <w:i/>
          <w:iCs/>
          <w:sz w:val="28"/>
          <w:szCs w:val="28"/>
        </w:rPr>
        <w:lastRenderedPageBreak/>
        <w:t xml:space="preserve">2.2.4. </w:t>
      </w:r>
      <w:bookmarkEnd w:id="86"/>
      <w:r w:rsidRPr="0051304D">
        <w:rPr>
          <w:rFonts w:ascii="Arial Narrow" w:hAnsi="Arial Narrow"/>
          <w:i/>
          <w:iCs/>
          <w:sz w:val="28"/>
          <w:szCs w:val="28"/>
        </w:rPr>
        <w:t>Оценка субъектами предпринимательской деятельности Новосибирской области наличия и уровня административных барьеров во всех сферах регулирования и их динамике</w:t>
      </w:r>
      <w:bookmarkEnd w:id="87"/>
    </w:p>
    <w:p w:rsidR="00A64028" w:rsidRPr="0051304D" w:rsidRDefault="00A64028" w:rsidP="00103148">
      <w:pPr>
        <w:pStyle w:val="a5"/>
        <w:ind w:firstLine="567"/>
        <w:jc w:val="both"/>
        <w:rPr>
          <w:rFonts w:ascii="Arial Narrow" w:hAnsi="Arial Narrow"/>
          <w:b/>
          <w:sz w:val="24"/>
          <w:szCs w:val="24"/>
        </w:rPr>
      </w:pPr>
    </w:p>
    <w:p w:rsidR="00A64028" w:rsidRPr="0051304D" w:rsidRDefault="00A64028" w:rsidP="00103148">
      <w:pPr>
        <w:spacing w:after="0"/>
        <w:jc w:val="both"/>
        <w:rPr>
          <w:rFonts w:ascii="Arial Narrow" w:hAnsi="Arial Narrow"/>
          <w:sz w:val="24"/>
          <w:szCs w:val="24"/>
        </w:rPr>
      </w:pPr>
    </w:p>
    <w:p w:rsidR="00A64028" w:rsidRPr="0051304D" w:rsidRDefault="00A64028" w:rsidP="00103148">
      <w:pPr>
        <w:spacing w:after="0" w:line="360" w:lineRule="auto"/>
        <w:jc w:val="both"/>
        <w:rPr>
          <w:rFonts w:ascii="Arial Narrow" w:hAnsi="Arial Narrow"/>
          <w:b/>
          <w:sz w:val="24"/>
          <w:szCs w:val="24"/>
        </w:rPr>
      </w:pPr>
      <w:r w:rsidRPr="0051304D">
        <w:rPr>
          <w:rFonts w:ascii="Arial Narrow" w:hAnsi="Arial Narrow"/>
          <w:b/>
          <w:sz w:val="24"/>
          <w:szCs w:val="24"/>
        </w:rPr>
        <w:t>1.4.</w:t>
      </w:r>
      <w:r>
        <w:rPr>
          <w:rFonts w:ascii="Arial Narrow" w:hAnsi="Arial Narrow"/>
          <w:b/>
          <w:sz w:val="24"/>
          <w:szCs w:val="24"/>
        </w:rPr>
        <w:t xml:space="preserve"> </w:t>
      </w:r>
      <w:r w:rsidRPr="0051304D">
        <w:rPr>
          <w:rFonts w:ascii="Arial Narrow" w:hAnsi="Arial Narrow"/>
          <w:b/>
          <w:sz w:val="24"/>
          <w:szCs w:val="24"/>
        </w:rPr>
        <w:t>Административные барьеры, ограничивающие конкуренцию среди предприятий, фактически осуществляющих деятельности на рынке (содержит несколько показателей)</w:t>
      </w:r>
    </w:p>
    <w:p w:rsidR="00A64028" w:rsidRPr="0051304D" w:rsidRDefault="00A64028" w:rsidP="00103148">
      <w:pPr>
        <w:spacing w:after="0" w:line="360" w:lineRule="auto"/>
        <w:jc w:val="both"/>
        <w:rPr>
          <w:rFonts w:ascii="Arial Narrow" w:hAnsi="Arial Narrow"/>
          <w:b/>
          <w:sz w:val="24"/>
          <w:szCs w:val="24"/>
        </w:rPr>
      </w:pPr>
      <w:r w:rsidRPr="0051304D">
        <w:rPr>
          <w:rFonts w:ascii="Arial Narrow" w:hAnsi="Arial Narrow"/>
          <w:b/>
          <w:sz w:val="24"/>
          <w:szCs w:val="24"/>
        </w:rPr>
        <w:t>Значение показателя 1.4.1. Мнение представителей рынков о наличии или отсутствии на их рынке административных барьеров, ограничивающих конкуренцию (% от числа опрошенных).</w:t>
      </w:r>
    </w:p>
    <w:p w:rsidR="00A64028" w:rsidRPr="0051304D" w:rsidRDefault="00A64028" w:rsidP="00577FE5">
      <w:pPr>
        <w:spacing w:after="0" w:line="360" w:lineRule="auto"/>
        <w:ind w:firstLine="284"/>
        <w:jc w:val="both"/>
        <w:rPr>
          <w:rFonts w:ascii="Arial Narrow" w:hAnsi="Arial Narrow"/>
          <w:sz w:val="24"/>
          <w:szCs w:val="24"/>
        </w:rPr>
      </w:pPr>
      <w:r w:rsidRPr="0051304D">
        <w:rPr>
          <w:rFonts w:ascii="Arial Narrow" w:hAnsi="Arial Narrow"/>
          <w:sz w:val="24"/>
          <w:szCs w:val="24"/>
        </w:rPr>
        <w:t>Мнение о наличии административных барьеров высказали 42,4 % представителей субъектов предпринимательства, противоположного мнения придерживаются 57,6 %. Наиболее распространено мнение о наличии административных барьеров среди участников рынка услуг дошкольного образования (70,0 %), а об отсутствии барьеров – на рынке услуг по сбору, сортировке и переработке твердых коммунальных (бытовых) отходов (80,0 %). На остальных рынках наличие административных барьеров отметили от 24,0 % до 58,6 % респондентов.</w:t>
      </w:r>
    </w:p>
    <w:p w:rsidR="00A64028" w:rsidRDefault="00A64028" w:rsidP="00103148">
      <w:pPr>
        <w:spacing w:after="0"/>
        <w:rPr>
          <w:rFonts w:ascii="Arial Narrow" w:eastAsia="Calibri" w:hAnsi="Arial Narrow"/>
          <w:sz w:val="24"/>
          <w:szCs w:val="24"/>
        </w:rPr>
      </w:pPr>
    </w:p>
    <w:p w:rsidR="00A64028" w:rsidRPr="0051304D" w:rsidRDefault="00A64028" w:rsidP="00086001">
      <w:pPr>
        <w:spacing w:after="0" w:line="240" w:lineRule="auto"/>
        <w:rPr>
          <w:rFonts w:ascii="Arial Narrow" w:hAnsi="Arial Narrow"/>
          <w:sz w:val="24"/>
          <w:szCs w:val="24"/>
        </w:rPr>
      </w:pPr>
      <w:r>
        <w:rPr>
          <w:rFonts w:ascii="Arial Narrow" w:eastAsia="Calibri" w:hAnsi="Arial Narrow"/>
          <w:sz w:val="24"/>
          <w:szCs w:val="24"/>
        </w:rPr>
        <w:t xml:space="preserve">Таблица </w:t>
      </w:r>
      <w:r w:rsidR="00262F71">
        <w:rPr>
          <w:rFonts w:ascii="Arial Narrow" w:eastAsia="Calibri" w:hAnsi="Arial Narrow"/>
          <w:sz w:val="24"/>
          <w:szCs w:val="24"/>
        </w:rPr>
        <w:t>7.28.</w:t>
      </w:r>
      <w:r w:rsidRPr="0051304D">
        <w:rPr>
          <w:rFonts w:ascii="Arial Narrow" w:eastAsia="Calibri" w:hAnsi="Arial Narrow"/>
          <w:sz w:val="24"/>
          <w:szCs w:val="24"/>
        </w:rPr>
        <w:t xml:space="preserve"> – </w:t>
      </w:r>
      <w:r w:rsidRPr="0051304D">
        <w:rPr>
          <w:rFonts w:ascii="Arial Narrow" w:hAnsi="Arial Narrow"/>
          <w:b/>
          <w:sz w:val="24"/>
          <w:szCs w:val="24"/>
        </w:rPr>
        <w:t>Значение показателя 1.4.1. Мнение представителей рынков о наличии или отсутствии на их рынке административных барьеров, ограничивающих конкуренцию (% от числа опрошенных)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338"/>
        <w:gridCol w:w="2441"/>
        <w:gridCol w:w="556"/>
        <w:gridCol w:w="476"/>
        <w:gridCol w:w="476"/>
        <w:gridCol w:w="476"/>
        <w:gridCol w:w="476"/>
        <w:gridCol w:w="476"/>
        <w:gridCol w:w="476"/>
        <w:gridCol w:w="476"/>
        <w:gridCol w:w="476"/>
        <w:gridCol w:w="476"/>
        <w:gridCol w:w="476"/>
        <w:gridCol w:w="476"/>
        <w:gridCol w:w="554"/>
        <w:gridCol w:w="522"/>
      </w:tblGrid>
      <w:tr w:rsidR="00A64028" w:rsidRPr="0051304D" w:rsidTr="00086001">
        <w:trPr>
          <w:cantSplit/>
          <w:trHeight w:val="4231"/>
        </w:trPr>
        <w:tc>
          <w:tcPr>
            <w:tcW w:w="191" w:type="pct"/>
            <w:tcBorders>
              <w:top w:val="single" w:sz="4" w:space="0" w:color="auto"/>
              <w:left w:val="single" w:sz="4" w:space="0" w:color="auto"/>
              <w:bottom w:val="single" w:sz="4" w:space="0" w:color="auto"/>
              <w:right w:val="single" w:sz="4" w:space="0" w:color="auto"/>
            </w:tcBorders>
            <w:vAlign w:val="center"/>
            <w:hideMark/>
          </w:tcPr>
          <w:p w:rsidR="00A64028" w:rsidRPr="0051304D" w:rsidRDefault="00A64028" w:rsidP="00103148">
            <w:pPr>
              <w:spacing w:after="0"/>
              <w:jc w:val="center"/>
              <w:rPr>
                <w:rFonts w:ascii="Arial Narrow" w:hAnsi="Arial Narrow" w:cs="Arial"/>
              </w:rPr>
            </w:pPr>
            <w:r w:rsidRPr="0051304D">
              <w:rPr>
                <w:rFonts w:ascii="Arial Narrow" w:hAnsi="Arial Narrow" w:cs="Arial"/>
              </w:rPr>
              <w:t>№</w:t>
            </w:r>
          </w:p>
        </w:tc>
        <w:tc>
          <w:tcPr>
            <w:tcW w:w="1281" w:type="pct"/>
            <w:tcBorders>
              <w:top w:val="single" w:sz="4" w:space="0" w:color="auto"/>
              <w:left w:val="single" w:sz="4" w:space="0" w:color="auto"/>
              <w:bottom w:val="single" w:sz="4" w:space="0" w:color="auto"/>
              <w:right w:val="single" w:sz="4" w:space="0" w:color="auto"/>
            </w:tcBorders>
            <w:vAlign w:val="center"/>
            <w:hideMark/>
          </w:tcPr>
          <w:p w:rsidR="00A64028" w:rsidRPr="00577FE5" w:rsidRDefault="00A64028" w:rsidP="00103148">
            <w:pPr>
              <w:spacing w:after="0"/>
              <w:jc w:val="center"/>
              <w:rPr>
                <w:rFonts w:ascii="Arial Narrow" w:hAnsi="Arial Narrow" w:cs="Arial"/>
                <w:sz w:val="18"/>
                <w:szCs w:val="18"/>
              </w:rPr>
            </w:pPr>
            <w:r w:rsidRPr="00577FE5">
              <w:rPr>
                <w:rFonts w:ascii="Arial Narrow" w:hAnsi="Arial Narrow" w:cs="Arial"/>
                <w:sz w:val="18"/>
                <w:szCs w:val="18"/>
              </w:rPr>
              <w:t>Наименование показателя, единица измерения</w:t>
            </w:r>
          </w:p>
        </w:tc>
        <w:tc>
          <w:tcPr>
            <w:tcW w:w="304" w:type="pct"/>
            <w:tcBorders>
              <w:top w:val="single" w:sz="4" w:space="0" w:color="auto"/>
              <w:left w:val="single" w:sz="4" w:space="0" w:color="auto"/>
              <w:bottom w:val="single" w:sz="4" w:space="0" w:color="auto"/>
              <w:right w:val="single" w:sz="4" w:space="0" w:color="auto"/>
            </w:tcBorders>
            <w:textDirection w:val="btLr"/>
            <w:vAlign w:val="center"/>
            <w:hideMark/>
          </w:tcPr>
          <w:p w:rsidR="00A64028" w:rsidRPr="00577FE5" w:rsidRDefault="00A64028" w:rsidP="00086001">
            <w:pPr>
              <w:spacing w:after="0"/>
              <w:ind w:left="113" w:right="113"/>
              <w:jc w:val="center"/>
              <w:rPr>
                <w:rFonts w:ascii="Arial Narrow" w:hAnsi="Arial Narrow" w:cs="Arial"/>
                <w:sz w:val="18"/>
                <w:szCs w:val="18"/>
              </w:rPr>
            </w:pPr>
            <w:r w:rsidRPr="00577FE5">
              <w:rPr>
                <w:rFonts w:ascii="Arial Narrow" w:hAnsi="Arial Narrow" w:cs="Arial"/>
                <w:sz w:val="18"/>
                <w:szCs w:val="18"/>
              </w:rPr>
              <w:t>Общий по Новосибирской области</w:t>
            </w:r>
          </w:p>
        </w:tc>
        <w:tc>
          <w:tcPr>
            <w:tcW w:w="245" w:type="pct"/>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507E3F" w:rsidRDefault="00A64028" w:rsidP="00103148">
            <w:pPr>
              <w:spacing w:after="0"/>
              <w:jc w:val="center"/>
              <w:rPr>
                <w:rFonts w:ascii="Arial Narrow" w:hAnsi="Arial Narrow" w:cs="Arial"/>
                <w:sz w:val="18"/>
                <w:szCs w:val="18"/>
              </w:rPr>
            </w:pPr>
            <w:r w:rsidRPr="00507E3F">
              <w:rPr>
                <w:rFonts w:ascii="Arial Narrow" w:hAnsi="Arial Narrow" w:cs="Arial"/>
                <w:sz w:val="18"/>
                <w:szCs w:val="18"/>
              </w:rPr>
              <w:t>Рынок услуг дошкольного образования (коммерческие детские сады и учреждения пребывания неполного дня)</w:t>
            </w:r>
          </w:p>
        </w:tc>
        <w:tc>
          <w:tcPr>
            <w:tcW w:w="229" w:type="pct"/>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507E3F" w:rsidRDefault="00A64028" w:rsidP="00103148">
            <w:pPr>
              <w:spacing w:after="0"/>
              <w:jc w:val="center"/>
              <w:rPr>
                <w:rFonts w:ascii="Arial Narrow" w:hAnsi="Arial Narrow" w:cs="Arial"/>
                <w:sz w:val="18"/>
                <w:szCs w:val="18"/>
              </w:rPr>
            </w:pPr>
            <w:r w:rsidRPr="00507E3F">
              <w:rPr>
                <w:rFonts w:ascii="Arial Narrow" w:hAnsi="Arial Narrow" w:cs="Arial"/>
                <w:sz w:val="18"/>
                <w:szCs w:val="18"/>
              </w:rPr>
              <w:t>Рынок услуг детского отдыха и оздоровления</w:t>
            </w:r>
          </w:p>
        </w:tc>
        <w:tc>
          <w:tcPr>
            <w:tcW w:w="229" w:type="pct"/>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507E3F" w:rsidRDefault="00A64028" w:rsidP="00103148">
            <w:pPr>
              <w:spacing w:after="0"/>
              <w:jc w:val="center"/>
              <w:rPr>
                <w:rFonts w:ascii="Arial Narrow" w:hAnsi="Arial Narrow" w:cs="Arial"/>
                <w:sz w:val="18"/>
                <w:szCs w:val="18"/>
              </w:rPr>
            </w:pPr>
            <w:r w:rsidRPr="00507E3F">
              <w:rPr>
                <w:rFonts w:ascii="Arial Narrow" w:hAnsi="Arial Narrow" w:cs="Arial"/>
                <w:sz w:val="18"/>
                <w:szCs w:val="18"/>
              </w:rPr>
              <w:t>Рынок дополнительного образования детей</w:t>
            </w:r>
          </w:p>
        </w:tc>
        <w:tc>
          <w:tcPr>
            <w:tcW w:w="229" w:type="pct"/>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507E3F" w:rsidRDefault="00A64028" w:rsidP="00103148">
            <w:pPr>
              <w:spacing w:after="0"/>
              <w:jc w:val="center"/>
              <w:rPr>
                <w:rFonts w:ascii="Arial Narrow" w:hAnsi="Arial Narrow" w:cs="Arial"/>
                <w:sz w:val="18"/>
                <w:szCs w:val="18"/>
              </w:rPr>
            </w:pPr>
            <w:r w:rsidRPr="00507E3F">
              <w:rPr>
                <w:rFonts w:ascii="Arial Narrow" w:hAnsi="Arial Narrow" w:cs="Arial"/>
                <w:sz w:val="18"/>
                <w:szCs w:val="18"/>
              </w:rPr>
              <w:t>Рынок медицинских услуг</w:t>
            </w:r>
          </w:p>
        </w:tc>
        <w:tc>
          <w:tcPr>
            <w:tcW w:w="255" w:type="pct"/>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507E3F" w:rsidRDefault="00A64028" w:rsidP="00103148">
            <w:pPr>
              <w:spacing w:after="0"/>
              <w:jc w:val="center"/>
              <w:rPr>
                <w:rFonts w:ascii="Arial Narrow" w:hAnsi="Arial Narrow" w:cs="Arial"/>
                <w:sz w:val="18"/>
                <w:szCs w:val="18"/>
              </w:rPr>
            </w:pPr>
            <w:r w:rsidRPr="00507E3F">
              <w:rPr>
                <w:rFonts w:ascii="Arial Narrow" w:hAnsi="Arial Narrow" w:cs="Arial"/>
                <w:sz w:val="18"/>
                <w:szCs w:val="18"/>
              </w:rPr>
              <w:t>Рынок услуг психолого-педагогического сопровождения детей с ограниченными возможностями здоровья</w:t>
            </w:r>
          </w:p>
        </w:tc>
        <w:tc>
          <w:tcPr>
            <w:tcW w:w="229" w:type="pct"/>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507E3F" w:rsidRDefault="00A64028" w:rsidP="00103148">
            <w:pPr>
              <w:spacing w:after="0"/>
              <w:jc w:val="center"/>
              <w:rPr>
                <w:rFonts w:ascii="Arial Narrow" w:hAnsi="Arial Narrow" w:cs="Arial"/>
                <w:sz w:val="18"/>
                <w:szCs w:val="18"/>
              </w:rPr>
            </w:pPr>
            <w:r w:rsidRPr="00507E3F">
              <w:rPr>
                <w:rFonts w:ascii="Arial Narrow" w:hAnsi="Arial Narrow" w:cs="Arial"/>
                <w:sz w:val="18"/>
                <w:szCs w:val="18"/>
              </w:rPr>
              <w:t>Рынок услуг в сфере культуры</w:t>
            </w:r>
          </w:p>
        </w:tc>
        <w:tc>
          <w:tcPr>
            <w:tcW w:w="229" w:type="pct"/>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507E3F" w:rsidRDefault="00A64028" w:rsidP="00103148">
            <w:pPr>
              <w:spacing w:after="0"/>
              <w:jc w:val="center"/>
              <w:rPr>
                <w:rFonts w:ascii="Arial Narrow" w:hAnsi="Arial Narrow" w:cs="Arial"/>
                <w:sz w:val="18"/>
                <w:szCs w:val="18"/>
              </w:rPr>
            </w:pPr>
            <w:r w:rsidRPr="00507E3F">
              <w:rPr>
                <w:rFonts w:ascii="Arial Narrow" w:hAnsi="Arial Narrow" w:cs="Arial"/>
                <w:sz w:val="18"/>
                <w:szCs w:val="18"/>
              </w:rPr>
              <w:t>Рынок услуг ЖКХ (управляющие компании)</w:t>
            </w:r>
          </w:p>
        </w:tc>
        <w:tc>
          <w:tcPr>
            <w:tcW w:w="255" w:type="pct"/>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507E3F" w:rsidRDefault="00A64028" w:rsidP="00103148">
            <w:pPr>
              <w:spacing w:after="0"/>
              <w:jc w:val="center"/>
              <w:rPr>
                <w:rFonts w:ascii="Arial Narrow" w:hAnsi="Arial Narrow" w:cs="Arial"/>
                <w:sz w:val="18"/>
                <w:szCs w:val="18"/>
              </w:rPr>
            </w:pPr>
            <w:r w:rsidRPr="00507E3F">
              <w:rPr>
                <w:rFonts w:ascii="Arial Narrow" w:hAnsi="Arial Narrow" w:cs="Arial"/>
                <w:sz w:val="18"/>
                <w:szCs w:val="18"/>
              </w:rPr>
              <w:t>Розничная торговля (продажа продуктов питания и непродовольственных товаров)</w:t>
            </w:r>
          </w:p>
        </w:tc>
        <w:tc>
          <w:tcPr>
            <w:tcW w:w="256" w:type="pct"/>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507E3F" w:rsidRDefault="00A64028" w:rsidP="00103148">
            <w:pPr>
              <w:spacing w:after="0"/>
              <w:jc w:val="center"/>
              <w:rPr>
                <w:rFonts w:ascii="Arial Narrow" w:hAnsi="Arial Narrow" w:cs="Arial"/>
                <w:sz w:val="18"/>
                <w:szCs w:val="18"/>
              </w:rPr>
            </w:pPr>
            <w:r w:rsidRPr="00507E3F">
              <w:rPr>
                <w:rFonts w:ascii="Arial Narrow" w:hAnsi="Arial Narrow" w:cs="Arial"/>
                <w:sz w:val="18"/>
                <w:szCs w:val="18"/>
              </w:rPr>
              <w:t>Рынок услуг перевозок пассажиров наземным транспортом (автобусные перевозки и такси)</w:t>
            </w:r>
          </w:p>
        </w:tc>
        <w:tc>
          <w:tcPr>
            <w:tcW w:w="229" w:type="pct"/>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507E3F" w:rsidRDefault="00A64028" w:rsidP="00103148">
            <w:pPr>
              <w:spacing w:after="0"/>
              <w:jc w:val="center"/>
              <w:rPr>
                <w:rFonts w:ascii="Arial Narrow" w:hAnsi="Arial Narrow" w:cs="Arial"/>
                <w:sz w:val="18"/>
                <w:szCs w:val="18"/>
              </w:rPr>
            </w:pPr>
            <w:r w:rsidRPr="00507E3F">
              <w:rPr>
                <w:rFonts w:ascii="Arial Narrow" w:hAnsi="Arial Narrow" w:cs="Arial"/>
                <w:sz w:val="18"/>
                <w:szCs w:val="18"/>
              </w:rPr>
              <w:t>Рынок услуг связи</w:t>
            </w:r>
          </w:p>
        </w:tc>
        <w:tc>
          <w:tcPr>
            <w:tcW w:w="229" w:type="pct"/>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507E3F" w:rsidRDefault="00A64028" w:rsidP="00103148">
            <w:pPr>
              <w:spacing w:after="0"/>
              <w:jc w:val="center"/>
              <w:rPr>
                <w:rFonts w:ascii="Arial Narrow" w:hAnsi="Arial Narrow" w:cs="Arial"/>
                <w:sz w:val="18"/>
                <w:szCs w:val="18"/>
              </w:rPr>
            </w:pPr>
            <w:r w:rsidRPr="00507E3F">
              <w:rPr>
                <w:rFonts w:ascii="Arial Narrow" w:hAnsi="Arial Narrow" w:cs="Arial"/>
                <w:sz w:val="18"/>
                <w:szCs w:val="18"/>
              </w:rPr>
              <w:t>Рынок услуг социального обслуживания населения</w:t>
            </w:r>
          </w:p>
        </w:tc>
        <w:tc>
          <w:tcPr>
            <w:tcW w:w="324" w:type="pct"/>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507E3F" w:rsidRDefault="00A64028" w:rsidP="00103148">
            <w:pPr>
              <w:spacing w:after="0"/>
              <w:jc w:val="center"/>
              <w:rPr>
                <w:rFonts w:ascii="Arial Narrow" w:hAnsi="Arial Narrow" w:cs="Arial"/>
                <w:sz w:val="18"/>
                <w:szCs w:val="18"/>
              </w:rPr>
            </w:pPr>
            <w:r w:rsidRPr="00507E3F">
              <w:rPr>
                <w:rFonts w:ascii="Arial Narrow" w:hAnsi="Arial Narrow" w:cs="Arial"/>
                <w:sz w:val="18"/>
                <w:szCs w:val="18"/>
              </w:rPr>
              <w:t>Рынок развития, производства, переработки и хранения сельскохозяйственной продукции</w:t>
            </w:r>
          </w:p>
        </w:tc>
        <w:tc>
          <w:tcPr>
            <w:tcW w:w="286" w:type="pct"/>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507E3F" w:rsidRDefault="00A64028" w:rsidP="00103148">
            <w:pPr>
              <w:spacing w:after="0"/>
              <w:jc w:val="center"/>
              <w:rPr>
                <w:rFonts w:ascii="Arial Narrow" w:hAnsi="Arial Narrow" w:cs="Arial"/>
                <w:sz w:val="18"/>
                <w:szCs w:val="18"/>
              </w:rPr>
            </w:pPr>
            <w:r w:rsidRPr="00507E3F">
              <w:rPr>
                <w:rFonts w:ascii="Arial Narrow" w:hAnsi="Arial Narrow" w:cs="Arial"/>
                <w:sz w:val="18"/>
                <w:szCs w:val="18"/>
              </w:rPr>
              <w:t>Рынок услуг по сбору, сортировке и переработке твердых коммунальных (бытовых) отходов</w:t>
            </w:r>
          </w:p>
        </w:tc>
      </w:tr>
      <w:tr w:rsidR="00A64028" w:rsidRPr="0051304D" w:rsidTr="00A64028">
        <w:trPr>
          <w:trHeight w:val="431"/>
        </w:trPr>
        <w:tc>
          <w:tcPr>
            <w:tcW w:w="191" w:type="pct"/>
            <w:tcBorders>
              <w:top w:val="single" w:sz="4" w:space="0" w:color="auto"/>
              <w:left w:val="single" w:sz="4" w:space="0" w:color="auto"/>
              <w:bottom w:val="single" w:sz="4" w:space="0" w:color="auto"/>
              <w:right w:val="single" w:sz="4" w:space="0" w:color="auto"/>
            </w:tcBorders>
            <w:vAlign w:val="center"/>
            <w:hideMark/>
          </w:tcPr>
          <w:p w:rsidR="00A64028" w:rsidRPr="0051304D" w:rsidRDefault="00A64028" w:rsidP="00103148">
            <w:pPr>
              <w:spacing w:after="0"/>
              <w:jc w:val="both"/>
              <w:rPr>
                <w:rFonts w:ascii="Arial Narrow" w:hAnsi="Arial Narrow"/>
                <w:b/>
                <w:sz w:val="16"/>
                <w:szCs w:val="16"/>
              </w:rPr>
            </w:pPr>
            <w:r w:rsidRPr="0051304D">
              <w:rPr>
                <w:rFonts w:ascii="Arial Narrow" w:hAnsi="Arial Narrow"/>
                <w:b/>
                <w:sz w:val="16"/>
                <w:szCs w:val="16"/>
              </w:rPr>
              <w:t>1.4.1</w:t>
            </w:r>
          </w:p>
        </w:tc>
        <w:tc>
          <w:tcPr>
            <w:tcW w:w="4809" w:type="pct"/>
            <w:gridSpan w:val="15"/>
            <w:tcBorders>
              <w:top w:val="single" w:sz="4" w:space="0" w:color="auto"/>
              <w:left w:val="single" w:sz="4" w:space="0" w:color="auto"/>
              <w:bottom w:val="single" w:sz="4" w:space="0" w:color="auto"/>
              <w:right w:val="single" w:sz="4" w:space="0" w:color="auto"/>
            </w:tcBorders>
            <w:vAlign w:val="center"/>
            <w:hideMark/>
          </w:tcPr>
          <w:p w:rsidR="00A64028" w:rsidRPr="0051304D" w:rsidRDefault="00A64028" w:rsidP="00577FE5">
            <w:pPr>
              <w:spacing w:after="0"/>
              <w:ind w:left="129"/>
              <w:jc w:val="both"/>
              <w:rPr>
                <w:rFonts w:ascii="Arial Narrow" w:hAnsi="Arial Narrow"/>
                <w:b/>
                <w:sz w:val="20"/>
                <w:szCs w:val="20"/>
              </w:rPr>
            </w:pPr>
            <w:r w:rsidRPr="0051304D">
              <w:rPr>
                <w:rFonts w:ascii="Arial Narrow" w:hAnsi="Arial Narrow"/>
                <w:b/>
                <w:sz w:val="20"/>
                <w:szCs w:val="20"/>
              </w:rPr>
              <w:t>Мнение представителей рынков о наличии или отсутствии на их рынке административных барьеров, ограничивающих конкуренцию (% от числа опрошенных)</w:t>
            </w:r>
          </w:p>
        </w:tc>
      </w:tr>
      <w:tr w:rsidR="00A64028" w:rsidRPr="0051304D" w:rsidTr="00A64028">
        <w:tc>
          <w:tcPr>
            <w:tcW w:w="191" w:type="pct"/>
            <w:tcBorders>
              <w:top w:val="single" w:sz="4" w:space="0" w:color="auto"/>
              <w:left w:val="single" w:sz="4" w:space="0" w:color="auto"/>
              <w:bottom w:val="single" w:sz="4" w:space="0" w:color="auto"/>
              <w:right w:val="single" w:sz="4" w:space="0" w:color="auto"/>
            </w:tcBorders>
            <w:vAlign w:val="center"/>
            <w:hideMark/>
          </w:tcPr>
          <w:p w:rsidR="00A64028" w:rsidRPr="0051304D" w:rsidRDefault="00A64028" w:rsidP="00103148">
            <w:pPr>
              <w:spacing w:after="0"/>
              <w:rPr>
                <w:rFonts w:ascii="Arial Narrow" w:hAnsi="Arial Narrow"/>
                <w:sz w:val="24"/>
                <w:szCs w:val="24"/>
              </w:rPr>
            </w:pPr>
          </w:p>
        </w:tc>
        <w:tc>
          <w:tcPr>
            <w:tcW w:w="1281" w:type="pct"/>
            <w:tcBorders>
              <w:top w:val="single" w:sz="4" w:space="0" w:color="auto"/>
              <w:left w:val="single" w:sz="4" w:space="0" w:color="auto"/>
              <w:bottom w:val="single" w:sz="4" w:space="0" w:color="auto"/>
              <w:right w:val="single" w:sz="4" w:space="0" w:color="auto"/>
            </w:tcBorders>
            <w:vAlign w:val="center"/>
            <w:hideMark/>
          </w:tcPr>
          <w:p w:rsidR="00A64028" w:rsidRPr="0051304D" w:rsidRDefault="00A64028" w:rsidP="00577FE5">
            <w:pPr>
              <w:spacing w:after="0"/>
              <w:ind w:left="129"/>
              <w:rPr>
                <w:rFonts w:ascii="Arial Narrow" w:hAnsi="Arial Narrow"/>
                <w:sz w:val="20"/>
                <w:szCs w:val="20"/>
              </w:rPr>
            </w:pPr>
            <w:r w:rsidRPr="0051304D">
              <w:rPr>
                <w:rFonts w:ascii="Arial Narrow" w:hAnsi="Arial Narrow"/>
                <w:sz w:val="20"/>
                <w:szCs w:val="20"/>
              </w:rPr>
              <w:t>Есть административные барьеры, %</w:t>
            </w:r>
          </w:p>
        </w:tc>
        <w:tc>
          <w:tcPr>
            <w:tcW w:w="304" w:type="pct"/>
            <w:tcBorders>
              <w:top w:val="single" w:sz="4" w:space="0" w:color="auto"/>
              <w:left w:val="single" w:sz="4" w:space="0" w:color="auto"/>
              <w:bottom w:val="single" w:sz="4" w:space="0" w:color="auto"/>
              <w:right w:val="single" w:sz="4" w:space="0" w:color="auto"/>
            </w:tcBorders>
            <w:noWrap/>
            <w:vAlign w:val="center"/>
            <w:hideMark/>
          </w:tcPr>
          <w:p w:rsidR="00A64028" w:rsidRPr="00577FE5" w:rsidRDefault="00A64028" w:rsidP="00103148">
            <w:pPr>
              <w:spacing w:after="0"/>
              <w:jc w:val="center"/>
              <w:rPr>
                <w:rFonts w:ascii="Arial Narrow" w:hAnsi="Arial Narrow"/>
                <w:sz w:val="20"/>
                <w:szCs w:val="20"/>
              </w:rPr>
            </w:pPr>
            <w:r w:rsidRPr="00577FE5">
              <w:rPr>
                <w:rFonts w:ascii="Arial Narrow" w:hAnsi="Arial Narrow"/>
                <w:sz w:val="20"/>
                <w:szCs w:val="20"/>
              </w:rPr>
              <w:t>42,4%</w:t>
            </w:r>
          </w:p>
        </w:tc>
        <w:tc>
          <w:tcPr>
            <w:tcW w:w="245" w:type="pct"/>
            <w:tcBorders>
              <w:top w:val="single" w:sz="4" w:space="0" w:color="auto"/>
              <w:left w:val="single" w:sz="4" w:space="0" w:color="auto"/>
              <w:bottom w:val="single" w:sz="4" w:space="0" w:color="auto"/>
              <w:right w:val="single" w:sz="4" w:space="0" w:color="auto"/>
            </w:tcBorders>
            <w:noWrap/>
            <w:vAlign w:val="center"/>
            <w:hideMark/>
          </w:tcPr>
          <w:p w:rsidR="00A64028" w:rsidRPr="00577FE5" w:rsidRDefault="00A64028" w:rsidP="00103148">
            <w:pPr>
              <w:spacing w:after="0"/>
              <w:jc w:val="center"/>
              <w:rPr>
                <w:rFonts w:ascii="Arial Narrow" w:hAnsi="Arial Narrow"/>
                <w:sz w:val="20"/>
                <w:szCs w:val="20"/>
              </w:rPr>
            </w:pPr>
            <w:r w:rsidRPr="00577FE5">
              <w:rPr>
                <w:rFonts w:ascii="Arial Narrow" w:hAnsi="Arial Narrow"/>
                <w:sz w:val="20"/>
                <w:szCs w:val="20"/>
              </w:rPr>
              <w:t>70,0%</w:t>
            </w:r>
          </w:p>
        </w:tc>
        <w:tc>
          <w:tcPr>
            <w:tcW w:w="229" w:type="pct"/>
            <w:tcBorders>
              <w:top w:val="single" w:sz="4" w:space="0" w:color="auto"/>
              <w:left w:val="single" w:sz="4" w:space="0" w:color="auto"/>
              <w:bottom w:val="single" w:sz="4" w:space="0" w:color="auto"/>
              <w:right w:val="single" w:sz="4" w:space="0" w:color="auto"/>
            </w:tcBorders>
            <w:noWrap/>
            <w:vAlign w:val="center"/>
            <w:hideMark/>
          </w:tcPr>
          <w:p w:rsidR="00A64028" w:rsidRPr="00577FE5" w:rsidRDefault="00A64028" w:rsidP="00103148">
            <w:pPr>
              <w:spacing w:after="0"/>
              <w:jc w:val="center"/>
              <w:rPr>
                <w:rFonts w:ascii="Arial Narrow" w:hAnsi="Arial Narrow"/>
                <w:sz w:val="20"/>
                <w:szCs w:val="20"/>
              </w:rPr>
            </w:pPr>
            <w:r w:rsidRPr="00577FE5">
              <w:rPr>
                <w:rFonts w:ascii="Arial Narrow" w:hAnsi="Arial Narrow"/>
                <w:sz w:val="20"/>
                <w:szCs w:val="20"/>
              </w:rPr>
              <w:t>40,0%</w:t>
            </w:r>
          </w:p>
        </w:tc>
        <w:tc>
          <w:tcPr>
            <w:tcW w:w="229" w:type="pct"/>
            <w:tcBorders>
              <w:top w:val="single" w:sz="4" w:space="0" w:color="auto"/>
              <w:left w:val="single" w:sz="4" w:space="0" w:color="auto"/>
              <w:bottom w:val="single" w:sz="4" w:space="0" w:color="auto"/>
              <w:right w:val="single" w:sz="4" w:space="0" w:color="auto"/>
            </w:tcBorders>
            <w:noWrap/>
            <w:vAlign w:val="center"/>
            <w:hideMark/>
          </w:tcPr>
          <w:p w:rsidR="00A64028" w:rsidRPr="00577FE5" w:rsidRDefault="00A64028" w:rsidP="00103148">
            <w:pPr>
              <w:spacing w:after="0"/>
              <w:jc w:val="center"/>
              <w:rPr>
                <w:rFonts w:ascii="Arial Narrow" w:hAnsi="Arial Narrow"/>
                <w:sz w:val="20"/>
                <w:szCs w:val="20"/>
              </w:rPr>
            </w:pPr>
            <w:r w:rsidRPr="00577FE5">
              <w:rPr>
                <w:rFonts w:ascii="Arial Narrow" w:hAnsi="Arial Narrow"/>
                <w:sz w:val="20"/>
                <w:szCs w:val="20"/>
              </w:rPr>
              <w:t>32,0%</w:t>
            </w:r>
          </w:p>
        </w:tc>
        <w:tc>
          <w:tcPr>
            <w:tcW w:w="229" w:type="pct"/>
            <w:tcBorders>
              <w:top w:val="single" w:sz="4" w:space="0" w:color="auto"/>
              <w:left w:val="single" w:sz="4" w:space="0" w:color="auto"/>
              <w:bottom w:val="single" w:sz="4" w:space="0" w:color="auto"/>
              <w:right w:val="single" w:sz="4" w:space="0" w:color="auto"/>
            </w:tcBorders>
            <w:noWrap/>
            <w:vAlign w:val="center"/>
            <w:hideMark/>
          </w:tcPr>
          <w:p w:rsidR="00A64028" w:rsidRPr="00577FE5" w:rsidRDefault="00A64028" w:rsidP="00103148">
            <w:pPr>
              <w:spacing w:after="0"/>
              <w:jc w:val="center"/>
              <w:rPr>
                <w:rFonts w:ascii="Arial Narrow" w:hAnsi="Arial Narrow"/>
                <w:sz w:val="20"/>
                <w:szCs w:val="20"/>
              </w:rPr>
            </w:pPr>
            <w:r w:rsidRPr="00577FE5">
              <w:rPr>
                <w:rFonts w:ascii="Arial Narrow" w:hAnsi="Arial Narrow"/>
                <w:sz w:val="20"/>
                <w:szCs w:val="20"/>
              </w:rPr>
              <w:t>50,0%</w:t>
            </w:r>
          </w:p>
        </w:tc>
        <w:tc>
          <w:tcPr>
            <w:tcW w:w="255" w:type="pct"/>
            <w:tcBorders>
              <w:top w:val="single" w:sz="4" w:space="0" w:color="auto"/>
              <w:left w:val="single" w:sz="4" w:space="0" w:color="auto"/>
              <w:bottom w:val="single" w:sz="4" w:space="0" w:color="auto"/>
              <w:right w:val="single" w:sz="4" w:space="0" w:color="auto"/>
            </w:tcBorders>
            <w:noWrap/>
            <w:vAlign w:val="center"/>
            <w:hideMark/>
          </w:tcPr>
          <w:p w:rsidR="00A64028" w:rsidRPr="00577FE5" w:rsidRDefault="00A64028" w:rsidP="00103148">
            <w:pPr>
              <w:spacing w:after="0"/>
              <w:jc w:val="center"/>
              <w:rPr>
                <w:rFonts w:ascii="Arial Narrow" w:hAnsi="Arial Narrow"/>
                <w:sz w:val="20"/>
                <w:szCs w:val="20"/>
              </w:rPr>
            </w:pPr>
            <w:r w:rsidRPr="00577FE5">
              <w:rPr>
                <w:rFonts w:ascii="Arial Narrow" w:hAnsi="Arial Narrow"/>
                <w:sz w:val="20"/>
                <w:szCs w:val="20"/>
              </w:rPr>
              <w:t>56,0%</w:t>
            </w:r>
          </w:p>
        </w:tc>
        <w:tc>
          <w:tcPr>
            <w:tcW w:w="229" w:type="pct"/>
            <w:tcBorders>
              <w:top w:val="single" w:sz="4" w:space="0" w:color="auto"/>
              <w:left w:val="single" w:sz="4" w:space="0" w:color="auto"/>
              <w:bottom w:val="single" w:sz="4" w:space="0" w:color="auto"/>
              <w:right w:val="single" w:sz="4" w:space="0" w:color="auto"/>
            </w:tcBorders>
            <w:noWrap/>
            <w:vAlign w:val="center"/>
            <w:hideMark/>
          </w:tcPr>
          <w:p w:rsidR="00A64028" w:rsidRPr="00577FE5" w:rsidRDefault="00A64028" w:rsidP="00103148">
            <w:pPr>
              <w:spacing w:after="0"/>
              <w:jc w:val="center"/>
              <w:rPr>
                <w:rFonts w:ascii="Arial Narrow" w:hAnsi="Arial Narrow"/>
                <w:sz w:val="20"/>
                <w:szCs w:val="20"/>
              </w:rPr>
            </w:pPr>
            <w:r w:rsidRPr="00577FE5">
              <w:rPr>
                <w:rFonts w:ascii="Arial Narrow" w:hAnsi="Arial Narrow"/>
                <w:sz w:val="20"/>
                <w:szCs w:val="20"/>
              </w:rPr>
              <w:t>32,0%</w:t>
            </w:r>
          </w:p>
        </w:tc>
        <w:tc>
          <w:tcPr>
            <w:tcW w:w="229" w:type="pct"/>
            <w:tcBorders>
              <w:top w:val="single" w:sz="4" w:space="0" w:color="auto"/>
              <w:left w:val="single" w:sz="4" w:space="0" w:color="auto"/>
              <w:bottom w:val="single" w:sz="4" w:space="0" w:color="auto"/>
              <w:right w:val="single" w:sz="4" w:space="0" w:color="auto"/>
            </w:tcBorders>
            <w:noWrap/>
            <w:vAlign w:val="center"/>
            <w:hideMark/>
          </w:tcPr>
          <w:p w:rsidR="00A64028" w:rsidRPr="00577FE5" w:rsidRDefault="00A64028" w:rsidP="00103148">
            <w:pPr>
              <w:spacing w:after="0"/>
              <w:jc w:val="center"/>
              <w:rPr>
                <w:rFonts w:ascii="Arial Narrow" w:hAnsi="Arial Narrow"/>
                <w:sz w:val="20"/>
                <w:szCs w:val="20"/>
              </w:rPr>
            </w:pPr>
            <w:r w:rsidRPr="00577FE5">
              <w:rPr>
                <w:rFonts w:ascii="Arial Narrow" w:hAnsi="Arial Narrow"/>
                <w:sz w:val="20"/>
                <w:szCs w:val="20"/>
              </w:rPr>
              <w:t>58,6%</w:t>
            </w:r>
          </w:p>
        </w:tc>
        <w:tc>
          <w:tcPr>
            <w:tcW w:w="255" w:type="pct"/>
            <w:tcBorders>
              <w:top w:val="single" w:sz="4" w:space="0" w:color="auto"/>
              <w:left w:val="single" w:sz="4" w:space="0" w:color="auto"/>
              <w:bottom w:val="single" w:sz="4" w:space="0" w:color="auto"/>
              <w:right w:val="single" w:sz="4" w:space="0" w:color="auto"/>
            </w:tcBorders>
            <w:noWrap/>
            <w:vAlign w:val="center"/>
            <w:hideMark/>
          </w:tcPr>
          <w:p w:rsidR="00A64028" w:rsidRPr="00577FE5" w:rsidRDefault="00A64028" w:rsidP="00103148">
            <w:pPr>
              <w:spacing w:after="0"/>
              <w:jc w:val="center"/>
              <w:rPr>
                <w:rFonts w:ascii="Arial Narrow" w:hAnsi="Arial Narrow"/>
                <w:sz w:val="20"/>
                <w:szCs w:val="20"/>
              </w:rPr>
            </w:pPr>
            <w:r w:rsidRPr="00577FE5">
              <w:rPr>
                <w:rFonts w:ascii="Arial Narrow" w:hAnsi="Arial Narrow"/>
                <w:sz w:val="20"/>
                <w:szCs w:val="20"/>
              </w:rPr>
              <w:t>35,6%</w:t>
            </w:r>
          </w:p>
        </w:tc>
        <w:tc>
          <w:tcPr>
            <w:tcW w:w="256" w:type="pct"/>
            <w:tcBorders>
              <w:top w:val="single" w:sz="4" w:space="0" w:color="auto"/>
              <w:left w:val="single" w:sz="4" w:space="0" w:color="auto"/>
              <w:bottom w:val="single" w:sz="4" w:space="0" w:color="auto"/>
              <w:right w:val="single" w:sz="4" w:space="0" w:color="auto"/>
            </w:tcBorders>
            <w:noWrap/>
            <w:vAlign w:val="center"/>
            <w:hideMark/>
          </w:tcPr>
          <w:p w:rsidR="00A64028" w:rsidRPr="00577FE5" w:rsidRDefault="00A64028" w:rsidP="00103148">
            <w:pPr>
              <w:spacing w:after="0"/>
              <w:jc w:val="center"/>
              <w:rPr>
                <w:rFonts w:ascii="Arial Narrow" w:hAnsi="Arial Narrow"/>
                <w:sz w:val="20"/>
                <w:szCs w:val="20"/>
              </w:rPr>
            </w:pPr>
            <w:r w:rsidRPr="00577FE5">
              <w:rPr>
                <w:rFonts w:ascii="Arial Narrow" w:hAnsi="Arial Narrow"/>
                <w:sz w:val="20"/>
                <w:szCs w:val="20"/>
              </w:rPr>
              <w:t>45,0%</w:t>
            </w:r>
          </w:p>
        </w:tc>
        <w:tc>
          <w:tcPr>
            <w:tcW w:w="229" w:type="pct"/>
            <w:tcBorders>
              <w:top w:val="single" w:sz="4" w:space="0" w:color="auto"/>
              <w:left w:val="single" w:sz="4" w:space="0" w:color="auto"/>
              <w:bottom w:val="single" w:sz="4" w:space="0" w:color="auto"/>
              <w:right w:val="single" w:sz="4" w:space="0" w:color="auto"/>
            </w:tcBorders>
            <w:noWrap/>
            <w:vAlign w:val="center"/>
            <w:hideMark/>
          </w:tcPr>
          <w:p w:rsidR="00A64028" w:rsidRPr="00577FE5" w:rsidRDefault="00A64028" w:rsidP="00103148">
            <w:pPr>
              <w:spacing w:after="0"/>
              <w:jc w:val="center"/>
              <w:rPr>
                <w:rFonts w:ascii="Arial Narrow" w:hAnsi="Arial Narrow"/>
                <w:sz w:val="20"/>
                <w:szCs w:val="20"/>
              </w:rPr>
            </w:pPr>
            <w:r w:rsidRPr="00577FE5">
              <w:rPr>
                <w:rFonts w:ascii="Arial Narrow" w:hAnsi="Arial Narrow"/>
                <w:sz w:val="20"/>
                <w:szCs w:val="20"/>
              </w:rPr>
              <w:t>24,0%</w:t>
            </w:r>
          </w:p>
        </w:tc>
        <w:tc>
          <w:tcPr>
            <w:tcW w:w="229" w:type="pct"/>
            <w:tcBorders>
              <w:top w:val="single" w:sz="4" w:space="0" w:color="auto"/>
              <w:left w:val="single" w:sz="4" w:space="0" w:color="auto"/>
              <w:bottom w:val="single" w:sz="4" w:space="0" w:color="auto"/>
              <w:right w:val="single" w:sz="4" w:space="0" w:color="auto"/>
            </w:tcBorders>
            <w:noWrap/>
            <w:vAlign w:val="center"/>
            <w:hideMark/>
          </w:tcPr>
          <w:p w:rsidR="00A64028" w:rsidRPr="00577FE5" w:rsidRDefault="00A64028" w:rsidP="00103148">
            <w:pPr>
              <w:spacing w:after="0"/>
              <w:jc w:val="center"/>
              <w:rPr>
                <w:rFonts w:ascii="Arial Narrow" w:hAnsi="Arial Narrow"/>
                <w:sz w:val="20"/>
                <w:szCs w:val="20"/>
              </w:rPr>
            </w:pPr>
            <w:r w:rsidRPr="00577FE5">
              <w:rPr>
                <w:rFonts w:ascii="Arial Narrow" w:hAnsi="Arial Narrow"/>
                <w:sz w:val="20"/>
                <w:szCs w:val="20"/>
              </w:rPr>
              <w:t>48,0%</w:t>
            </w:r>
          </w:p>
        </w:tc>
        <w:tc>
          <w:tcPr>
            <w:tcW w:w="324" w:type="pct"/>
            <w:tcBorders>
              <w:top w:val="single" w:sz="4" w:space="0" w:color="auto"/>
              <w:left w:val="single" w:sz="4" w:space="0" w:color="auto"/>
              <w:bottom w:val="single" w:sz="4" w:space="0" w:color="auto"/>
              <w:right w:val="single" w:sz="4" w:space="0" w:color="auto"/>
            </w:tcBorders>
            <w:noWrap/>
            <w:vAlign w:val="center"/>
            <w:hideMark/>
          </w:tcPr>
          <w:p w:rsidR="00A64028" w:rsidRPr="00577FE5" w:rsidRDefault="00A64028" w:rsidP="00103148">
            <w:pPr>
              <w:spacing w:after="0"/>
              <w:jc w:val="center"/>
              <w:rPr>
                <w:rFonts w:ascii="Arial Narrow" w:hAnsi="Arial Narrow"/>
                <w:sz w:val="20"/>
                <w:szCs w:val="20"/>
              </w:rPr>
            </w:pPr>
            <w:r w:rsidRPr="00577FE5">
              <w:rPr>
                <w:rFonts w:ascii="Arial Narrow" w:hAnsi="Arial Narrow"/>
                <w:sz w:val="20"/>
                <w:szCs w:val="20"/>
              </w:rPr>
              <w:t>42,0%</w:t>
            </w:r>
          </w:p>
        </w:tc>
        <w:tc>
          <w:tcPr>
            <w:tcW w:w="286" w:type="pct"/>
            <w:tcBorders>
              <w:top w:val="single" w:sz="4" w:space="0" w:color="auto"/>
              <w:left w:val="single" w:sz="4" w:space="0" w:color="auto"/>
              <w:bottom w:val="single" w:sz="4" w:space="0" w:color="auto"/>
              <w:right w:val="single" w:sz="4" w:space="0" w:color="auto"/>
            </w:tcBorders>
            <w:noWrap/>
            <w:vAlign w:val="center"/>
            <w:hideMark/>
          </w:tcPr>
          <w:p w:rsidR="00A64028" w:rsidRPr="00577FE5" w:rsidRDefault="00A64028" w:rsidP="00103148">
            <w:pPr>
              <w:spacing w:after="0"/>
              <w:jc w:val="center"/>
              <w:rPr>
                <w:rFonts w:ascii="Arial Narrow" w:hAnsi="Arial Narrow"/>
                <w:sz w:val="20"/>
                <w:szCs w:val="20"/>
              </w:rPr>
            </w:pPr>
            <w:r w:rsidRPr="00577FE5">
              <w:rPr>
                <w:rFonts w:ascii="Arial Narrow" w:hAnsi="Arial Narrow"/>
                <w:sz w:val="20"/>
                <w:szCs w:val="20"/>
              </w:rPr>
              <w:t>20,0%</w:t>
            </w:r>
          </w:p>
        </w:tc>
      </w:tr>
      <w:tr w:rsidR="00A64028" w:rsidRPr="0051304D" w:rsidTr="00A64028">
        <w:tc>
          <w:tcPr>
            <w:tcW w:w="191" w:type="pct"/>
            <w:tcBorders>
              <w:top w:val="single" w:sz="4" w:space="0" w:color="auto"/>
              <w:left w:val="single" w:sz="4" w:space="0" w:color="auto"/>
              <w:bottom w:val="single" w:sz="4" w:space="0" w:color="auto"/>
              <w:right w:val="single" w:sz="4" w:space="0" w:color="auto"/>
            </w:tcBorders>
            <w:vAlign w:val="center"/>
          </w:tcPr>
          <w:p w:rsidR="00A64028" w:rsidRPr="0051304D" w:rsidRDefault="00A64028" w:rsidP="00103148">
            <w:pPr>
              <w:spacing w:after="0"/>
              <w:jc w:val="center"/>
              <w:rPr>
                <w:rFonts w:ascii="Arial Narrow" w:hAnsi="Arial Narrow" w:cs="Arial"/>
                <w:sz w:val="20"/>
                <w:szCs w:val="20"/>
              </w:rPr>
            </w:pPr>
          </w:p>
        </w:tc>
        <w:tc>
          <w:tcPr>
            <w:tcW w:w="1281" w:type="pct"/>
            <w:tcBorders>
              <w:top w:val="single" w:sz="4" w:space="0" w:color="auto"/>
              <w:left w:val="single" w:sz="4" w:space="0" w:color="auto"/>
              <w:bottom w:val="single" w:sz="4" w:space="0" w:color="auto"/>
              <w:right w:val="single" w:sz="4" w:space="0" w:color="auto"/>
            </w:tcBorders>
            <w:vAlign w:val="center"/>
            <w:hideMark/>
          </w:tcPr>
          <w:p w:rsidR="00A64028" w:rsidRPr="0051304D" w:rsidRDefault="00A64028" w:rsidP="00577FE5">
            <w:pPr>
              <w:spacing w:after="0"/>
              <w:ind w:left="129"/>
              <w:rPr>
                <w:rFonts w:ascii="Arial Narrow" w:hAnsi="Arial Narrow"/>
                <w:sz w:val="20"/>
                <w:szCs w:val="20"/>
              </w:rPr>
            </w:pPr>
            <w:r w:rsidRPr="0051304D">
              <w:rPr>
                <w:rFonts w:ascii="Arial Narrow" w:hAnsi="Arial Narrow"/>
                <w:sz w:val="20"/>
                <w:szCs w:val="20"/>
              </w:rPr>
              <w:t>Нет административных барьеров, %</w:t>
            </w:r>
          </w:p>
        </w:tc>
        <w:tc>
          <w:tcPr>
            <w:tcW w:w="304" w:type="pct"/>
            <w:tcBorders>
              <w:top w:val="single" w:sz="4" w:space="0" w:color="auto"/>
              <w:left w:val="single" w:sz="4" w:space="0" w:color="auto"/>
              <w:bottom w:val="single" w:sz="4" w:space="0" w:color="auto"/>
              <w:right w:val="single" w:sz="4" w:space="0" w:color="auto"/>
            </w:tcBorders>
            <w:noWrap/>
            <w:vAlign w:val="center"/>
            <w:hideMark/>
          </w:tcPr>
          <w:p w:rsidR="00A64028" w:rsidRPr="00577FE5" w:rsidRDefault="00A64028" w:rsidP="00103148">
            <w:pPr>
              <w:spacing w:after="0"/>
              <w:jc w:val="center"/>
              <w:rPr>
                <w:rFonts w:ascii="Arial Narrow" w:hAnsi="Arial Narrow"/>
                <w:sz w:val="20"/>
                <w:szCs w:val="20"/>
              </w:rPr>
            </w:pPr>
            <w:r w:rsidRPr="00577FE5">
              <w:rPr>
                <w:rFonts w:ascii="Arial Narrow" w:hAnsi="Arial Narrow"/>
                <w:sz w:val="20"/>
                <w:szCs w:val="20"/>
              </w:rPr>
              <w:t>57,6%</w:t>
            </w:r>
          </w:p>
        </w:tc>
        <w:tc>
          <w:tcPr>
            <w:tcW w:w="245" w:type="pct"/>
            <w:tcBorders>
              <w:top w:val="single" w:sz="4" w:space="0" w:color="auto"/>
              <w:left w:val="single" w:sz="4" w:space="0" w:color="auto"/>
              <w:bottom w:val="single" w:sz="4" w:space="0" w:color="auto"/>
              <w:right w:val="single" w:sz="4" w:space="0" w:color="auto"/>
            </w:tcBorders>
            <w:noWrap/>
            <w:vAlign w:val="center"/>
            <w:hideMark/>
          </w:tcPr>
          <w:p w:rsidR="00A64028" w:rsidRPr="00577FE5" w:rsidRDefault="00A64028" w:rsidP="00103148">
            <w:pPr>
              <w:spacing w:after="0"/>
              <w:jc w:val="center"/>
              <w:rPr>
                <w:rFonts w:ascii="Arial Narrow" w:hAnsi="Arial Narrow"/>
                <w:sz w:val="20"/>
                <w:szCs w:val="20"/>
              </w:rPr>
            </w:pPr>
            <w:r w:rsidRPr="00577FE5">
              <w:rPr>
                <w:rFonts w:ascii="Arial Narrow" w:hAnsi="Arial Narrow"/>
                <w:sz w:val="20"/>
                <w:szCs w:val="20"/>
              </w:rPr>
              <w:t>30,0%</w:t>
            </w:r>
          </w:p>
        </w:tc>
        <w:tc>
          <w:tcPr>
            <w:tcW w:w="229" w:type="pct"/>
            <w:tcBorders>
              <w:top w:val="single" w:sz="4" w:space="0" w:color="auto"/>
              <w:left w:val="single" w:sz="4" w:space="0" w:color="auto"/>
              <w:bottom w:val="single" w:sz="4" w:space="0" w:color="auto"/>
              <w:right w:val="single" w:sz="4" w:space="0" w:color="auto"/>
            </w:tcBorders>
            <w:noWrap/>
            <w:vAlign w:val="center"/>
            <w:hideMark/>
          </w:tcPr>
          <w:p w:rsidR="00A64028" w:rsidRPr="00577FE5" w:rsidRDefault="00A64028" w:rsidP="00103148">
            <w:pPr>
              <w:spacing w:after="0"/>
              <w:jc w:val="center"/>
              <w:rPr>
                <w:rFonts w:ascii="Arial Narrow" w:hAnsi="Arial Narrow"/>
                <w:sz w:val="20"/>
                <w:szCs w:val="20"/>
              </w:rPr>
            </w:pPr>
            <w:r w:rsidRPr="00577FE5">
              <w:rPr>
                <w:rFonts w:ascii="Arial Narrow" w:hAnsi="Arial Narrow"/>
                <w:sz w:val="20"/>
                <w:szCs w:val="20"/>
              </w:rPr>
              <w:t>60,0%</w:t>
            </w:r>
          </w:p>
        </w:tc>
        <w:tc>
          <w:tcPr>
            <w:tcW w:w="229" w:type="pct"/>
            <w:tcBorders>
              <w:top w:val="single" w:sz="4" w:space="0" w:color="auto"/>
              <w:left w:val="single" w:sz="4" w:space="0" w:color="auto"/>
              <w:bottom w:val="single" w:sz="4" w:space="0" w:color="auto"/>
              <w:right w:val="single" w:sz="4" w:space="0" w:color="auto"/>
            </w:tcBorders>
            <w:noWrap/>
            <w:vAlign w:val="center"/>
            <w:hideMark/>
          </w:tcPr>
          <w:p w:rsidR="00A64028" w:rsidRPr="00577FE5" w:rsidRDefault="00A64028" w:rsidP="00103148">
            <w:pPr>
              <w:spacing w:after="0"/>
              <w:jc w:val="center"/>
              <w:rPr>
                <w:rFonts w:ascii="Arial Narrow" w:hAnsi="Arial Narrow"/>
                <w:sz w:val="20"/>
                <w:szCs w:val="20"/>
              </w:rPr>
            </w:pPr>
            <w:r w:rsidRPr="00577FE5">
              <w:rPr>
                <w:rFonts w:ascii="Arial Narrow" w:hAnsi="Arial Narrow"/>
                <w:sz w:val="20"/>
                <w:szCs w:val="20"/>
              </w:rPr>
              <w:t>68,0%</w:t>
            </w:r>
          </w:p>
        </w:tc>
        <w:tc>
          <w:tcPr>
            <w:tcW w:w="229" w:type="pct"/>
            <w:tcBorders>
              <w:top w:val="single" w:sz="4" w:space="0" w:color="auto"/>
              <w:left w:val="single" w:sz="4" w:space="0" w:color="auto"/>
              <w:bottom w:val="single" w:sz="4" w:space="0" w:color="auto"/>
              <w:right w:val="single" w:sz="4" w:space="0" w:color="auto"/>
            </w:tcBorders>
            <w:noWrap/>
            <w:vAlign w:val="center"/>
            <w:hideMark/>
          </w:tcPr>
          <w:p w:rsidR="00A64028" w:rsidRPr="00577FE5" w:rsidRDefault="00A64028" w:rsidP="00103148">
            <w:pPr>
              <w:spacing w:after="0"/>
              <w:jc w:val="center"/>
              <w:rPr>
                <w:rFonts w:ascii="Arial Narrow" w:hAnsi="Arial Narrow"/>
                <w:sz w:val="20"/>
                <w:szCs w:val="20"/>
              </w:rPr>
            </w:pPr>
            <w:r w:rsidRPr="00577FE5">
              <w:rPr>
                <w:rFonts w:ascii="Arial Narrow" w:hAnsi="Arial Narrow"/>
                <w:sz w:val="20"/>
                <w:szCs w:val="20"/>
              </w:rPr>
              <w:t>50,0%</w:t>
            </w:r>
          </w:p>
        </w:tc>
        <w:tc>
          <w:tcPr>
            <w:tcW w:w="255" w:type="pct"/>
            <w:tcBorders>
              <w:top w:val="single" w:sz="4" w:space="0" w:color="auto"/>
              <w:left w:val="single" w:sz="4" w:space="0" w:color="auto"/>
              <w:bottom w:val="single" w:sz="4" w:space="0" w:color="auto"/>
              <w:right w:val="single" w:sz="4" w:space="0" w:color="auto"/>
            </w:tcBorders>
            <w:noWrap/>
            <w:vAlign w:val="center"/>
            <w:hideMark/>
          </w:tcPr>
          <w:p w:rsidR="00A64028" w:rsidRPr="00577FE5" w:rsidRDefault="00A64028" w:rsidP="00103148">
            <w:pPr>
              <w:spacing w:after="0"/>
              <w:jc w:val="center"/>
              <w:rPr>
                <w:rFonts w:ascii="Arial Narrow" w:hAnsi="Arial Narrow"/>
                <w:sz w:val="20"/>
                <w:szCs w:val="20"/>
              </w:rPr>
            </w:pPr>
            <w:r w:rsidRPr="00577FE5">
              <w:rPr>
                <w:rFonts w:ascii="Arial Narrow" w:hAnsi="Arial Narrow"/>
                <w:sz w:val="20"/>
                <w:szCs w:val="20"/>
              </w:rPr>
              <w:t>44,0%</w:t>
            </w:r>
          </w:p>
        </w:tc>
        <w:tc>
          <w:tcPr>
            <w:tcW w:w="229" w:type="pct"/>
            <w:tcBorders>
              <w:top w:val="single" w:sz="4" w:space="0" w:color="auto"/>
              <w:left w:val="single" w:sz="4" w:space="0" w:color="auto"/>
              <w:bottom w:val="single" w:sz="4" w:space="0" w:color="auto"/>
              <w:right w:val="single" w:sz="4" w:space="0" w:color="auto"/>
            </w:tcBorders>
            <w:noWrap/>
            <w:vAlign w:val="center"/>
            <w:hideMark/>
          </w:tcPr>
          <w:p w:rsidR="00A64028" w:rsidRPr="00577FE5" w:rsidRDefault="00A64028" w:rsidP="00103148">
            <w:pPr>
              <w:spacing w:after="0"/>
              <w:jc w:val="center"/>
              <w:rPr>
                <w:rFonts w:ascii="Arial Narrow" w:hAnsi="Arial Narrow"/>
                <w:sz w:val="20"/>
                <w:szCs w:val="20"/>
              </w:rPr>
            </w:pPr>
            <w:r w:rsidRPr="00577FE5">
              <w:rPr>
                <w:rFonts w:ascii="Arial Narrow" w:hAnsi="Arial Narrow"/>
                <w:sz w:val="20"/>
                <w:szCs w:val="20"/>
              </w:rPr>
              <w:t>68,0%</w:t>
            </w:r>
          </w:p>
        </w:tc>
        <w:tc>
          <w:tcPr>
            <w:tcW w:w="229" w:type="pct"/>
            <w:tcBorders>
              <w:top w:val="single" w:sz="4" w:space="0" w:color="auto"/>
              <w:left w:val="single" w:sz="4" w:space="0" w:color="auto"/>
              <w:bottom w:val="single" w:sz="4" w:space="0" w:color="auto"/>
              <w:right w:val="single" w:sz="4" w:space="0" w:color="auto"/>
            </w:tcBorders>
            <w:noWrap/>
            <w:vAlign w:val="center"/>
            <w:hideMark/>
          </w:tcPr>
          <w:p w:rsidR="00A64028" w:rsidRPr="00577FE5" w:rsidRDefault="00A64028" w:rsidP="00103148">
            <w:pPr>
              <w:spacing w:after="0"/>
              <w:jc w:val="center"/>
              <w:rPr>
                <w:rFonts w:ascii="Arial Narrow" w:hAnsi="Arial Narrow"/>
                <w:sz w:val="20"/>
                <w:szCs w:val="20"/>
              </w:rPr>
            </w:pPr>
            <w:r w:rsidRPr="00577FE5">
              <w:rPr>
                <w:rFonts w:ascii="Arial Narrow" w:hAnsi="Arial Narrow"/>
                <w:sz w:val="20"/>
                <w:szCs w:val="20"/>
              </w:rPr>
              <w:t>41,4%</w:t>
            </w:r>
          </w:p>
        </w:tc>
        <w:tc>
          <w:tcPr>
            <w:tcW w:w="255" w:type="pct"/>
            <w:tcBorders>
              <w:top w:val="single" w:sz="4" w:space="0" w:color="auto"/>
              <w:left w:val="single" w:sz="4" w:space="0" w:color="auto"/>
              <w:bottom w:val="single" w:sz="4" w:space="0" w:color="auto"/>
              <w:right w:val="single" w:sz="4" w:space="0" w:color="auto"/>
            </w:tcBorders>
            <w:noWrap/>
            <w:vAlign w:val="center"/>
            <w:hideMark/>
          </w:tcPr>
          <w:p w:rsidR="00A64028" w:rsidRPr="00577FE5" w:rsidRDefault="00A64028" w:rsidP="00103148">
            <w:pPr>
              <w:spacing w:after="0"/>
              <w:jc w:val="center"/>
              <w:rPr>
                <w:rFonts w:ascii="Arial Narrow" w:hAnsi="Arial Narrow"/>
                <w:sz w:val="20"/>
                <w:szCs w:val="20"/>
              </w:rPr>
            </w:pPr>
            <w:r w:rsidRPr="00577FE5">
              <w:rPr>
                <w:rFonts w:ascii="Arial Narrow" w:hAnsi="Arial Narrow"/>
                <w:sz w:val="20"/>
                <w:szCs w:val="20"/>
              </w:rPr>
              <w:t>64,4%</w:t>
            </w:r>
          </w:p>
        </w:tc>
        <w:tc>
          <w:tcPr>
            <w:tcW w:w="256" w:type="pct"/>
            <w:tcBorders>
              <w:top w:val="single" w:sz="4" w:space="0" w:color="auto"/>
              <w:left w:val="single" w:sz="4" w:space="0" w:color="auto"/>
              <w:bottom w:val="single" w:sz="4" w:space="0" w:color="auto"/>
              <w:right w:val="single" w:sz="4" w:space="0" w:color="auto"/>
            </w:tcBorders>
            <w:noWrap/>
            <w:vAlign w:val="center"/>
            <w:hideMark/>
          </w:tcPr>
          <w:p w:rsidR="00A64028" w:rsidRPr="00577FE5" w:rsidRDefault="00A64028" w:rsidP="00103148">
            <w:pPr>
              <w:spacing w:after="0"/>
              <w:jc w:val="center"/>
              <w:rPr>
                <w:rFonts w:ascii="Arial Narrow" w:hAnsi="Arial Narrow"/>
                <w:sz w:val="20"/>
                <w:szCs w:val="20"/>
              </w:rPr>
            </w:pPr>
            <w:r w:rsidRPr="00577FE5">
              <w:rPr>
                <w:rFonts w:ascii="Arial Narrow" w:hAnsi="Arial Narrow"/>
                <w:sz w:val="20"/>
                <w:szCs w:val="20"/>
              </w:rPr>
              <w:t>55,0%</w:t>
            </w:r>
          </w:p>
        </w:tc>
        <w:tc>
          <w:tcPr>
            <w:tcW w:w="229" w:type="pct"/>
            <w:tcBorders>
              <w:top w:val="single" w:sz="4" w:space="0" w:color="auto"/>
              <w:left w:val="single" w:sz="4" w:space="0" w:color="auto"/>
              <w:bottom w:val="single" w:sz="4" w:space="0" w:color="auto"/>
              <w:right w:val="single" w:sz="4" w:space="0" w:color="auto"/>
            </w:tcBorders>
            <w:noWrap/>
            <w:vAlign w:val="center"/>
            <w:hideMark/>
          </w:tcPr>
          <w:p w:rsidR="00A64028" w:rsidRPr="00577FE5" w:rsidRDefault="00A64028" w:rsidP="00103148">
            <w:pPr>
              <w:spacing w:after="0"/>
              <w:jc w:val="center"/>
              <w:rPr>
                <w:rFonts w:ascii="Arial Narrow" w:hAnsi="Arial Narrow"/>
                <w:sz w:val="20"/>
                <w:szCs w:val="20"/>
              </w:rPr>
            </w:pPr>
            <w:r w:rsidRPr="00577FE5">
              <w:rPr>
                <w:rFonts w:ascii="Arial Narrow" w:hAnsi="Arial Narrow"/>
                <w:sz w:val="20"/>
                <w:szCs w:val="20"/>
              </w:rPr>
              <w:t>76,0%</w:t>
            </w:r>
          </w:p>
        </w:tc>
        <w:tc>
          <w:tcPr>
            <w:tcW w:w="229" w:type="pct"/>
            <w:tcBorders>
              <w:top w:val="single" w:sz="4" w:space="0" w:color="auto"/>
              <w:left w:val="single" w:sz="4" w:space="0" w:color="auto"/>
              <w:bottom w:val="single" w:sz="4" w:space="0" w:color="auto"/>
              <w:right w:val="single" w:sz="4" w:space="0" w:color="auto"/>
            </w:tcBorders>
            <w:noWrap/>
            <w:vAlign w:val="center"/>
            <w:hideMark/>
          </w:tcPr>
          <w:p w:rsidR="00A64028" w:rsidRPr="00577FE5" w:rsidRDefault="00A64028" w:rsidP="00103148">
            <w:pPr>
              <w:spacing w:after="0"/>
              <w:jc w:val="center"/>
              <w:rPr>
                <w:rFonts w:ascii="Arial Narrow" w:hAnsi="Arial Narrow"/>
                <w:sz w:val="20"/>
                <w:szCs w:val="20"/>
              </w:rPr>
            </w:pPr>
            <w:r w:rsidRPr="00577FE5">
              <w:rPr>
                <w:rFonts w:ascii="Arial Narrow" w:hAnsi="Arial Narrow"/>
                <w:sz w:val="20"/>
                <w:szCs w:val="20"/>
              </w:rPr>
              <w:t>52,0%</w:t>
            </w:r>
          </w:p>
        </w:tc>
        <w:tc>
          <w:tcPr>
            <w:tcW w:w="324" w:type="pct"/>
            <w:tcBorders>
              <w:top w:val="single" w:sz="4" w:space="0" w:color="auto"/>
              <w:left w:val="single" w:sz="4" w:space="0" w:color="auto"/>
              <w:bottom w:val="single" w:sz="4" w:space="0" w:color="auto"/>
              <w:right w:val="single" w:sz="4" w:space="0" w:color="auto"/>
            </w:tcBorders>
            <w:noWrap/>
            <w:vAlign w:val="center"/>
            <w:hideMark/>
          </w:tcPr>
          <w:p w:rsidR="00A64028" w:rsidRPr="00577FE5" w:rsidRDefault="00A64028" w:rsidP="00103148">
            <w:pPr>
              <w:spacing w:after="0"/>
              <w:jc w:val="center"/>
              <w:rPr>
                <w:rFonts w:ascii="Arial Narrow" w:hAnsi="Arial Narrow"/>
                <w:sz w:val="20"/>
                <w:szCs w:val="20"/>
              </w:rPr>
            </w:pPr>
            <w:r w:rsidRPr="00577FE5">
              <w:rPr>
                <w:rFonts w:ascii="Arial Narrow" w:hAnsi="Arial Narrow"/>
                <w:sz w:val="20"/>
                <w:szCs w:val="20"/>
              </w:rPr>
              <w:t>58,0%</w:t>
            </w:r>
          </w:p>
        </w:tc>
        <w:tc>
          <w:tcPr>
            <w:tcW w:w="286" w:type="pct"/>
            <w:tcBorders>
              <w:top w:val="single" w:sz="4" w:space="0" w:color="auto"/>
              <w:left w:val="single" w:sz="4" w:space="0" w:color="auto"/>
              <w:bottom w:val="single" w:sz="4" w:space="0" w:color="auto"/>
              <w:right w:val="single" w:sz="4" w:space="0" w:color="auto"/>
            </w:tcBorders>
            <w:noWrap/>
            <w:vAlign w:val="center"/>
            <w:hideMark/>
          </w:tcPr>
          <w:p w:rsidR="00A64028" w:rsidRPr="00577FE5" w:rsidRDefault="00A64028" w:rsidP="00103148">
            <w:pPr>
              <w:spacing w:after="0"/>
              <w:jc w:val="center"/>
              <w:rPr>
                <w:rFonts w:ascii="Arial Narrow" w:hAnsi="Arial Narrow"/>
                <w:sz w:val="20"/>
                <w:szCs w:val="20"/>
              </w:rPr>
            </w:pPr>
            <w:r w:rsidRPr="00577FE5">
              <w:rPr>
                <w:rFonts w:ascii="Arial Narrow" w:hAnsi="Arial Narrow"/>
                <w:sz w:val="20"/>
                <w:szCs w:val="20"/>
              </w:rPr>
              <w:t>80,0%</w:t>
            </w:r>
          </w:p>
        </w:tc>
      </w:tr>
    </w:tbl>
    <w:p w:rsidR="00A64028" w:rsidRPr="0051304D" w:rsidRDefault="00A64028" w:rsidP="00103148">
      <w:pPr>
        <w:spacing w:after="0"/>
        <w:jc w:val="both"/>
        <w:rPr>
          <w:rFonts w:ascii="Arial Narrow" w:hAnsi="Arial Narrow"/>
          <w:sz w:val="24"/>
          <w:szCs w:val="24"/>
        </w:rPr>
      </w:pPr>
    </w:p>
    <w:p w:rsidR="00A64028" w:rsidRPr="0051304D" w:rsidRDefault="00A64028" w:rsidP="00103148">
      <w:pPr>
        <w:spacing w:after="0" w:line="360" w:lineRule="auto"/>
        <w:ind w:firstLine="567"/>
        <w:jc w:val="both"/>
        <w:rPr>
          <w:rFonts w:ascii="Arial Narrow" w:hAnsi="Arial Narrow"/>
          <w:sz w:val="24"/>
          <w:szCs w:val="24"/>
        </w:rPr>
      </w:pPr>
      <w:r w:rsidRPr="0051304D">
        <w:rPr>
          <w:rFonts w:ascii="Arial Narrow" w:hAnsi="Arial Narrow"/>
          <w:b/>
          <w:sz w:val="24"/>
          <w:szCs w:val="24"/>
        </w:rPr>
        <w:t>Значение показателя 1.4.2. Распространенность указанных барьеров (% от числа опрошенных).</w:t>
      </w:r>
    </w:p>
    <w:p w:rsidR="00A64028" w:rsidRPr="0051304D" w:rsidRDefault="00A64028" w:rsidP="00103148">
      <w:pPr>
        <w:spacing w:after="0" w:line="360" w:lineRule="auto"/>
        <w:ind w:firstLine="567"/>
        <w:jc w:val="both"/>
        <w:rPr>
          <w:rFonts w:ascii="Arial Narrow" w:eastAsia="Calibri" w:hAnsi="Arial Narrow"/>
          <w:sz w:val="24"/>
          <w:szCs w:val="24"/>
        </w:rPr>
      </w:pPr>
      <w:r w:rsidRPr="0051304D">
        <w:rPr>
          <w:rFonts w:ascii="Arial Narrow" w:eastAsia="Calibri" w:hAnsi="Arial Narrow"/>
          <w:sz w:val="24"/>
          <w:szCs w:val="24"/>
        </w:rPr>
        <w:t xml:space="preserve">Среди различных </w:t>
      </w:r>
      <w:r w:rsidRPr="0051304D">
        <w:rPr>
          <w:rFonts w:ascii="Arial Narrow" w:eastAsia="Calibri" w:hAnsi="Arial Narrow"/>
          <w:b/>
          <w:sz w:val="24"/>
          <w:szCs w:val="24"/>
        </w:rPr>
        <w:t>видов административных барьеров</w:t>
      </w:r>
      <w:r w:rsidRPr="0051304D">
        <w:rPr>
          <w:rFonts w:ascii="Arial Narrow" w:eastAsia="Calibri" w:hAnsi="Arial Narrow"/>
          <w:sz w:val="24"/>
          <w:szCs w:val="24"/>
        </w:rPr>
        <w:t xml:space="preserve"> наиболее распространены нестабильность законодательства, регулирующего предпринимательскую деятельность (отметили </w:t>
      </w:r>
      <w:r w:rsidRPr="0051304D">
        <w:rPr>
          <w:rFonts w:ascii="Arial Narrow" w:eastAsia="Calibri" w:hAnsi="Arial Narrow"/>
          <w:sz w:val="24"/>
          <w:szCs w:val="24"/>
        </w:rPr>
        <w:lastRenderedPageBreak/>
        <w:t>24,9 %), сложность, затянутость процедуры получения лицензий, средств государственной поддержки, разрешений, согласований и т. д. (отметили 19,1 %), ограничение, сложность доступа к закупкам компаний с госучастием и субъектов естественных монополий (отметили 14,1 %).</w:t>
      </w:r>
    </w:p>
    <w:p w:rsidR="00A64028" w:rsidRPr="0051304D" w:rsidRDefault="00A64028" w:rsidP="00103148">
      <w:pPr>
        <w:spacing w:after="0" w:line="360" w:lineRule="auto"/>
        <w:ind w:firstLine="567"/>
        <w:jc w:val="both"/>
        <w:rPr>
          <w:rFonts w:ascii="Arial Narrow" w:eastAsia="Calibri" w:hAnsi="Arial Narrow"/>
          <w:sz w:val="24"/>
          <w:szCs w:val="24"/>
        </w:rPr>
      </w:pPr>
      <w:r w:rsidRPr="0051304D">
        <w:rPr>
          <w:rFonts w:ascii="Arial Narrow" w:eastAsia="Calibri" w:hAnsi="Arial Narrow"/>
          <w:b/>
          <w:sz w:val="24"/>
          <w:szCs w:val="24"/>
        </w:rPr>
        <w:t>Нестабильность законодательства</w:t>
      </w:r>
      <w:r w:rsidRPr="0051304D">
        <w:rPr>
          <w:rFonts w:ascii="Arial Narrow" w:eastAsia="Calibri" w:hAnsi="Arial Narrow"/>
          <w:sz w:val="24"/>
          <w:szCs w:val="24"/>
        </w:rPr>
        <w:t xml:space="preserve"> более всего беспокоит представителей рынков ЖКХ (</w:t>
      </w:r>
      <w:r w:rsidRPr="0051304D">
        <w:rPr>
          <w:rFonts w:ascii="Arial Narrow" w:hAnsi="Arial Narrow"/>
          <w:sz w:val="24"/>
          <w:szCs w:val="24"/>
        </w:rPr>
        <w:t>41,4 %)</w:t>
      </w:r>
      <w:r w:rsidRPr="0051304D">
        <w:rPr>
          <w:rFonts w:ascii="Arial Narrow" w:eastAsia="Calibri" w:hAnsi="Arial Narrow"/>
          <w:sz w:val="24"/>
          <w:szCs w:val="24"/>
        </w:rPr>
        <w:t xml:space="preserve"> и медицинских услуг (</w:t>
      </w:r>
      <w:r w:rsidRPr="0051304D">
        <w:rPr>
          <w:rFonts w:ascii="Arial Narrow" w:hAnsi="Arial Narrow"/>
          <w:sz w:val="24"/>
          <w:szCs w:val="24"/>
        </w:rPr>
        <w:t>31,4 %</w:t>
      </w:r>
      <w:r w:rsidRPr="0051304D">
        <w:rPr>
          <w:rFonts w:ascii="Arial Narrow" w:eastAsia="Calibri" w:hAnsi="Arial Narrow"/>
          <w:sz w:val="24"/>
          <w:szCs w:val="24"/>
        </w:rPr>
        <w:t xml:space="preserve">), </w:t>
      </w:r>
      <w:r w:rsidRPr="0051304D">
        <w:rPr>
          <w:rFonts w:ascii="Arial Narrow" w:eastAsia="Calibri" w:hAnsi="Arial Narrow"/>
          <w:b/>
          <w:sz w:val="24"/>
          <w:szCs w:val="24"/>
        </w:rPr>
        <w:t>сложность, затянутость процедуры получения лицензий, средств государственной поддержки, разрешений, согласований и т. д.</w:t>
      </w:r>
      <w:r w:rsidRPr="0051304D">
        <w:rPr>
          <w:rFonts w:ascii="Arial Narrow" w:eastAsia="Calibri" w:hAnsi="Arial Narrow"/>
          <w:sz w:val="24"/>
          <w:szCs w:val="24"/>
        </w:rPr>
        <w:t xml:space="preserve"> чаще остальных отмечают представители рынка медицинских услуг (42,9 %), </w:t>
      </w:r>
      <w:r w:rsidRPr="0051304D">
        <w:rPr>
          <w:rFonts w:ascii="Arial Narrow" w:eastAsia="Calibri" w:hAnsi="Arial Narrow"/>
          <w:b/>
          <w:sz w:val="24"/>
          <w:szCs w:val="24"/>
        </w:rPr>
        <w:t>сложность доступа к закупкам компаний с госучастием и субъектов естественных монополий</w:t>
      </w:r>
      <w:r w:rsidRPr="0051304D">
        <w:rPr>
          <w:rFonts w:ascii="Arial Narrow" w:eastAsia="Calibri" w:hAnsi="Arial Narrow"/>
          <w:sz w:val="24"/>
          <w:szCs w:val="24"/>
        </w:rPr>
        <w:t xml:space="preserve"> более характерна для рынка услуг связи (16,0 %). Распространенность </w:t>
      </w:r>
      <w:r w:rsidRPr="0051304D">
        <w:rPr>
          <w:rFonts w:ascii="Arial Narrow" w:eastAsia="Calibri" w:hAnsi="Arial Narrow"/>
          <w:b/>
          <w:sz w:val="24"/>
          <w:szCs w:val="24"/>
        </w:rPr>
        <w:t>проблемы коррупции</w:t>
      </w:r>
      <w:r w:rsidRPr="0051304D">
        <w:rPr>
          <w:rFonts w:ascii="Arial Narrow" w:eastAsia="Calibri" w:hAnsi="Arial Narrow"/>
          <w:sz w:val="24"/>
          <w:szCs w:val="24"/>
        </w:rPr>
        <w:t xml:space="preserve"> (отметили 12,4 % опрошенных) повышена среди участников рынков услуг перевозок пассажиров наземным транспортом (</w:t>
      </w:r>
      <w:r w:rsidRPr="0051304D">
        <w:rPr>
          <w:rFonts w:ascii="Arial Narrow" w:hAnsi="Arial Narrow"/>
          <w:sz w:val="24"/>
          <w:szCs w:val="24"/>
        </w:rPr>
        <w:t>21,7 %)</w:t>
      </w:r>
      <w:r w:rsidRPr="0051304D">
        <w:rPr>
          <w:rFonts w:ascii="Arial Narrow" w:eastAsia="Calibri" w:hAnsi="Arial Narrow"/>
          <w:sz w:val="24"/>
          <w:szCs w:val="24"/>
        </w:rPr>
        <w:t>, услуг ЖКХ (</w:t>
      </w:r>
      <w:r w:rsidRPr="0051304D">
        <w:rPr>
          <w:rFonts w:ascii="Arial Narrow" w:hAnsi="Arial Narrow"/>
          <w:sz w:val="24"/>
          <w:szCs w:val="24"/>
        </w:rPr>
        <w:t>21,4 %)</w:t>
      </w:r>
      <w:r w:rsidRPr="0051304D">
        <w:rPr>
          <w:rFonts w:ascii="Arial Narrow" w:eastAsia="Calibri" w:hAnsi="Arial Narrow"/>
          <w:sz w:val="24"/>
          <w:szCs w:val="24"/>
        </w:rPr>
        <w:t xml:space="preserve"> и услуг дошкольного образования (</w:t>
      </w:r>
      <w:r w:rsidRPr="0051304D">
        <w:rPr>
          <w:rFonts w:ascii="Arial Narrow" w:hAnsi="Arial Narrow"/>
          <w:sz w:val="24"/>
          <w:szCs w:val="24"/>
        </w:rPr>
        <w:t>20,0 %</w:t>
      </w:r>
      <w:r w:rsidRPr="0051304D">
        <w:rPr>
          <w:rFonts w:ascii="Arial Narrow" w:eastAsia="Calibri" w:hAnsi="Arial Narrow"/>
          <w:sz w:val="24"/>
          <w:szCs w:val="24"/>
        </w:rPr>
        <w:t xml:space="preserve">). </w:t>
      </w:r>
      <w:r w:rsidRPr="0051304D">
        <w:rPr>
          <w:rFonts w:ascii="Arial Narrow" w:eastAsia="Calibri" w:hAnsi="Arial Narrow"/>
          <w:b/>
          <w:sz w:val="24"/>
          <w:szCs w:val="24"/>
        </w:rPr>
        <w:t>Сложность получения доступа к земельным участкам</w:t>
      </w:r>
      <w:r w:rsidRPr="0051304D">
        <w:rPr>
          <w:rFonts w:ascii="Arial Narrow" w:eastAsia="Calibri" w:hAnsi="Arial Narrow"/>
          <w:sz w:val="24"/>
          <w:szCs w:val="24"/>
        </w:rPr>
        <w:t xml:space="preserve"> (отметили 10 % опрошенных) специфична для рынков услуг по сбору, сортировке и переработке твердых коммунальных отходов (20,0 %), развития, производства, переработки и хранения с</w:t>
      </w:r>
      <w:r w:rsidRPr="0051304D">
        <w:rPr>
          <w:rFonts w:ascii="Arial" w:eastAsia="Calibri" w:hAnsi="Arial" w:cs="Arial"/>
          <w:sz w:val="24"/>
          <w:szCs w:val="24"/>
        </w:rPr>
        <w:t>‎</w:t>
      </w:r>
      <w:r w:rsidRPr="0051304D">
        <w:rPr>
          <w:rFonts w:ascii="Arial Narrow" w:eastAsia="Calibri" w:hAnsi="Arial Narrow" w:cs="Arial Narrow"/>
          <w:sz w:val="24"/>
          <w:szCs w:val="24"/>
        </w:rPr>
        <w:t>/х продукции (17,0 %), дополнительного образования детей (16,0 %).</w:t>
      </w:r>
    </w:p>
    <w:p w:rsidR="00A64028" w:rsidRPr="0051304D" w:rsidRDefault="00A64028" w:rsidP="00103148">
      <w:pPr>
        <w:spacing w:after="0"/>
        <w:jc w:val="both"/>
        <w:rPr>
          <w:rFonts w:ascii="Arial Narrow" w:eastAsia="Calibri" w:hAnsi="Arial Narrow"/>
          <w:sz w:val="24"/>
          <w:szCs w:val="24"/>
        </w:rPr>
      </w:pPr>
    </w:p>
    <w:p w:rsidR="00A64028" w:rsidRPr="0051304D" w:rsidRDefault="00A64028" w:rsidP="00103148">
      <w:pPr>
        <w:spacing w:after="0"/>
        <w:rPr>
          <w:rFonts w:ascii="Arial Narrow" w:hAnsi="Arial Narrow"/>
          <w:b/>
          <w:sz w:val="24"/>
          <w:szCs w:val="24"/>
        </w:rPr>
      </w:pPr>
      <w:r w:rsidRPr="0051304D">
        <w:rPr>
          <w:rFonts w:ascii="Arial Narrow" w:eastAsia="Calibri" w:hAnsi="Arial Narrow"/>
          <w:sz w:val="24"/>
          <w:szCs w:val="24"/>
        </w:rPr>
        <w:t>Таблица</w:t>
      </w:r>
      <w:r w:rsidR="00577FE5">
        <w:rPr>
          <w:rFonts w:ascii="Arial Narrow" w:eastAsia="Calibri" w:hAnsi="Arial Narrow"/>
          <w:sz w:val="24"/>
          <w:szCs w:val="24"/>
        </w:rPr>
        <w:t xml:space="preserve"> </w:t>
      </w:r>
      <w:r w:rsidR="00262F71">
        <w:rPr>
          <w:rFonts w:ascii="Arial Narrow" w:eastAsia="Calibri" w:hAnsi="Arial Narrow"/>
          <w:sz w:val="24"/>
          <w:szCs w:val="24"/>
        </w:rPr>
        <w:t>7.29</w:t>
      </w:r>
      <w:r w:rsidRPr="0051304D">
        <w:rPr>
          <w:rFonts w:ascii="Arial Narrow" w:eastAsia="Calibri" w:hAnsi="Arial Narrow"/>
          <w:sz w:val="24"/>
          <w:szCs w:val="24"/>
        </w:rPr>
        <w:t xml:space="preserve">. – </w:t>
      </w:r>
      <w:r w:rsidRPr="0051304D">
        <w:rPr>
          <w:rFonts w:ascii="Arial Narrow" w:hAnsi="Arial Narrow"/>
          <w:b/>
          <w:sz w:val="24"/>
          <w:szCs w:val="24"/>
        </w:rPr>
        <w:t>Значение показателя 1.4.2. Распространенность указанных барьеров (% от числа опрошенных)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05"/>
        <w:gridCol w:w="1556"/>
        <w:gridCol w:w="555"/>
        <w:gridCol w:w="555"/>
        <w:gridCol w:w="556"/>
        <w:gridCol w:w="556"/>
        <w:gridCol w:w="493"/>
        <w:gridCol w:w="619"/>
        <w:gridCol w:w="556"/>
        <w:gridCol w:w="556"/>
        <w:gridCol w:w="556"/>
        <w:gridCol w:w="556"/>
        <w:gridCol w:w="556"/>
        <w:gridCol w:w="556"/>
        <w:gridCol w:w="556"/>
        <w:gridCol w:w="566"/>
      </w:tblGrid>
      <w:tr w:rsidR="00A64028" w:rsidRPr="00086001" w:rsidTr="00EB3EA8">
        <w:trPr>
          <w:cantSplit/>
          <w:trHeight w:val="3375"/>
          <w:tblHeader/>
        </w:trPr>
        <w:tc>
          <w:tcPr>
            <w:tcW w:w="257" w:type="pct"/>
            <w:tcBorders>
              <w:top w:val="single" w:sz="4" w:space="0" w:color="auto"/>
              <w:left w:val="single" w:sz="4" w:space="0" w:color="auto"/>
              <w:bottom w:val="single" w:sz="4" w:space="0" w:color="auto"/>
              <w:right w:val="single" w:sz="4" w:space="0" w:color="auto"/>
            </w:tcBorders>
            <w:noWrap/>
            <w:vAlign w:val="center"/>
            <w:hideMark/>
          </w:tcPr>
          <w:p w:rsidR="00A64028" w:rsidRPr="00086001" w:rsidRDefault="00A64028" w:rsidP="00086001">
            <w:pPr>
              <w:spacing w:after="0" w:line="240" w:lineRule="auto"/>
              <w:jc w:val="center"/>
              <w:rPr>
                <w:rFonts w:ascii="Arial Narrow" w:hAnsi="Arial Narrow" w:cs="Arial"/>
                <w:sz w:val="18"/>
                <w:szCs w:val="18"/>
              </w:rPr>
            </w:pPr>
            <w:r w:rsidRPr="00086001">
              <w:rPr>
                <w:rFonts w:ascii="Arial Narrow" w:hAnsi="Arial Narrow" w:cs="Arial"/>
                <w:sz w:val="18"/>
                <w:szCs w:val="18"/>
              </w:rPr>
              <w:t>№</w:t>
            </w:r>
          </w:p>
        </w:tc>
        <w:tc>
          <w:tcPr>
            <w:tcW w:w="79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086001" w:rsidRDefault="00A64028" w:rsidP="00086001">
            <w:pPr>
              <w:spacing w:after="0" w:line="240" w:lineRule="auto"/>
              <w:ind w:right="141"/>
              <w:rPr>
                <w:rFonts w:ascii="Arial Narrow" w:hAnsi="Arial Narrow" w:cs="Arial"/>
                <w:sz w:val="18"/>
                <w:szCs w:val="18"/>
              </w:rPr>
            </w:pPr>
            <w:r w:rsidRPr="00086001">
              <w:rPr>
                <w:rFonts w:ascii="Arial Narrow" w:hAnsi="Arial Narrow" w:cs="Arial"/>
                <w:sz w:val="18"/>
                <w:szCs w:val="18"/>
              </w:rPr>
              <w:t>Наименование показателя, единица измерения</w:t>
            </w:r>
          </w:p>
        </w:tc>
        <w:tc>
          <w:tcPr>
            <w:tcW w:w="282" w:type="pct"/>
            <w:tcBorders>
              <w:top w:val="single" w:sz="4" w:space="0" w:color="auto"/>
              <w:left w:val="single" w:sz="4" w:space="0" w:color="auto"/>
              <w:bottom w:val="single" w:sz="4" w:space="0" w:color="auto"/>
              <w:right w:val="single" w:sz="4" w:space="0" w:color="auto"/>
            </w:tcBorders>
            <w:shd w:val="clear" w:color="auto" w:fill="FFFFFF"/>
            <w:textDirection w:val="btLr"/>
            <w:hideMark/>
          </w:tcPr>
          <w:p w:rsidR="00A64028" w:rsidRPr="00086001" w:rsidRDefault="00A64028" w:rsidP="00086001">
            <w:pPr>
              <w:spacing w:after="0" w:line="240" w:lineRule="auto"/>
              <w:ind w:right="113"/>
              <w:jc w:val="center"/>
              <w:rPr>
                <w:rFonts w:ascii="Arial Narrow" w:hAnsi="Arial Narrow"/>
                <w:sz w:val="18"/>
                <w:szCs w:val="18"/>
              </w:rPr>
            </w:pPr>
            <w:r w:rsidRPr="00086001">
              <w:rPr>
                <w:rFonts w:ascii="Arial Narrow" w:hAnsi="Arial Narrow" w:cs="Arial"/>
                <w:sz w:val="18"/>
                <w:szCs w:val="18"/>
              </w:rPr>
              <w:t>Общий по Новосибирской области</w:t>
            </w:r>
          </w:p>
        </w:tc>
        <w:tc>
          <w:tcPr>
            <w:tcW w:w="282"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086001" w:rsidRDefault="00A64028" w:rsidP="00086001">
            <w:pPr>
              <w:spacing w:after="0" w:line="240" w:lineRule="auto"/>
              <w:ind w:right="113"/>
              <w:jc w:val="center"/>
              <w:rPr>
                <w:rFonts w:ascii="Arial Narrow" w:hAnsi="Arial Narrow"/>
                <w:sz w:val="18"/>
                <w:szCs w:val="18"/>
              </w:rPr>
            </w:pPr>
            <w:r w:rsidRPr="00086001">
              <w:rPr>
                <w:rFonts w:ascii="Arial Narrow" w:hAnsi="Arial Narrow"/>
                <w:sz w:val="18"/>
                <w:szCs w:val="18"/>
              </w:rPr>
              <w:t>Рынок услуг дошкольного образования</w:t>
            </w:r>
          </w:p>
        </w:tc>
        <w:tc>
          <w:tcPr>
            <w:tcW w:w="282"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086001" w:rsidRDefault="00A64028" w:rsidP="00086001">
            <w:pPr>
              <w:spacing w:after="0" w:line="240" w:lineRule="auto"/>
              <w:ind w:right="113"/>
              <w:jc w:val="center"/>
              <w:rPr>
                <w:rFonts w:ascii="Arial Narrow" w:hAnsi="Arial Narrow"/>
                <w:sz w:val="18"/>
                <w:szCs w:val="18"/>
              </w:rPr>
            </w:pPr>
            <w:r w:rsidRPr="00086001">
              <w:rPr>
                <w:rFonts w:ascii="Arial Narrow" w:hAnsi="Arial Narrow"/>
                <w:sz w:val="18"/>
                <w:szCs w:val="18"/>
              </w:rPr>
              <w:t>Рынок услуг детского отдыха и оздоровления</w:t>
            </w:r>
          </w:p>
        </w:tc>
        <w:tc>
          <w:tcPr>
            <w:tcW w:w="282"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086001" w:rsidRDefault="00A64028" w:rsidP="00086001">
            <w:pPr>
              <w:spacing w:after="0" w:line="240" w:lineRule="auto"/>
              <w:ind w:right="113"/>
              <w:jc w:val="center"/>
              <w:rPr>
                <w:rFonts w:ascii="Arial Narrow" w:hAnsi="Arial Narrow"/>
                <w:sz w:val="18"/>
                <w:szCs w:val="18"/>
              </w:rPr>
            </w:pPr>
            <w:r w:rsidRPr="00086001">
              <w:rPr>
                <w:rFonts w:ascii="Arial Narrow" w:hAnsi="Arial Narrow"/>
                <w:sz w:val="18"/>
                <w:szCs w:val="18"/>
              </w:rPr>
              <w:t>Рынок дополнительного образования детей</w:t>
            </w:r>
          </w:p>
        </w:tc>
        <w:tc>
          <w:tcPr>
            <w:tcW w:w="250"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086001" w:rsidRDefault="00A64028" w:rsidP="00086001">
            <w:pPr>
              <w:spacing w:after="0" w:line="240" w:lineRule="auto"/>
              <w:ind w:right="113"/>
              <w:jc w:val="center"/>
              <w:rPr>
                <w:rFonts w:ascii="Arial Narrow" w:hAnsi="Arial Narrow"/>
                <w:sz w:val="18"/>
                <w:szCs w:val="18"/>
              </w:rPr>
            </w:pPr>
            <w:r w:rsidRPr="00086001">
              <w:rPr>
                <w:rFonts w:ascii="Arial Narrow" w:hAnsi="Arial Narrow"/>
                <w:sz w:val="18"/>
                <w:szCs w:val="18"/>
              </w:rPr>
              <w:t>Рынок медицинских услуг</w:t>
            </w:r>
          </w:p>
        </w:tc>
        <w:tc>
          <w:tcPr>
            <w:tcW w:w="314"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086001" w:rsidRDefault="00A64028" w:rsidP="00086001">
            <w:pPr>
              <w:spacing w:after="0" w:line="240" w:lineRule="auto"/>
              <w:ind w:right="113"/>
              <w:jc w:val="center"/>
              <w:rPr>
                <w:rFonts w:ascii="Arial Narrow" w:hAnsi="Arial Narrow"/>
                <w:sz w:val="18"/>
                <w:szCs w:val="18"/>
              </w:rPr>
            </w:pPr>
            <w:r w:rsidRPr="00086001">
              <w:rPr>
                <w:rFonts w:ascii="Arial Narrow" w:hAnsi="Arial Narrow"/>
                <w:sz w:val="18"/>
                <w:szCs w:val="18"/>
              </w:rPr>
              <w:t>Рынок услуг психолого-педагогического сопровождения детей с ограниченными возможностями здоровья</w:t>
            </w:r>
          </w:p>
        </w:tc>
        <w:tc>
          <w:tcPr>
            <w:tcW w:w="282"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086001" w:rsidRDefault="00A64028" w:rsidP="00086001">
            <w:pPr>
              <w:spacing w:after="0" w:line="240" w:lineRule="auto"/>
              <w:ind w:right="113"/>
              <w:jc w:val="center"/>
              <w:rPr>
                <w:rFonts w:ascii="Arial Narrow" w:hAnsi="Arial Narrow"/>
                <w:sz w:val="18"/>
                <w:szCs w:val="18"/>
              </w:rPr>
            </w:pPr>
            <w:r w:rsidRPr="00086001">
              <w:rPr>
                <w:rFonts w:ascii="Arial Narrow" w:hAnsi="Arial Narrow"/>
                <w:sz w:val="18"/>
                <w:szCs w:val="18"/>
              </w:rPr>
              <w:t>Рынок услуг в сфере культуры</w:t>
            </w:r>
          </w:p>
        </w:tc>
        <w:tc>
          <w:tcPr>
            <w:tcW w:w="282"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086001" w:rsidRDefault="00A64028" w:rsidP="00086001">
            <w:pPr>
              <w:spacing w:after="0" w:line="240" w:lineRule="auto"/>
              <w:ind w:right="113"/>
              <w:jc w:val="center"/>
              <w:rPr>
                <w:rFonts w:ascii="Arial Narrow" w:hAnsi="Arial Narrow"/>
                <w:sz w:val="18"/>
                <w:szCs w:val="18"/>
              </w:rPr>
            </w:pPr>
            <w:r w:rsidRPr="00086001">
              <w:rPr>
                <w:rFonts w:ascii="Arial Narrow" w:hAnsi="Arial Narrow"/>
                <w:sz w:val="18"/>
                <w:szCs w:val="18"/>
              </w:rPr>
              <w:t>Рынок услуг ЖКХ</w:t>
            </w:r>
          </w:p>
        </w:tc>
        <w:tc>
          <w:tcPr>
            <w:tcW w:w="282"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086001" w:rsidRDefault="00A64028" w:rsidP="00086001">
            <w:pPr>
              <w:spacing w:after="0" w:line="240" w:lineRule="auto"/>
              <w:ind w:right="113"/>
              <w:jc w:val="center"/>
              <w:rPr>
                <w:rFonts w:ascii="Arial Narrow" w:hAnsi="Arial Narrow"/>
                <w:sz w:val="18"/>
                <w:szCs w:val="18"/>
              </w:rPr>
            </w:pPr>
            <w:r w:rsidRPr="00086001">
              <w:rPr>
                <w:rFonts w:ascii="Arial Narrow" w:hAnsi="Arial Narrow"/>
                <w:sz w:val="18"/>
                <w:szCs w:val="18"/>
              </w:rPr>
              <w:t>Розничная торговля</w:t>
            </w:r>
          </w:p>
        </w:tc>
        <w:tc>
          <w:tcPr>
            <w:tcW w:w="282"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086001" w:rsidRDefault="00A64028" w:rsidP="00086001">
            <w:pPr>
              <w:spacing w:after="0" w:line="240" w:lineRule="auto"/>
              <w:ind w:right="113"/>
              <w:jc w:val="center"/>
              <w:rPr>
                <w:rFonts w:ascii="Arial Narrow" w:hAnsi="Arial Narrow"/>
                <w:sz w:val="18"/>
                <w:szCs w:val="18"/>
              </w:rPr>
            </w:pPr>
            <w:r w:rsidRPr="00086001">
              <w:rPr>
                <w:rFonts w:ascii="Arial Narrow" w:hAnsi="Arial Narrow"/>
                <w:sz w:val="18"/>
                <w:szCs w:val="18"/>
              </w:rPr>
              <w:t>Рынок услуг перевозок пассажиров наземным транспортом</w:t>
            </w:r>
          </w:p>
        </w:tc>
        <w:tc>
          <w:tcPr>
            <w:tcW w:w="282"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086001" w:rsidRDefault="00A64028" w:rsidP="00086001">
            <w:pPr>
              <w:spacing w:after="0" w:line="240" w:lineRule="auto"/>
              <w:ind w:right="113"/>
              <w:jc w:val="center"/>
              <w:rPr>
                <w:rFonts w:ascii="Arial Narrow" w:hAnsi="Arial Narrow"/>
                <w:sz w:val="18"/>
                <w:szCs w:val="18"/>
              </w:rPr>
            </w:pPr>
            <w:r w:rsidRPr="00086001">
              <w:rPr>
                <w:rFonts w:ascii="Arial Narrow" w:hAnsi="Arial Narrow"/>
                <w:sz w:val="18"/>
                <w:szCs w:val="18"/>
              </w:rPr>
              <w:t>Рынок услуг связи</w:t>
            </w:r>
          </w:p>
        </w:tc>
        <w:tc>
          <w:tcPr>
            <w:tcW w:w="282"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086001" w:rsidRDefault="00A64028" w:rsidP="00086001">
            <w:pPr>
              <w:spacing w:after="0" w:line="240" w:lineRule="auto"/>
              <w:ind w:right="113"/>
              <w:jc w:val="center"/>
              <w:rPr>
                <w:rFonts w:ascii="Arial Narrow" w:hAnsi="Arial Narrow"/>
                <w:sz w:val="18"/>
                <w:szCs w:val="18"/>
              </w:rPr>
            </w:pPr>
            <w:r w:rsidRPr="00086001">
              <w:rPr>
                <w:rFonts w:ascii="Arial Narrow" w:hAnsi="Arial Narrow"/>
                <w:sz w:val="18"/>
                <w:szCs w:val="18"/>
              </w:rPr>
              <w:t>Рынок услуг социального обслуживания населения</w:t>
            </w:r>
          </w:p>
        </w:tc>
        <w:tc>
          <w:tcPr>
            <w:tcW w:w="282"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086001" w:rsidRDefault="00A64028" w:rsidP="00086001">
            <w:pPr>
              <w:spacing w:after="0" w:line="240" w:lineRule="auto"/>
              <w:ind w:right="113"/>
              <w:jc w:val="center"/>
              <w:rPr>
                <w:rFonts w:ascii="Arial Narrow" w:hAnsi="Arial Narrow"/>
                <w:sz w:val="18"/>
                <w:szCs w:val="18"/>
              </w:rPr>
            </w:pPr>
            <w:r w:rsidRPr="00086001">
              <w:rPr>
                <w:rFonts w:ascii="Arial Narrow" w:hAnsi="Arial Narrow"/>
                <w:sz w:val="18"/>
                <w:szCs w:val="18"/>
              </w:rPr>
              <w:t>Рынок развития, производства, переработки и хранения с/х продукции</w:t>
            </w:r>
          </w:p>
        </w:tc>
        <w:tc>
          <w:tcPr>
            <w:tcW w:w="286"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086001" w:rsidRDefault="00A64028" w:rsidP="00086001">
            <w:pPr>
              <w:spacing w:after="0" w:line="240" w:lineRule="auto"/>
              <w:ind w:right="113"/>
              <w:jc w:val="center"/>
              <w:rPr>
                <w:rFonts w:ascii="Arial Narrow" w:hAnsi="Arial Narrow"/>
                <w:sz w:val="18"/>
                <w:szCs w:val="18"/>
              </w:rPr>
            </w:pPr>
            <w:r w:rsidRPr="00086001">
              <w:rPr>
                <w:rFonts w:ascii="Arial Narrow" w:hAnsi="Arial Narrow"/>
                <w:sz w:val="18"/>
                <w:szCs w:val="18"/>
              </w:rPr>
              <w:t>Рынок услуг по сбору, сортировке и переработке твердых коммунальных (бытовых) отходов</w:t>
            </w:r>
          </w:p>
        </w:tc>
      </w:tr>
      <w:tr w:rsidR="00A64028" w:rsidRPr="00577FE5" w:rsidTr="00086001">
        <w:trPr>
          <w:cantSplit/>
          <w:trHeight w:val="20"/>
        </w:trPr>
        <w:tc>
          <w:tcPr>
            <w:tcW w:w="257" w:type="pct"/>
            <w:tcBorders>
              <w:top w:val="single" w:sz="4" w:space="0" w:color="auto"/>
              <w:left w:val="single" w:sz="4" w:space="0" w:color="auto"/>
              <w:bottom w:val="single" w:sz="4" w:space="0" w:color="auto"/>
              <w:right w:val="single" w:sz="4" w:space="0" w:color="auto"/>
            </w:tcBorders>
            <w:noWrap/>
            <w:vAlign w:val="center"/>
            <w:hideMark/>
          </w:tcPr>
          <w:p w:rsidR="00A64028" w:rsidRPr="00577FE5" w:rsidRDefault="00A64028" w:rsidP="00103148">
            <w:pPr>
              <w:spacing w:after="0"/>
              <w:ind w:right="-57"/>
              <w:jc w:val="both"/>
              <w:rPr>
                <w:rFonts w:ascii="Arial Narrow" w:hAnsi="Arial Narrow"/>
                <w:b/>
                <w:sz w:val="18"/>
                <w:szCs w:val="18"/>
              </w:rPr>
            </w:pPr>
            <w:r w:rsidRPr="00577FE5">
              <w:rPr>
                <w:rFonts w:ascii="Arial Narrow" w:hAnsi="Arial Narrow"/>
                <w:b/>
                <w:sz w:val="18"/>
                <w:szCs w:val="18"/>
              </w:rPr>
              <w:t>1.4.2.</w:t>
            </w:r>
          </w:p>
        </w:tc>
        <w:tc>
          <w:tcPr>
            <w:tcW w:w="4743" w:type="pct"/>
            <w:gridSpan w:val="15"/>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both"/>
              <w:rPr>
                <w:rFonts w:ascii="Arial Narrow" w:hAnsi="Arial Narrow"/>
                <w:b/>
                <w:sz w:val="18"/>
                <w:szCs w:val="18"/>
              </w:rPr>
            </w:pPr>
            <w:r w:rsidRPr="00577FE5">
              <w:rPr>
                <w:rFonts w:ascii="Arial Narrow" w:hAnsi="Arial Narrow"/>
                <w:b/>
                <w:sz w:val="18"/>
                <w:szCs w:val="18"/>
              </w:rPr>
              <w:t>Распространенность указанных барьеров (% от числа опрошенных)</w:t>
            </w:r>
          </w:p>
        </w:tc>
      </w:tr>
      <w:tr w:rsidR="00A64028" w:rsidRPr="00577FE5" w:rsidTr="00086001">
        <w:trPr>
          <w:cantSplit/>
          <w:trHeight w:val="20"/>
        </w:trPr>
        <w:tc>
          <w:tcPr>
            <w:tcW w:w="257" w:type="pct"/>
            <w:tcBorders>
              <w:top w:val="single" w:sz="4" w:space="0" w:color="auto"/>
              <w:left w:val="single" w:sz="4" w:space="0" w:color="auto"/>
              <w:bottom w:val="single" w:sz="4" w:space="0" w:color="auto"/>
              <w:right w:val="single" w:sz="4" w:space="0" w:color="auto"/>
            </w:tcBorders>
            <w:noWrap/>
            <w:vAlign w:val="bottom"/>
            <w:hideMark/>
          </w:tcPr>
          <w:p w:rsidR="00A64028" w:rsidRPr="00577FE5" w:rsidRDefault="00A64028" w:rsidP="00103148">
            <w:pPr>
              <w:spacing w:after="0"/>
              <w:ind w:right="-57"/>
              <w:rPr>
                <w:rFonts w:ascii="Arial Narrow" w:hAnsi="Arial Narrow"/>
                <w:sz w:val="18"/>
                <w:szCs w:val="18"/>
              </w:rPr>
            </w:pPr>
            <w:r w:rsidRPr="00577FE5">
              <w:rPr>
                <w:rFonts w:ascii="Arial Narrow" w:hAnsi="Arial Narrow"/>
                <w:sz w:val="18"/>
                <w:szCs w:val="18"/>
              </w:rPr>
              <w:t> </w:t>
            </w:r>
          </w:p>
        </w:tc>
        <w:tc>
          <w:tcPr>
            <w:tcW w:w="79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086001" w:rsidRDefault="00A64028" w:rsidP="00103148">
            <w:pPr>
              <w:spacing w:after="0"/>
              <w:ind w:right="-57"/>
              <w:rPr>
                <w:rFonts w:ascii="Arial Narrow" w:hAnsi="Arial Narrow"/>
                <w:sz w:val="20"/>
                <w:szCs w:val="20"/>
              </w:rPr>
            </w:pPr>
            <w:r w:rsidRPr="00086001">
              <w:rPr>
                <w:rFonts w:ascii="Arial Narrow" w:hAnsi="Arial Narrow"/>
                <w:sz w:val="20"/>
                <w:szCs w:val="20"/>
              </w:rPr>
              <w:t>Нестабильность законодательства, регулирующего предпринимательскую деятельность, %</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24,9%</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20,0%</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20,0%</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12,0%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31,4%</w:t>
            </w:r>
          </w:p>
        </w:tc>
        <w:tc>
          <w:tcPr>
            <w:tcW w:w="31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20,0%</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12,0%</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41,4%</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22,7%</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15,0%</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8,0%</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16,0%</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23,0%</w:t>
            </w:r>
          </w:p>
        </w:tc>
        <w:tc>
          <w:tcPr>
            <w:tcW w:w="28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20,0%</w:t>
            </w:r>
          </w:p>
        </w:tc>
      </w:tr>
      <w:tr w:rsidR="00A64028" w:rsidRPr="00577FE5" w:rsidTr="00086001">
        <w:trPr>
          <w:cantSplit/>
          <w:trHeight w:val="20"/>
        </w:trPr>
        <w:tc>
          <w:tcPr>
            <w:tcW w:w="257" w:type="pct"/>
            <w:tcBorders>
              <w:top w:val="single" w:sz="4" w:space="0" w:color="auto"/>
              <w:left w:val="single" w:sz="4" w:space="0" w:color="auto"/>
              <w:bottom w:val="single" w:sz="4" w:space="0" w:color="auto"/>
              <w:right w:val="single" w:sz="4" w:space="0" w:color="auto"/>
            </w:tcBorders>
            <w:noWrap/>
            <w:vAlign w:val="bottom"/>
            <w:hideMark/>
          </w:tcPr>
          <w:p w:rsidR="00A64028" w:rsidRPr="00577FE5" w:rsidRDefault="00A64028" w:rsidP="00103148">
            <w:pPr>
              <w:spacing w:after="0"/>
              <w:ind w:right="-57"/>
              <w:rPr>
                <w:rFonts w:ascii="Arial Narrow" w:hAnsi="Arial Narrow"/>
                <w:sz w:val="18"/>
                <w:szCs w:val="18"/>
              </w:rPr>
            </w:pPr>
            <w:r w:rsidRPr="00577FE5">
              <w:rPr>
                <w:rFonts w:ascii="Arial Narrow" w:hAnsi="Arial Narrow"/>
                <w:sz w:val="18"/>
                <w:szCs w:val="18"/>
              </w:rPr>
              <w:t> </w:t>
            </w:r>
          </w:p>
        </w:tc>
        <w:tc>
          <w:tcPr>
            <w:tcW w:w="79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086001" w:rsidRDefault="00A64028" w:rsidP="00103148">
            <w:pPr>
              <w:spacing w:after="0"/>
              <w:ind w:right="-57"/>
              <w:rPr>
                <w:rFonts w:ascii="Arial Narrow" w:hAnsi="Arial Narrow"/>
                <w:sz w:val="20"/>
                <w:szCs w:val="20"/>
              </w:rPr>
            </w:pPr>
            <w:r w:rsidRPr="00086001">
              <w:rPr>
                <w:rFonts w:ascii="Arial Narrow" w:hAnsi="Arial Narrow"/>
                <w:sz w:val="20"/>
                <w:szCs w:val="20"/>
              </w:rPr>
              <w:t>Сложность получения доступа к земельным участкам, %</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10,1%</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10,0%</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0,0%</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16,0%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1,4%</w:t>
            </w:r>
          </w:p>
        </w:tc>
        <w:tc>
          <w:tcPr>
            <w:tcW w:w="31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4,0%</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4,0%</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5,7%</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8,7%</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3,3%</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8,0%</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0,0%</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17,0%</w:t>
            </w:r>
          </w:p>
        </w:tc>
        <w:tc>
          <w:tcPr>
            <w:tcW w:w="28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20,0%</w:t>
            </w:r>
          </w:p>
        </w:tc>
      </w:tr>
    </w:tbl>
    <w:p w:rsidR="00086001" w:rsidRDefault="00086001"/>
    <w:p w:rsidR="00086001" w:rsidRDefault="00086001"/>
    <w:p w:rsidR="00086001" w:rsidRPr="00086001" w:rsidRDefault="00086001" w:rsidP="00086001">
      <w:pPr>
        <w:spacing w:after="0" w:line="240" w:lineRule="auto"/>
        <w:jc w:val="right"/>
        <w:rPr>
          <w:rFonts w:ascii="Arial Narrow" w:hAnsi="Arial Narrow"/>
          <w:sz w:val="24"/>
          <w:szCs w:val="24"/>
        </w:rPr>
      </w:pPr>
      <w:r w:rsidRPr="00BF6DC4">
        <w:rPr>
          <w:rFonts w:ascii="Arial Narrow" w:hAnsi="Arial Narrow"/>
          <w:sz w:val="24"/>
          <w:szCs w:val="24"/>
        </w:rPr>
        <w:lastRenderedPageBreak/>
        <w:t xml:space="preserve">Продолжение Таблицы </w:t>
      </w:r>
      <w:r>
        <w:rPr>
          <w:rFonts w:ascii="Arial Narrow" w:hAnsi="Arial Narrow"/>
          <w:sz w:val="24"/>
          <w:szCs w:val="24"/>
        </w:rPr>
        <w:t>7.29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05"/>
        <w:gridCol w:w="1556"/>
        <w:gridCol w:w="556"/>
        <w:gridCol w:w="556"/>
        <w:gridCol w:w="556"/>
        <w:gridCol w:w="556"/>
        <w:gridCol w:w="493"/>
        <w:gridCol w:w="619"/>
        <w:gridCol w:w="556"/>
        <w:gridCol w:w="556"/>
        <w:gridCol w:w="556"/>
        <w:gridCol w:w="556"/>
        <w:gridCol w:w="556"/>
        <w:gridCol w:w="556"/>
        <w:gridCol w:w="556"/>
        <w:gridCol w:w="564"/>
      </w:tblGrid>
      <w:tr w:rsidR="00A64028" w:rsidRPr="00577FE5" w:rsidTr="00086001">
        <w:trPr>
          <w:cantSplit/>
          <w:trHeight w:val="20"/>
        </w:trPr>
        <w:tc>
          <w:tcPr>
            <w:tcW w:w="257" w:type="pct"/>
            <w:tcBorders>
              <w:top w:val="single" w:sz="4" w:space="0" w:color="auto"/>
              <w:left w:val="single" w:sz="4" w:space="0" w:color="auto"/>
              <w:bottom w:val="single" w:sz="4" w:space="0" w:color="auto"/>
              <w:right w:val="single" w:sz="4" w:space="0" w:color="auto"/>
            </w:tcBorders>
            <w:noWrap/>
            <w:vAlign w:val="bottom"/>
            <w:hideMark/>
          </w:tcPr>
          <w:p w:rsidR="00A64028" w:rsidRPr="00577FE5" w:rsidRDefault="00A64028" w:rsidP="00103148">
            <w:pPr>
              <w:spacing w:after="0"/>
              <w:ind w:right="-57"/>
              <w:rPr>
                <w:rFonts w:ascii="Arial Narrow" w:hAnsi="Arial Narrow"/>
                <w:sz w:val="18"/>
                <w:szCs w:val="18"/>
              </w:rPr>
            </w:pPr>
            <w:r w:rsidRPr="00577FE5">
              <w:rPr>
                <w:rFonts w:ascii="Arial Narrow" w:hAnsi="Arial Narrow"/>
                <w:sz w:val="18"/>
                <w:szCs w:val="18"/>
              </w:rPr>
              <w:t> </w:t>
            </w:r>
          </w:p>
        </w:tc>
        <w:tc>
          <w:tcPr>
            <w:tcW w:w="79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086001" w:rsidRDefault="00A64028" w:rsidP="00103148">
            <w:pPr>
              <w:spacing w:after="0"/>
              <w:ind w:right="-57"/>
              <w:rPr>
                <w:rFonts w:ascii="Arial Narrow" w:hAnsi="Arial Narrow"/>
                <w:sz w:val="20"/>
                <w:szCs w:val="20"/>
              </w:rPr>
            </w:pPr>
            <w:r w:rsidRPr="00086001">
              <w:rPr>
                <w:rFonts w:ascii="Arial Narrow" w:hAnsi="Arial Narrow"/>
                <w:sz w:val="20"/>
                <w:szCs w:val="20"/>
              </w:rPr>
              <w:t>Сложность/затянутость процедуры получения лицензий, средств государственной поддержки, разрешений, согласований и т. д., %</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19,1%</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10,0%</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0,0%</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20,0%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42,9%</w:t>
            </w:r>
          </w:p>
        </w:tc>
        <w:tc>
          <w:tcPr>
            <w:tcW w:w="31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24,0%</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24,0%</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14,3%</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16,0%</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21,7%</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24,0%</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20,0%</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20,0%</w:t>
            </w:r>
          </w:p>
        </w:tc>
        <w:tc>
          <w:tcPr>
            <w:tcW w:w="28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20,0%</w:t>
            </w:r>
          </w:p>
        </w:tc>
      </w:tr>
      <w:tr w:rsidR="00A64028" w:rsidRPr="00577FE5" w:rsidTr="00086001">
        <w:trPr>
          <w:cantSplit/>
          <w:trHeight w:val="20"/>
        </w:trPr>
        <w:tc>
          <w:tcPr>
            <w:tcW w:w="257" w:type="pct"/>
            <w:tcBorders>
              <w:top w:val="single" w:sz="4" w:space="0" w:color="auto"/>
              <w:left w:val="single" w:sz="4" w:space="0" w:color="auto"/>
              <w:bottom w:val="single" w:sz="4" w:space="0" w:color="auto"/>
              <w:right w:val="single" w:sz="4" w:space="0" w:color="auto"/>
            </w:tcBorders>
            <w:noWrap/>
            <w:vAlign w:val="bottom"/>
            <w:hideMark/>
          </w:tcPr>
          <w:p w:rsidR="00A64028" w:rsidRPr="00577FE5" w:rsidRDefault="00A64028" w:rsidP="00103148">
            <w:pPr>
              <w:spacing w:after="0"/>
              <w:ind w:right="-57"/>
              <w:rPr>
                <w:rFonts w:ascii="Arial Narrow" w:hAnsi="Arial Narrow"/>
                <w:sz w:val="18"/>
                <w:szCs w:val="18"/>
              </w:rPr>
            </w:pPr>
            <w:r w:rsidRPr="00577FE5">
              <w:rPr>
                <w:rFonts w:ascii="Arial Narrow" w:hAnsi="Arial Narrow"/>
                <w:sz w:val="18"/>
                <w:szCs w:val="18"/>
              </w:rPr>
              <w:t> </w:t>
            </w:r>
          </w:p>
        </w:tc>
        <w:tc>
          <w:tcPr>
            <w:tcW w:w="79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086001" w:rsidRDefault="00A64028" w:rsidP="00103148">
            <w:pPr>
              <w:spacing w:after="0"/>
              <w:ind w:right="-57"/>
              <w:jc w:val="both"/>
              <w:rPr>
                <w:rFonts w:ascii="Arial Narrow" w:hAnsi="Arial Narrow"/>
                <w:sz w:val="20"/>
                <w:szCs w:val="20"/>
              </w:rPr>
            </w:pPr>
            <w:r w:rsidRPr="00086001">
              <w:rPr>
                <w:rFonts w:ascii="Arial Narrow" w:hAnsi="Arial Narrow"/>
                <w:sz w:val="20"/>
                <w:szCs w:val="20"/>
              </w:rPr>
              <w:t>Коррупция (взятки, дискриминация и предоставление преференций отдельным лицам), %</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12,4%</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20,0%</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0,0%</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12,0%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5,7%</w:t>
            </w:r>
          </w:p>
        </w:tc>
        <w:tc>
          <w:tcPr>
            <w:tcW w:w="31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4,0%</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4,0%</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21,4%</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10,0%</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21,7%</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8,0%</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12,0%</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6,0%</w:t>
            </w:r>
          </w:p>
        </w:tc>
        <w:tc>
          <w:tcPr>
            <w:tcW w:w="28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0,0%</w:t>
            </w:r>
          </w:p>
        </w:tc>
      </w:tr>
      <w:tr w:rsidR="00A64028" w:rsidRPr="00577FE5" w:rsidTr="00086001">
        <w:trPr>
          <w:cantSplit/>
          <w:trHeight w:val="20"/>
        </w:trPr>
        <w:tc>
          <w:tcPr>
            <w:tcW w:w="257" w:type="pct"/>
            <w:tcBorders>
              <w:top w:val="single" w:sz="4" w:space="0" w:color="auto"/>
              <w:left w:val="single" w:sz="4" w:space="0" w:color="auto"/>
              <w:bottom w:val="single" w:sz="4" w:space="0" w:color="auto"/>
              <w:right w:val="single" w:sz="4" w:space="0" w:color="auto"/>
            </w:tcBorders>
            <w:noWrap/>
            <w:vAlign w:val="bottom"/>
            <w:hideMark/>
          </w:tcPr>
          <w:p w:rsidR="00A64028" w:rsidRPr="00577FE5" w:rsidRDefault="00A64028" w:rsidP="00103148">
            <w:pPr>
              <w:spacing w:after="0"/>
              <w:ind w:right="-57"/>
              <w:rPr>
                <w:rFonts w:ascii="Arial Narrow" w:hAnsi="Arial Narrow"/>
                <w:sz w:val="18"/>
                <w:szCs w:val="18"/>
              </w:rPr>
            </w:pPr>
            <w:r w:rsidRPr="00577FE5">
              <w:rPr>
                <w:rFonts w:ascii="Arial Narrow" w:hAnsi="Arial Narrow"/>
                <w:sz w:val="18"/>
                <w:szCs w:val="18"/>
              </w:rPr>
              <w:t> </w:t>
            </w:r>
          </w:p>
        </w:tc>
        <w:tc>
          <w:tcPr>
            <w:tcW w:w="79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086001" w:rsidRDefault="00A64028" w:rsidP="00103148">
            <w:pPr>
              <w:spacing w:after="0"/>
              <w:ind w:right="-57"/>
              <w:rPr>
                <w:rFonts w:ascii="Arial Narrow" w:hAnsi="Arial Narrow"/>
                <w:sz w:val="20"/>
                <w:szCs w:val="20"/>
              </w:rPr>
            </w:pPr>
            <w:r w:rsidRPr="00086001">
              <w:rPr>
                <w:rFonts w:ascii="Arial Narrow" w:hAnsi="Arial Narrow"/>
                <w:sz w:val="20"/>
                <w:szCs w:val="20"/>
              </w:rPr>
              <w:t>Ограничение/сложность доступа к закупкам компаний с госучастием и субъектов естественных монополий, %</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14,1%</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10,0%</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0,0%</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12,0%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11,4%</w:t>
            </w:r>
          </w:p>
        </w:tc>
        <w:tc>
          <w:tcPr>
            <w:tcW w:w="31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4,0%</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4,0%</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14,3%</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10,7%</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5,0%</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16,0%</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8,0%</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10,0%</w:t>
            </w:r>
          </w:p>
        </w:tc>
        <w:tc>
          <w:tcPr>
            <w:tcW w:w="28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0,0%</w:t>
            </w:r>
          </w:p>
        </w:tc>
      </w:tr>
      <w:tr w:rsidR="00A64028" w:rsidRPr="00577FE5" w:rsidTr="00086001">
        <w:trPr>
          <w:cantSplit/>
          <w:trHeight w:val="20"/>
        </w:trPr>
        <w:tc>
          <w:tcPr>
            <w:tcW w:w="257" w:type="pct"/>
            <w:tcBorders>
              <w:top w:val="single" w:sz="4" w:space="0" w:color="auto"/>
              <w:left w:val="single" w:sz="4" w:space="0" w:color="auto"/>
              <w:bottom w:val="single" w:sz="4" w:space="0" w:color="auto"/>
              <w:right w:val="single" w:sz="4" w:space="0" w:color="auto"/>
            </w:tcBorders>
            <w:noWrap/>
            <w:vAlign w:val="bottom"/>
            <w:hideMark/>
          </w:tcPr>
          <w:p w:rsidR="00A64028" w:rsidRPr="00577FE5" w:rsidRDefault="00A64028" w:rsidP="00103148">
            <w:pPr>
              <w:spacing w:after="0"/>
              <w:ind w:right="-57"/>
              <w:rPr>
                <w:rFonts w:ascii="Arial Narrow" w:hAnsi="Arial Narrow"/>
                <w:sz w:val="18"/>
                <w:szCs w:val="18"/>
              </w:rPr>
            </w:pPr>
            <w:r w:rsidRPr="00577FE5">
              <w:rPr>
                <w:rFonts w:ascii="Arial Narrow" w:hAnsi="Arial Narrow"/>
                <w:sz w:val="18"/>
                <w:szCs w:val="18"/>
              </w:rPr>
              <w:t> </w:t>
            </w:r>
          </w:p>
        </w:tc>
        <w:tc>
          <w:tcPr>
            <w:tcW w:w="79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086001" w:rsidRDefault="00A64028" w:rsidP="00103148">
            <w:pPr>
              <w:spacing w:after="0"/>
              <w:ind w:right="-57"/>
              <w:rPr>
                <w:rFonts w:ascii="Arial Narrow" w:hAnsi="Arial Narrow"/>
                <w:sz w:val="20"/>
                <w:szCs w:val="20"/>
              </w:rPr>
            </w:pPr>
            <w:r w:rsidRPr="00086001">
              <w:rPr>
                <w:rFonts w:ascii="Arial Narrow" w:hAnsi="Arial Narrow"/>
                <w:sz w:val="20"/>
                <w:szCs w:val="20"/>
              </w:rPr>
              <w:t>Иные действия, %</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2,5%</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10,0%</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0,0%</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5,7%</w:t>
            </w:r>
          </w:p>
        </w:tc>
        <w:tc>
          <w:tcPr>
            <w:tcW w:w="31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0,0%</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4,0%</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0,0%</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1,3%</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31,7%</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0,0%</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0,0%</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2,0%</w:t>
            </w:r>
          </w:p>
        </w:tc>
        <w:tc>
          <w:tcPr>
            <w:tcW w:w="28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0,0%</w:t>
            </w:r>
          </w:p>
        </w:tc>
      </w:tr>
      <w:tr w:rsidR="00A64028" w:rsidRPr="00577FE5" w:rsidTr="00086001">
        <w:trPr>
          <w:cantSplit/>
          <w:trHeight w:val="20"/>
        </w:trPr>
        <w:tc>
          <w:tcPr>
            <w:tcW w:w="257" w:type="pct"/>
            <w:tcBorders>
              <w:top w:val="single" w:sz="4" w:space="0" w:color="auto"/>
              <w:left w:val="single" w:sz="4" w:space="0" w:color="auto"/>
              <w:bottom w:val="single" w:sz="4" w:space="0" w:color="auto"/>
              <w:right w:val="single" w:sz="4" w:space="0" w:color="auto"/>
            </w:tcBorders>
            <w:noWrap/>
            <w:vAlign w:val="bottom"/>
            <w:hideMark/>
          </w:tcPr>
          <w:p w:rsidR="00A64028" w:rsidRPr="00577FE5" w:rsidRDefault="00A64028" w:rsidP="00103148">
            <w:pPr>
              <w:spacing w:after="0"/>
              <w:ind w:right="-57"/>
              <w:rPr>
                <w:rFonts w:ascii="Arial Narrow" w:hAnsi="Arial Narrow"/>
                <w:sz w:val="18"/>
                <w:szCs w:val="18"/>
              </w:rPr>
            </w:pPr>
            <w:r w:rsidRPr="00577FE5">
              <w:rPr>
                <w:rFonts w:ascii="Arial Narrow" w:hAnsi="Arial Narrow"/>
                <w:sz w:val="18"/>
                <w:szCs w:val="18"/>
              </w:rPr>
              <w:t> </w:t>
            </w:r>
          </w:p>
        </w:tc>
        <w:tc>
          <w:tcPr>
            <w:tcW w:w="790" w:type="pct"/>
            <w:tcBorders>
              <w:top w:val="single" w:sz="4" w:space="0" w:color="auto"/>
              <w:left w:val="single" w:sz="4" w:space="0" w:color="auto"/>
              <w:bottom w:val="single" w:sz="4" w:space="0" w:color="auto"/>
              <w:right w:val="single" w:sz="4" w:space="0" w:color="auto"/>
            </w:tcBorders>
            <w:shd w:val="clear" w:color="auto" w:fill="FFFFFF"/>
            <w:vAlign w:val="bottom"/>
            <w:hideMark/>
          </w:tcPr>
          <w:p w:rsidR="00A64028" w:rsidRPr="00086001" w:rsidRDefault="00A64028" w:rsidP="00103148">
            <w:pPr>
              <w:spacing w:after="0"/>
              <w:ind w:right="-57"/>
              <w:rPr>
                <w:rFonts w:ascii="Arial Narrow" w:hAnsi="Arial Narrow"/>
                <w:sz w:val="20"/>
                <w:szCs w:val="20"/>
              </w:rPr>
            </w:pPr>
            <w:r w:rsidRPr="00086001">
              <w:rPr>
                <w:rFonts w:ascii="Arial Narrow" w:hAnsi="Arial Narrow"/>
                <w:sz w:val="20"/>
                <w:szCs w:val="20"/>
              </w:rPr>
              <w:t>Нет ограничений, %</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42,8%</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50,0%</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80,0%</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52,0%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30,0%</w:t>
            </w:r>
          </w:p>
        </w:tc>
        <w:tc>
          <w:tcPr>
            <w:tcW w:w="31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52,0%</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60,0%</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32,9%</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47,3%</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18,3%</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52,0%</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56,0%</w:t>
            </w:r>
          </w:p>
        </w:tc>
        <w:tc>
          <w:tcPr>
            <w:tcW w:w="2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48,0%</w:t>
            </w:r>
          </w:p>
        </w:tc>
        <w:tc>
          <w:tcPr>
            <w:tcW w:w="28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77FE5" w:rsidRDefault="00A64028" w:rsidP="00103148">
            <w:pPr>
              <w:spacing w:after="0"/>
              <w:ind w:right="-57"/>
              <w:jc w:val="center"/>
              <w:rPr>
                <w:rFonts w:ascii="Arial Narrow" w:hAnsi="Arial Narrow"/>
                <w:sz w:val="16"/>
                <w:szCs w:val="16"/>
              </w:rPr>
            </w:pPr>
            <w:r w:rsidRPr="00577FE5">
              <w:rPr>
                <w:rFonts w:ascii="Arial Narrow" w:hAnsi="Arial Narrow"/>
                <w:sz w:val="16"/>
                <w:szCs w:val="16"/>
              </w:rPr>
              <w:t>50,0%</w:t>
            </w:r>
          </w:p>
        </w:tc>
      </w:tr>
    </w:tbl>
    <w:p w:rsidR="00577FE5" w:rsidRDefault="00577FE5" w:rsidP="00103148">
      <w:pPr>
        <w:spacing w:after="0" w:line="360" w:lineRule="auto"/>
        <w:ind w:firstLine="567"/>
        <w:jc w:val="both"/>
        <w:rPr>
          <w:rFonts w:ascii="Arial Narrow" w:hAnsi="Arial Narrow"/>
          <w:b/>
          <w:sz w:val="24"/>
          <w:szCs w:val="24"/>
        </w:rPr>
      </w:pPr>
    </w:p>
    <w:p w:rsidR="00A64028" w:rsidRPr="0051304D" w:rsidRDefault="00A64028" w:rsidP="00577FE5">
      <w:pPr>
        <w:spacing w:after="0" w:line="360" w:lineRule="auto"/>
        <w:ind w:firstLine="284"/>
        <w:jc w:val="both"/>
        <w:rPr>
          <w:rFonts w:ascii="Arial Narrow" w:hAnsi="Arial Narrow"/>
          <w:b/>
          <w:sz w:val="24"/>
          <w:szCs w:val="24"/>
        </w:rPr>
      </w:pPr>
      <w:r w:rsidRPr="0051304D">
        <w:rPr>
          <w:rFonts w:ascii="Arial Narrow" w:hAnsi="Arial Narrow"/>
          <w:b/>
          <w:sz w:val="24"/>
          <w:szCs w:val="24"/>
        </w:rPr>
        <w:t>Значение показателя 1.4.3. Доля представителей бизнеса, считающих силу влияния административных барьеров способной создать неравные условия для конкуренции (% от числа опрошенных).</w:t>
      </w:r>
    </w:p>
    <w:p w:rsidR="00A64028" w:rsidRPr="0051304D" w:rsidRDefault="00A64028" w:rsidP="00577FE5">
      <w:pPr>
        <w:spacing w:after="0" w:line="360" w:lineRule="auto"/>
        <w:ind w:firstLine="284"/>
        <w:jc w:val="both"/>
        <w:rPr>
          <w:rFonts w:ascii="Arial Narrow" w:hAnsi="Arial Narrow"/>
          <w:sz w:val="24"/>
          <w:szCs w:val="24"/>
        </w:rPr>
      </w:pPr>
      <w:r w:rsidRPr="0051304D">
        <w:rPr>
          <w:rFonts w:ascii="Arial Narrow" w:hAnsi="Arial Narrow"/>
          <w:sz w:val="24"/>
          <w:szCs w:val="24"/>
        </w:rPr>
        <w:t>Доля представителей бизнеса, считающих силу влияния административных барьеров способной создать неравные условия для конкуренции, составила 57,2 % (отметили хотя бы одно действие/условие, ограничивающее конкуренцию). Наиболее высокое значение показателя зафиксировано на рынке услуг перевозок пассажиров наземным транспортом (81,7 %), наиболее низкое – на рынке услуг детского отдыха и оздоровления (20,0 %). На остальных рынках доля считающих силу влияния административных барьеров способной создать неравные условия для конкуренции составила от 40,0 % до 70,0 %.</w:t>
      </w:r>
    </w:p>
    <w:p w:rsidR="00577FE5" w:rsidRDefault="00577FE5">
      <w:pPr>
        <w:rPr>
          <w:rFonts w:ascii="Arial Narrow" w:eastAsia="Calibri" w:hAnsi="Arial Narrow"/>
          <w:sz w:val="24"/>
          <w:szCs w:val="24"/>
        </w:rPr>
      </w:pPr>
      <w:r>
        <w:rPr>
          <w:rFonts w:ascii="Arial Narrow" w:eastAsia="Calibri" w:hAnsi="Arial Narrow"/>
          <w:sz w:val="24"/>
          <w:szCs w:val="24"/>
        </w:rPr>
        <w:br w:type="page"/>
      </w:r>
    </w:p>
    <w:p w:rsidR="00A64028" w:rsidRPr="0051304D" w:rsidRDefault="00262F71" w:rsidP="00103148">
      <w:pPr>
        <w:spacing w:after="0"/>
        <w:rPr>
          <w:rFonts w:ascii="Arial Narrow" w:hAnsi="Arial Narrow"/>
          <w:b/>
          <w:sz w:val="24"/>
          <w:szCs w:val="24"/>
        </w:rPr>
      </w:pPr>
      <w:r>
        <w:rPr>
          <w:rFonts w:ascii="Arial Narrow" w:eastAsia="Calibri" w:hAnsi="Arial Narrow"/>
          <w:sz w:val="24"/>
          <w:szCs w:val="24"/>
        </w:rPr>
        <w:lastRenderedPageBreak/>
        <w:t>Таблица 7.30</w:t>
      </w:r>
      <w:r w:rsidR="00A64028" w:rsidRPr="0051304D">
        <w:rPr>
          <w:rFonts w:ascii="Arial Narrow" w:eastAsia="Calibri" w:hAnsi="Arial Narrow"/>
          <w:sz w:val="24"/>
          <w:szCs w:val="24"/>
        </w:rPr>
        <w:t xml:space="preserve">. – </w:t>
      </w:r>
      <w:r w:rsidR="00A64028" w:rsidRPr="0051304D">
        <w:rPr>
          <w:rFonts w:ascii="Arial Narrow" w:hAnsi="Arial Narrow"/>
          <w:b/>
          <w:sz w:val="24"/>
          <w:szCs w:val="24"/>
        </w:rPr>
        <w:t>Значение показателя 1.4.3. Доля представителей бизнеса, считающих силу влияния административных барьеров способной создать неравные условия для конкуренции (% от числа опрошенных)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339"/>
        <w:gridCol w:w="2440"/>
        <w:gridCol w:w="556"/>
        <w:gridCol w:w="476"/>
        <w:gridCol w:w="476"/>
        <w:gridCol w:w="476"/>
        <w:gridCol w:w="476"/>
        <w:gridCol w:w="476"/>
        <w:gridCol w:w="476"/>
        <w:gridCol w:w="476"/>
        <w:gridCol w:w="476"/>
        <w:gridCol w:w="476"/>
        <w:gridCol w:w="476"/>
        <w:gridCol w:w="476"/>
        <w:gridCol w:w="554"/>
        <w:gridCol w:w="522"/>
      </w:tblGrid>
      <w:tr w:rsidR="00A64028" w:rsidRPr="0051304D" w:rsidTr="00086001">
        <w:trPr>
          <w:cantSplit/>
          <w:trHeight w:val="3916"/>
        </w:trPr>
        <w:tc>
          <w:tcPr>
            <w:tcW w:w="191" w:type="pct"/>
            <w:tcBorders>
              <w:top w:val="single" w:sz="4" w:space="0" w:color="auto"/>
              <w:left w:val="single" w:sz="4" w:space="0" w:color="auto"/>
              <w:bottom w:val="single" w:sz="4" w:space="0" w:color="auto"/>
              <w:right w:val="single" w:sz="4" w:space="0" w:color="auto"/>
            </w:tcBorders>
            <w:vAlign w:val="center"/>
            <w:hideMark/>
          </w:tcPr>
          <w:p w:rsidR="00A64028" w:rsidRPr="00F14CA3" w:rsidRDefault="00A64028" w:rsidP="00103148">
            <w:pPr>
              <w:spacing w:after="0"/>
              <w:jc w:val="center"/>
              <w:rPr>
                <w:rFonts w:ascii="Arial Narrow" w:hAnsi="Arial Narrow" w:cs="Arial"/>
                <w:sz w:val="18"/>
                <w:szCs w:val="18"/>
              </w:rPr>
            </w:pPr>
            <w:r w:rsidRPr="00F14CA3">
              <w:rPr>
                <w:rFonts w:ascii="Arial Narrow" w:hAnsi="Arial Narrow" w:cs="Arial"/>
                <w:sz w:val="18"/>
                <w:szCs w:val="18"/>
              </w:rPr>
              <w:t>№</w:t>
            </w:r>
          </w:p>
        </w:tc>
        <w:tc>
          <w:tcPr>
            <w:tcW w:w="1281" w:type="pct"/>
            <w:tcBorders>
              <w:top w:val="single" w:sz="4" w:space="0" w:color="auto"/>
              <w:left w:val="single" w:sz="4" w:space="0" w:color="auto"/>
              <w:bottom w:val="single" w:sz="4" w:space="0" w:color="auto"/>
              <w:right w:val="single" w:sz="4" w:space="0" w:color="auto"/>
            </w:tcBorders>
            <w:vAlign w:val="center"/>
            <w:hideMark/>
          </w:tcPr>
          <w:p w:rsidR="00A64028" w:rsidRPr="00F14CA3" w:rsidRDefault="00A64028" w:rsidP="00086001">
            <w:pPr>
              <w:spacing w:after="0" w:line="240" w:lineRule="auto"/>
              <w:jc w:val="center"/>
              <w:rPr>
                <w:rFonts w:ascii="Arial Narrow" w:hAnsi="Arial Narrow" w:cs="Arial"/>
                <w:sz w:val="18"/>
                <w:szCs w:val="18"/>
              </w:rPr>
            </w:pPr>
            <w:r w:rsidRPr="00F14CA3">
              <w:rPr>
                <w:rFonts w:ascii="Arial Narrow" w:hAnsi="Arial Narrow" w:cs="Arial"/>
                <w:sz w:val="18"/>
                <w:szCs w:val="18"/>
              </w:rPr>
              <w:t>Наименование показателя, единица измерения</w:t>
            </w:r>
          </w:p>
        </w:tc>
        <w:tc>
          <w:tcPr>
            <w:tcW w:w="304" w:type="pct"/>
            <w:tcBorders>
              <w:top w:val="single" w:sz="4" w:space="0" w:color="auto"/>
              <w:left w:val="single" w:sz="4" w:space="0" w:color="auto"/>
              <w:bottom w:val="single" w:sz="4" w:space="0" w:color="auto"/>
              <w:right w:val="single" w:sz="4" w:space="0" w:color="auto"/>
            </w:tcBorders>
            <w:textDirection w:val="btLr"/>
            <w:vAlign w:val="center"/>
            <w:hideMark/>
          </w:tcPr>
          <w:p w:rsidR="00A64028" w:rsidRPr="00F14CA3" w:rsidRDefault="00086001" w:rsidP="00086001">
            <w:pPr>
              <w:spacing w:after="0" w:line="240" w:lineRule="auto"/>
              <w:ind w:left="113" w:right="113"/>
              <w:jc w:val="center"/>
              <w:rPr>
                <w:rFonts w:ascii="Arial Narrow" w:hAnsi="Arial Narrow" w:cs="Arial"/>
                <w:sz w:val="18"/>
                <w:szCs w:val="18"/>
              </w:rPr>
            </w:pPr>
            <w:r>
              <w:rPr>
                <w:rFonts w:ascii="Arial Narrow" w:hAnsi="Arial Narrow" w:cs="Arial"/>
                <w:sz w:val="18"/>
                <w:szCs w:val="18"/>
              </w:rPr>
              <w:t>Общий по Новоси</w:t>
            </w:r>
            <w:r w:rsidR="00A64028" w:rsidRPr="00F14CA3">
              <w:rPr>
                <w:rFonts w:ascii="Arial Narrow" w:hAnsi="Arial Narrow" w:cs="Arial"/>
                <w:sz w:val="18"/>
                <w:szCs w:val="18"/>
              </w:rPr>
              <w:t>бирской области</w:t>
            </w:r>
          </w:p>
        </w:tc>
        <w:tc>
          <w:tcPr>
            <w:tcW w:w="245" w:type="pct"/>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F14CA3" w:rsidRDefault="00A64028" w:rsidP="00086001">
            <w:pPr>
              <w:spacing w:after="0" w:line="240" w:lineRule="auto"/>
              <w:jc w:val="center"/>
              <w:rPr>
                <w:rFonts w:ascii="Arial Narrow" w:hAnsi="Arial Narrow" w:cs="Arial"/>
                <w:sz w:val="18"/>
                <w:szCs w:val="18"/>
              </w:rPr>
            </w:pPr>
            <w:r w:rsidRPr="00F14CA3">
              <w:rPr>
                <w:rFonts w:ascii="Arial Narrow" w:hAnsi="Arial Narrow" w:cs="Arial"/>
                <w:sz w:val="18"/>
                <w:szCs w:val="18"/>
              </w:rPr>
              <w:t>Рынок услуг дошкольного образования (коммерческие детские сады и учреждения пребывания неполного дня)</w:t>
            </w:r>
          </w:p>
        </w:tc>
        <w:tc>
          <w:tcPr>
            <w:tcW w:w="229" w:type="pct"/>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F14CA3" w:rsidRDefault="00A64028" w:rsidP="00086001">
            <w:pPr>
              <w:spacing w:after="0" w:line="240" w:lineRule="auto"/>
              <w:jc w:val="center"/>
              <w:rPr>
                <w:rFonts w:ascii="Arial Narrow" w:hAnsi="Arial Narrow" w:cs="Arial"/>
                <w:sz w:val="18"/>
                <w:szCs w:val="18"/>
              </w:rPr>
            </w:pPr>
            <w:r w:rsidRPr="00F14CA3">
              <w:rPr>
                <w:rFonts w:ascii="Arial Narrow" w:hAnsi="Arial Narrow" w:cs="Arial"/>
                <w:sz w:val="18"/>
                <w:szCs w:val="18"/>
              </w:rPr>
              <w:t>Рынок услуг детского отдыха и оздоровления</w:t>
            </w:r>
          </w:p>
        </w:tc>
        <w:tc>
          <w:tcPr>
            <w:tcW w:w="229" w:type="pct"/>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F14CA3" w:rsidRDefault="00A64028" w:rsidP="00086001">
            <w:pPr>
              <w:spacing w:after="0" w:line="240" w:lineRule="auto"/>
              <w:jc w:val="center"/>
              <w:rPr>
                <w:rFonts w:ascii="Arial Narrow" w:hAnsi="Arial Narrow" w:cs="Arial"/>
                <w:sz w:val="18"/>
                <w:szCs w:val="18"/>
              </w:rPr>
            </w:pPr>
            <w:r w:rsidRPr="00F14CA3">
              <w:rPr>
                <w:rFonts w:ascii="Arial Narrow" w:hAnsi="Arial Narrow" w:cs="Arial"/>
                <w:sz w:val="18"/>
                <w:szCs w:val="18"/>
              </w:rPr>
              <w:t>Рынок дополнительного образования детей</w:t>
            </w:r>
          </w:p>
        </w:tc>
        <w:tc>
          <w:tcPr>
            <w:tcW w:w="229" w:type="pct"/>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F14CA3" w:rsidRDefault="00A64028" w:rsidP="00086001">
            <w:pPr>
              <w:spacing w:after="0" w:line="240" w:lineRule="auto"/>
              <w:jc w:val="center"/>
              <w:rPr>
                <w:rFonts w:ascii="Arial Narrow" w:hAnsi="Arial Narrow" w:cs="Arial"/>
                <w:sz w:val="18"/>
                <w:szCs w:val="18"/>
              </w:rPr>
            </w:pPr>
            <w:r w:rsidRPr="00F14CA3">
              <w:rPr>
                <w:rFonts w:ascii="Arial Narrow" w:hAnsi="Arial Narrow" w:cs="Arial"/>
                <w:sz w:val="18"/>
                <w:szCs w:val="18"/>
              </w:rPr>
              <w:t>Рынок медицинских услуг</w:t>
            </w:r>
          </w:p>
        </w:tc>
        <w:tc>
          <w:tcPr>
            <w:tcW w:w="255" w:type="pct"/>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F14CA3" w:rsidRDefault="00A64028" w:rsidP="00086001">
            <w:pPr>
              <w:spacing w:after="0" w:line="240" w:lineRule="auto"/>
              <w:jc w:val="center"/>
              <w:rPr>
                <w:rFonts w:ascii="Arial Narrow" w:hAnsi="Arial Narrow" w:cs="Arial"/>
                <w:sz w:val="18"/>
                <w:szCs w:val="18"/>
              </w:rPr>
            </w:pPr>
            <w:r w:rsidRPr="00F14CA3">
              <w:rPr>
                <w:rFonts w:ascii="Arial Narrow" w:hAnsi="Arial Narrow" w:cs="Arial"/>
                <w:sz w:val="18"/>
                <w:szCs w:val="18"/>
              </w:rPr>
              <w:t>Рынок услуг психолого-педагогического сопровождения детей с ограниченными возможностями здоровья</w:t>
            </w:r>
          </w:p>
        </w:tc>
        <w:tc>
          <w:tcPr>
            <w:tcW w:w="229" w:type="pct"/>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F14CA3" w:rsidRDefault="00A64028" w:rsidP="00086001">
            <w:pPr>
              <w:spacing w:after="0" w:line="240" w:lineRule="auto"/>
              <w:jc w:val="center"/>
              <w:rPr>
                <w:rFonts w:ascii="Arial Narrow" w:hAnsi="Arial Narrow" w:cs="Arial"/>
                <w:sz w:val="18"/>
                <w:szCs w:val="18"/>
              </w:rPr>
            </w:pPr>
            <w:r w:rsidRPr="00F14CA3">
              <w:rPr>
                <w:rFonts w:ascii="Arial Narrow" w:hAnsi="Arial Narrow" w:cs="Arial"/>
                <w:sz w:val="18"/>
                <w:szCs w:val="18"/>
              </w:rPr>
              <w:t>Рынок услуг в сфере культуры</w:t>
            </w:r>
          </w:p>
        </w:tc>
        <w:tc>
          <w:tcPr>
            <w:tcW w:w="229" w:type="pct"/>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F14CA3" w:rsidRDefault="00A64028" w:rsidP="00086001">
            <w:pPr>
              <w:spacing w:after="0" w:line="240" w:lineRule="auto"/>
              <w:jc w:val="center"/>
              <w:rPr>
                <w:rFonts w:ascii="Arial Narrow" w:hAnsi="Arial Narrow" w:cs="Arial"/>
                <w:sz w:val="18"/>
                <w:szCs w:val="18"/>
              </w:rPr>
            </w:pPr>
            <w:r w:rsidRPr="00F14CA3">
              <w:rPr>
                <w:rFonts w:ascii="Arial Narrow" w:hAnsi="Arial Narrow" w:cs="Arial"/>
                <w:sz w:val="18"/>
                <w:szCs w:val="18"/>
              </w:rPr>
              <w:t>Рынок услуг ЖКХ (управляющие компании)</w:t>
            </w:r>
          </w:p>
        </w:tc>
        <w:tc>
          <w:tcPr>
            <w:tcW w:w="255" w:type="pct"/>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F14CA3" w:rsidRDefault="00A64028" w:rsidP="00086001">
            <w:pPr>
              <w:spacing w:after="0" w:line="240" w:lineRule="auto"/>
              <w:jc w:val="center"/>
              <w:rPr>
                <w:rFonts w:ascii="Arial Narrow" w:hAnsi="Arial Narrow" w:cs="Arial"/>
                <w:sz w:val="18"/>
                <w:szCs w:val="18"/>
              </w:rPr>
            </w:pPr>
            <w:r w:rsidRPr="00F14CA3">
              <w:rPr>
                <w:rFonts w:ascii="Arial Narrow" w:hAnsi="Arial Narrow" w:cs="Arial"/>
                <w:sz w:val="18"/>
                <w:szCs w:val="18"/>
              </w:rPr>
              <w:t>Розничная торговля (продажа продуктов питания и непродовольственных товаров)</w:t>
            </w:r>
          </w:p>
        </w:tc>
        <w:tc>
          <w:tcPr>
            <w:tcW w:w="256" w:type="pct"/>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F14CA3" w:rsidRDefault="00A64028" w:rsidP="00086001">
            <w:pPr>
              <w:spacing w:after="0" w:line="240" w:lineRule="auto"/>
              <w:jc w:val="center"/>
              <w:rPr>
                <w:rFonts w:ascii="Arial Narrow" w:hAnsi="Arial Narrow" w:cs="Arial"/>
                <w:sz w:val="18"/>
                <w:szCs w:val="18"/>
              </w:rPr>
            </w:pPr>
            <w:r w:rsidRPr="00F14CA3">
              <w:rPr>
                <w:rFonts w:ascii="Arial Narrow" w:hAnsi="Arial Narrow" w:cs="Arial"/>
                <w:sz w:val="18"/>
                <w:szCs w:val="18"/>
              </w:rPr>
              <w:t>Рынок услуг перевозок пассажиров наземным транспортом (автобусные перевозки и такси)</w:t>
            </w:r>
          </w:p>
        </w:tc>
        <w:tc>
          <w:tcPr>
            <w:tcW w:w="229" w:type="pct"/>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F14CA3" w:rsidRDefault="00A64028" w:rsidP="00086001">
            <w:pPr>
              <w:spacing w:after="0" w:line="240" w:lineRule="auto"/>
              <w:jc w:val="center"/>
              <w:rPr>
                <w:rFonts w:ascii="Arial Narrow" w:hAnsi="Arial Narrow" w:cs="Arial"/>
                <w:sz w:val="18"/>
                <w:szCs w:val="18"/>
              </w:rPr>
            </w:pPr>
            <w:r w:rsidRPr="00F14CA3">
              <w:rPr>
                <w:rFonts w:ascii="Arial Narrow" w:hAnsi="Arial Narrow" w:cs="Arial"/>
                <w:sz w:val="18"/>
                <w:szCs w:val="18"/>
              </w:rPr>
              <w:t>Рынок услуг связи</w:t>
            </w:r>
          </w:p>
        </w:tc>
        <w:tc>
          <w:tcPr>
            <w:tcW w:w="229" w:type="pct"/>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F14CA3" w:rsidRDefault="00A64028" w:rsidP="00086001">
            <w:pPr>
              <w:spacing w:after="0" w:line="240" w:lineRule="auto"/>
              <w:jc w:val="center"/>
              <w:rPr>
                <w:rFonts w:ascii="Arial Narrow" w:hAnsi="Arial Narrow" w:cs="Arial"/>
                <w:sz w:val="18"/>
                <w:szCs w:val="18"/>
              </w:rPr>
            </w:pPr>
            <w:r w:rsidRPr="00F14CA3">
              <w:rPr>
                <w:rFonts w:ascii="Arial Narrow" w:hAnsi="Arial Narrow" w:cs="Arial"/>
                <w:sz w:val="18"/>
                <w:szCs w:val="18"/>
              </w:rPr>
              <w:t>Рынок услуг социального обслуживания населения</w:t>
            </w:r>
          </w:p>
        </w:tc>
        <w:tc>
          <w:tcPr>
            <w:tcW w:w="324" w:type="pct"/>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F14CA3" w:rsidRDefault="00A64028" w:rsidP="00086001">
            <w:pPr>
              <w:spacing w:after="0" w:line="240" w:lineRule="auto"/>
              <w:jc w:val="center"/>
              <w:rPr>
                <w:rFonts w:ascii="Arial Narrow" w:hAnsi="Arial Narrow" w:cs="Arial"/>
                <w:sz w:val="18"/>
                <w:szCs w:val="18"/>
              </w:rPr>
            </w:pPr>
            <w:r w:rsidRPr="00F14CA3">
              <w:rPr>
                <w:rFonts w:ascii="Arial Narrow" w:hAnsi="Arial Narrow" w:cs="Arial"/>
                <w:sz w:val="18"/>
                <w:szCs w:val="18"/>
              </w:rPr>
              <w:t>Рынок развития, производства, переработки и хранения сельскохозяйственной продукции</w:t>
            </w:r>
          </w:p>
        </w:tc>
        <w:tc>
          <w:tcPr>
            <w:tcW w:w="286" w:type="pct"/>
            <w:tcBorders>
              <w:top w:val="single" w:sz="4" w:space="0" w:color="auto"/>
              <w:left w:val="single" w:sz="4" w:space="0" w:color="auto"/>
              <w:bottom w:val="single" w:sz="4" w:space="0" w:color="auto"/>
              <w:right w:val="single" w:sz="4" w:space="0" w:color="auto"/>
            </w:tcBorders>
            <w:noWrap/>
            <w:textDirection w:val="btLr"/>
            <w:vAlign w:val="center"/>
            <w:hideMark/>
          </w:tcPr>
          <w:p w:rsidR="00A64028" w:rsidRPr="00F14CA3" w:rsidRDefault="00A64028" w:rsidP="00086001">
            <w:pPr>
              <w:spacing w:after="0" w:line="240" w:lineRule="auto"/>
              <w:jc w:val="center"/>
              <w:rPr>
                <w:rFonts w:ascii="Arial Narrow" w:hAnsi="Arial Narrow" w:cs="Arial"/>
                <w:sz w:val="18"/>
                <w:szCs w:val="18"/>
              </w:rPr>
            </w:pPr>
            <w:r w:rsidRPr="00F14CA3">
              <w:rPr>
                <w:rFonts w:ascii="Arial Narrow" w:hAnsi="Arial Narrow" w:cs="Arial"/>
                <w:sz w:val="18"/>
                <w:szCs w:val="18"/>
              </w:rPr>
              <w:t>Рынок услуг по сбору, сортировке и переработке твердых коммунальных (бытовых) отходов</w:t>
            </w:r>
          </w:p>
        </w:tc>
      </w:tr>
      <w:tr w:rsidR="00A64028" w:rsidRPr="0051304D" w:rsidTr="00A64028">
        <w:tc>
          <w:tcPr>
            <w:tcW w:w="191" w:type="pct"/>
            <w:tcBorders>
              <w:top w:val="single" w:sz="4" w:space="0" w:color="auto"/>
              <w:left w:val="single" w:sz="4" w:space="0" w:color="auto"/>
              <w:bottom w:val="single" w:sz="4" w:space="0" w:color="auto"/>
              <w:right w:val="single" w:sz="4" w:space="0" w:color="auto"/>
            </w:tcBorders>
            <w:vAlign w:val="center"/>
            <w:hideMark/>
          </w:tcPr>
          <w:p w:rsidR="00A64028" w:rsidRPr="0051304D" w:rsidRDefault="00A64028" w:rsidP="00103148">
            <w:pPr>
              <w:spacing w:after="0"/>
              <w:rPr>
                <w:rFonts w:ascii="Arial Narrow" w:hAnsi="Arial Narrow"/>
                <w:sz w:val="24"/>
                <w:szCs w:val="24"/>
              </w:rPr>
            </w:pPr>
            <w:r w:rsidRPr="0051304D">
              <w:rPr>
                <w:rFonts w:ascii="Arial Narrow" w:hAnsi="Arial Narrow"/>
                <w:sz w:val="16"/>
                <w:szCs w:val="16"/>
              </w:rPr>
              <w:t>1.4.3.</w:t>
            </w:r>
          </w:p>
        </w:tc>
        <w:tc>
          <w:tcPr>
            <w:tcW w:w="1281" w:type="pct"/>
            <w:tcBorders>
              <w:top w:val="single" w:sz="4" w:space="0" w:color="auto"/>
              <w:left w:val="single" w:sz="4" w:space="0" w:color="auto"/>
              <w:bottom w:val="single" w:sz="4" w:space="0" w:color="auto"/>
              <w:right w:val="single" w:sz="4" w:space="0" w:color="auto"/>
            </w:tcBorders>
            <w:vAlign w:val="bottom"/>
            <w:hideMark/>
          </w:tcPr>
          <w:p w:rsidR="00A64028" w:rsidRPr="0051304D" w:rsidRDefault="00A64028" w:rsidP="00086001">
            <w:pPr>
              <w:spacing w:after="0"/>
              <w:ind w:left="92"/>
              <w:rPr>
                <w:rFonts w:ascii="Arial Narrow" w:hAnsi="Arial Narrow"/>
                <w:sz w:val="20"/>
                <w:szCs w:val="20"/>
              </w:rPr>
            </w:pPr>
            <w:r w:rsidRPr="0051304D">
              <w:rPr>
                <w:rFonts w:ascii="Arial Narrow" w:hAnsi="Arial Narrow"/>
                <w:sz w:val="20"/>
                <w:szCs w:val="20"/>
              </w:rPr>
              <w:t>Доля представителей бизнеса, считающих силу влияния административных барьеров способной создать неравные условия для конкуренции (% от числа опрошенных)</w:t>
            </w:r>
          </w:p>
        </w:tc>
        <w:tc>
          <w:tcPr>
            <w:tcW w:w="304" w:type="pct"/>
            <w:tcBorders>
              <w:top w:val="single" w:sz="4" w:space="0" w:color="auto"/>
              <w:left w:val="single" w:sz="4" w:space="0" w:color="auto"/>
              <w:bottom w:val="single" w:sz="4" w:space="0" w:color="auto"/>
              <w:right w:val="single" w:sz="4" w:space="0" w:color="auto"/>
            </w:tcBorders>
            <w:noWrap/>
            <w:vAlign w:val="center"/>
            <w:hideMark/>
          </w:tcPr>
          <w:p w:rsidR="00A64028" w:rsidRPr="00F14CA3" w:rsidRDefault="00A64028" w:rsidP="00103148">
            <w:pPr>
              <w:spacing w:after="0"/>
              <w:jc w:val="center"/>
              <w:rPr>
                <w:rFonts w:ascii="Arial Narrow" w:hAnsi="Arial Narrow"/>
                <w:sz w:val="20"/>
                <w:szCs w:val="20"/>
              </w:rPr>
            </w:pPr>
            <w:r w:rsidRPr="00F14CA3">
              <w:rPr>
                <w:rFonts w:ascii="Arial Narrow" w:hAnsi="Arial Narrow"/>
                <w:sz w:val="20"/>
                <w:szCs w:val="20"/>
              </w:rPr>
              <w:t>57,2%</w:t>
            </w:r>
          </w:p>
        </w:tc>
        <w:tc>
          <w:tcPr>
            <w:tcW w:w="245" w:type="pct"/>
            <w:tcBorders>
              <w:top w:val="single" w:sz="4" w:space="0" w:color="auto"/>
              <w:left w:val="single" w:sz="4" w:space="0" w:color="auto"/>
              <w:bottom w:val="single" w:sz="4" w:space="0" w:color="auto"/>
              <w:right w:val="single" w:sz="4" w:space="0" w:color="auto"/>
            </w:tcBorders>
            <w:noWrap/>
            <w:vAlign w:val="center"/>
            <w:hideMark/>
          </w:tcPr>
          <w:p w:rsidR="00A64028" w:rsidRPr="00F14CA3" w:rsidRDefault="00A64028" w:rsidP="00103148">
            <w:pPr>
              <w:spacing w:after="0"/>
              <w:jc w:val="center"/>
              <w:rPr>
                <w:rFonts w:ascii="Arial Narrow" w:hAnsi="Arial Narrow"/>
                <w:sz w:val="20"/>
                <w:szCs w:val="20"/>
              </w:rPr>
            </w:pPr>
            <w:r w:rsidRPr="00F14CA3">
              <w:rPr>
                <w:rFonts w:ascii="Arial Narrow" w:hAnsi="Arial Narrow"/>
                <w:sz w:val="20"/>
                <w:szCs w:val="20"/>
              </w:rPr>
              <w:t>50,0%</w:t>
            </w:r>
          </w:p>
        </w:tc>
        <w:tc>
          <w:tcPr>
            <w:tcW w:w="229" w:type="pct"/>
            <w:tcBorders>
              <w:top w:val="single" w:sz="4" w:space="0" w:color="auto"/>
              <w:left w:val="single" w:sz="4" w:space="0" w:color="auto"/>
              <w:bottom w:val="single" w:sz="4" w:space="0" w:color="auto"/>
              <w:right w:val="single" w:sz="4" w:space="0" w:color="auto"/>
            </w:tcBorders>
            <w:noWrap/>
            <w:vAlign w:val="center"/>
            <w:hideMark/>
          </w:tcPr>
          <w:p w:rsidR="00A64028" w:rsidRPr="00F14CA3" w:rsidRDefault="00A64028" w:rsidP="00103148">
            <w:pPr>
              <w:spacing w:after="0"/>
              <w:jc w:val="center"/>
              <w:rPr>
                <w:rFonts w:ascii="Arial Narrow" w:hAnsi="Arial Narrow"/>
                <w:sz w:val="20"/>
                <w:szCs w:val="20"/>
              </w:rPr>
            </w:pPr>
            <w:r w:rsidRPr="00F14CA3">
              <w:rPr>
                <w:rFonts w:ascii="Arial Narrow" w:hAnsi="Arial Narrow"/>
                <w:sz w:val="20"/>
                <w:szCs w:val="20"/>
              </w:rPr>
              <w:t>20,0%</w:t>
            </w:r>
          </w:p>
        </w:tc>
        <w:tc>
          <w:tcPr>
            <w:tcW w:w="229" w:type="pct"/>
            <w:tcBorders>
              <w:top w:val="single" w:sz="4" w:space="0" w:color="auto"/>
              <w:left w:val="single" w:sz="4" w:space="0" w:color="auto"/>
              <w:bottom w:val="single" w:sz="4" w:space="0" w:color="auto"/>
              <w:right w:val="single" w:sz="4" w:space="0" w:color="auto"/>
            </w:tcBorders>
            <w:noWrap/>
            <w:vAlign w:val="center"/>
            <w:hideMark/>
          </w:tcPr>
          <w:p w:rsidR="00A64028" w:rsidRPr="00F14CA3" w:rsidRDefault="00A64028" w:rsidP="00103148">
            <w:pPr>
              <w:spacing w:after="0"/>
              <w:jc w:val="center"/>
              <w:rPr>
                <w:rFonts w:ascii="Arial Narrow" w:hAnsi="Arial Narrow"/>
                <w:sz w:val="20"/>
                <w:szCs w:val="20"/>
              </w:rPr>
            </w:pPr>
            <w:r w:rsidRPr="00F14CA3">
              <w:rPr>
                <w:rFonts w:ascii="Arial Narrow" w:hAnsi="Arial Narrow"/>
                <w:sz w:val="20"/>
                <w:szCs w:val="20"/>
              </w:rPr>
              <w:t>48,0%</w:t>
            </w:r>
          </w:p>
        </w:tc>
        <w:tc>
          <w:tcPr>
            <w:tcW w:w="229" w:type="pct"/>
            <w:tcBorders>
              <w:top w:val="single" w:sz="4" w:space="0" w:color="auto"/>
              <w:left w:val="single" w:sz="4" w:space="0" w:color="auto"/>
              <w:bottom w:val="single" w:sz="4" w:space="0" w:color="auto"/>
              <w:right w:val="single" w:sz="4" w:space="0" w:color="auto"/>
            </w:tcBorders>
            <w:noWrap/>
            <w:vAlign w:val="center"/>
            <w:hideMark/>
          </w:tcPr>
          <w:p w:rsidR="00A64028" w:rsidRPr="00F14CA3" w:rsidRDefault="00A64028" w:rsidP="00103148">
            <w:pPr>
              <w:spacing w:after="0"/>
              <w:jc w:val="center"/>
              <w:rPr>
                <w:rFonts w:ascii="Arial Narrow" w:hAnsi="Arial Narrow"/>
                <w:sz w:val="20"/>
                <w:szCs w:val="20"/>
              </w:rPr>
            </w:pPr>
            <w:r w:rsidRPr="00F14CA3">
              <w:rPr>
                <w:rFonts w:ascii="Arial Narrow" w:hAnsi="Arial Narrow"/>
                <w:sz w:val="20"/>
                <w:szCs w:val="20"/>
              </w:rPr>
              <w:t>70,0%</w:t>
            </w:r>
          </w:p>
        </w:tc>
        <w:tc>
          <w:tcPr>
            <w:tcW w:w="255" w:type="pct"/>
            <w:tcBorders>
              <w:top w:val="single" w:sz="4" w:space="0" w:color="auto"/>
              <w:left w:val="single" w:sz="4" w:space="0" w:color="auto"/>
              <w:bottom w:val="single" w:sz="4" w:space="0" w:color="auto"/>
              <w:right w:val="single" w:sz="4" w:space="0" w:color="auto"/>
            </w:tcBorders>
            <w:noWrap/>
            <w:vAlign w:val="center"/>
            <w:hideMark/>
          </w:tcPr>
          <w:p w:rsidR="00A64028" w:rsidRPr="00F14CA3" w:rsidRDefault="00A64028" w:rsidP="00103148">
            <w:pPr>
              <w:spacing w:after="0"/>
              <w:jc w:val="center"/>
              <w:rPr>
                <w:rFonts w:ascii="Arial Narrow" w:hAnsi="Arial Narrow"/>
                <w:sz w:val="20"/>
                <w:szCs w:val="20"/>
              </w:rPr>
            </w:pPr>
            <w:r w:rsidRPr="00F14CA3">
              <w:rPr>
                <w:rFonts w:ascii="Arial Narrow" w:hAnsi="Arial Narrow"/>
                <w:sz w:val="20"/>
                <w:szCs w:val="20"/>
              </w:rPr>
              <w:t>48,0%</w:t>
            </w:r>
          </w:p>
        </w:tc>
        <w:tc>
          <w:tcPr>
            <w:tcW w:w="229" w:type="pct"/>
            <w:tcBorders>
              <w:top w:val="single" w:sz="4" w:space="0" w:color="auto"/>
              <w:left w:val="single" w:sz="4" w:space="0" w:color="auto"/>
              <w:bottom w:val="single" w:sz="4" w:space="0" w:color="auto"/>
              <w:right w:val="single" w:sz="4" w:space="0" w:color="auto"/>
            </w:tcBorders>
            <w:noWrap/>
            <w:vAlign w:val="center"/>
            <w:hideMark/>
          </w:tcPr>
          <w:p w:rsidR="00A64028" w:rsidRPr="00F14CA3" w:rsidRDefault="00A64028" w:rsidP="00103148">
            <w:pPr>
              <w:spacing w:after="0"/>
              <w:jc w:val="center"/>
              <w:rPr>
                <w:rFonts w:ascii="Arial Narrow" w:hAnsi="Arial Narrow"/>
                <w:sz w:val="20"/>
                <w:szCs w:val="20"/>
              </w:rPr>
            </w:pPr>
            <w:r w:rsidRPr="00F14CA3">
              <w:rPr>
                <w:rFonts w:ascii="Arial Narrow" w:hAnsi="Arial Narrow"/>
                <w:sz w:val="20"/>
                <w:szCs w:val="20"/>
              </w:rPr>
              <w:t>40,0%</w:t>
            </w:r>
          </w:p>
        </w:tc>
        <w:tc>
          <w:tcPr>
            <w:tcW w:w="229" w:type="pct"/>
            <w:tcBorders>
              <w:top w:val="single" w:sz="4" w:space="0" w:color="auto"/>
              <w:left w:val="single" w:sz="4" w:space="0" w:color="auto"/>
              <w:bottom w:val="single" w:sz="4" w:space="0" w:color="auto"/>
              <w:right w:val="single" w:sz="4" w:space="0" w:color="auto"/>
            </w:tcBorders>
            <w:noWrap/>
            <w:vAlign w:val="center"/>
            <w:hideMark/>
          </w:tcPr>
          <w:p w:rsidR="00A64028" w:rsidRPr="00F14CA3" w:rsidRDefault="00A64028" w:rsidP="00103148">
            <w:pPr>
              <w:spacing w:after="0"/>
              <w:jc w:val="center"/>
              <w:rPr>
                <w:rFonts w:ascii="Arial Narrow" w:hAnsi="Arial Narrow"/>
                <w:sz w:val="20"/>
                <w:szCs w:val="20"/>
              </w:rPr>
            </w:pPr>
            <w:r w:rsidRPr="00F14CA3">
              <w:rPr>
                <w:rFonts w:ascii="Arial Narrow" w:hAnsi="Arial Narrow"/>
                <w:sz w:val="20"/>
                <w:szCs w:val="20"/>
              </w:rPr>
              <w:t>67,1%</w:t>
            </w:r>
          </w:p>
        </w:tc>
        <w:tc>
          <w:tcPr>
            <w:tcW w:w="255" w:type="pct"/>
            <w:tcBorders>
              <w:top w:val="single" w:sz="4" w:space="0" w:color="auto"/>
              <w:left w:val="single" w:sz="4" w:space="0" w:color="auto"/>
              <w:bottom w:val="single" w:sz="4" w:space="0" w:color="auto"/>
              <w:right w:val="single" w:sz="4" w:space="0" w:color="auto"/>
            </w:tcBorders>
            <w:noWrap/>
            <w:vAlign w:val="center"/>
            <w:hideMark/>
          </w:tcPr>
          <w:p w:rsidR="00A64028" w:rsidRPr="00F14CA3" w:rsidRDefault="00A64028" w:rsidP="00103148">
            <w:pPr>
              <w:spacing w:after="0"/>
              <w:jc w:val="center"/>
              <w:rPr>
                <w:rFonts w:ascii="Arial Narrow" w:hAnsi="Arial Narrow"/>
                <w:sz w:val="20"/>
                <w:szCs w:val="20"/>
              </w:rPr>
            </w:pPr>
            <w:r w:rsidRPr="00F14CA3">
              <w:rPr>
                <w:rFonts w:ascii="Arial Narrow" w:hAnsi="Arial Narrow"/>
                <w:sz w:val="20"/>
                <w:szCs w:val="20"/>
              </w:rPr>
              <w:t>52,7%</w:t>
            </w:r>
          </w:p>
        </w:tc>
        <w:tc>
          <w:tcPr>
            <w:tcW w:w="256" w:type="pct"/>
            <w:tcBorders>
              <w:top w:val="single" w:sz="4" w:space="0" w:color="auto"/>
              <w:left w:val="single" w:sz="4" w:space="0" w:color="auto"/>
              <w:bottom w:val="single" w:sz="4" w:space="0" w:color="auto"/>
              <w:right w:val="single" w:sz="4" w:space="0" w:color="auto"/>
            </w:tcBorders>
            <w:noWrap/>
            <w:vAlign w:val="center"/>
            <w:hideMark/>
          </w:tcPr>
          <w:p w:rsidR="00A64028" w:rsidRPr="00F14CA3" w:rsidRDefault="00A64028" w:rsidP="00103148">
            <w:pPr>
              <w:spacing w:after="0"/>
              <w:jc w:val="center"/>
              <w:rPr>
                <w:rFonts w:ascii="Arial Narrow" w:hAnsi="Arial Narrow"/>
                <w:sz w:val="20"/>
                <w:szCs w:val="20"/>
              </w:rPr>
            </w:pPr>
            <w:r w:rsidRPr="00F14CA3">
              <w:rPr>
                <w:rFonts w:ascii="Arial Narrow" w:hAnsi="Arial Narrow"/>
                <w:sz w:val="20"/>
                <w:szCs w:val="20"/>
              </w:rPr>
              <w:t>81,7%</w:t>
            </w:r>
          </w:p>
        </w:tc>
        <w:tc>
          <w:tcPr>
            <w:tcW w:w="229" w:type="pct"/>
            <w:tcBorders>
              <w:top w:val="single" w:sz="4" w:space="0" w:color="auto"/>
              <w:left w:val="single" w:sz="4" w:space="0" w:color="auto"/>
              <w:bottom w:val="single" w:sz="4" w:space="0" w:color="auto"/>
              <w:right w:val="single" w:sz="4" w:space="0" w:color="auto"/>
            </w:tcBorders>
            <w:noWrap/>
            <w:vAlign w:val="center"/>
            <w:hideMark/>
          </w:tcPr>
          <w:p w:rsidR="00A64028" w:rsidRPr="00F14CA3" w:rsidRDefault="00A64028" w:rsidP="00103148">
            <w:pPr>
              <w:spacing w:after="0"/>
              <w:jc w:val="center"/>
              <w:rPr>
                <w:rFonts w:ascii="Arial Narrow" w:hAnsi="Arial Narrow"/>
                <w:sz w:val="20"/>
                <w:szCs w:val="20"/>
              </w:rPr>
            </w:pPr>
            <w:r w:rsidRPr="00F14CA3">
              <w:rPr>
                <w:rFonts w:ascii="Arial Narrow" w:hAnsi="Arial Narrow"/>
                <w:sz w:val="20"/>
                <w:szCs w:val="20"/>
              </w:rPr>
              <w:t>48,0%</w:t>
            </w:r>
          </w:p>
        </w:tc>
        <w:tc>
          <w:tcPr>
            <w:tcW w:w="229" w:type="pct"/>
            <w:tcBorders>
              <w:top w:val="single" w:sz="4" w:space="0" w:color="auto"/>
              <w:left w:val="single" w:sz="4" w:space="0" w:color="auto"/>
              <w:bottom w:val="single" w:sz="4" w:space="0" w:color="auto"/>
              <w:right w:val="single" w:sz="4" w:space="0" w:color="auto"/>
            </w:tcBorders>
            <w:noWrap/>
            <w:vAlign w:val="center"/>
            <w:hideMark/>
          </w:tcPr>
          <w:p w:rsidR="00A64028" w:rsidRPr="00F14CA3" w:rsidRDefault="00A64028" w:rsidP="00103148">
            <w:pPr>
              <w:spacing w:after="0"/>
              <w:jc w:val="center"/>
              <w:rPr>
                <w:rFonts w:ascii="Arial Narrow" w:hAnsi="Arial Narrow"/>
                <w:sz w:val="20"/>
                <w:szCs w:val="20"/>
              </w:rPr>
            </w:pPr>
            <w:r w:rsidRPr="00F14CA3">
              <w:rPr>
                <w:rFonts w:ascii="Arial Narrow" w:hAnsi="Arial Narrow"/>
                <w:sz w:val="20"/>
                <w:szCs w:val="20"/>
              </w:rPr>
              <w:t>44,0%</w:t>
            </w:r>
          </w:p>
        </w:tc>
        <w:tc>
          <w:tcPr>
            <w:tcW w:w="324" w:type="pct"/>
            <w:tcBorders>
              <w:top w:val="single" w:sz="4" w:space="0" w:color="auto"/>
              <w:left w:val="single" w:sz="4" w:space="0" w:color="auto"/>
              <w:bottom w:val="single" w:sz="4" w:space="0" w:color="auto"/>
              <w:right w:val="single" w:sz="4" w:space="0" w:color="auto"/>
            </w:tcBorders>
            <w:noWrap/>
            <w:vAlign w:val="center"/>
            <w:hideMark/>
          </w:tcPr>
          <w:p w:rsidR="00A64028" w:rsidRPr="00F14CA3" w:rsidRDefault="00A64028" w:rsidP="00103148">
            <w:pPr>
              <w:spacing w:after="0"/>
              <w:jc w:val="center"/>
              <w:rPr>
                <w:rFonts w:ascii="Arial Narrow" w:hAnsi="Arial Narrow"/>
                <w:sz w:val="20"/>
                <w:szCs w:val="20"/>
              </w:rPr>
            </w:pPr>
            <w:r w:rsidRPr="00F14CA3">
              <w:rPr>
                <w:rFonts w:ascii="Arial Narrow" w:hAnsi="Arial Narrow"/>
                <w:sz w:val="20"/>
                <w:szCs w:val="20"/>
              </w:rPr>
              <w:t>52,0%</w:t>
            </w:r>
          </w:p>
        </w:tc>
        <w:tc>
          <w:tcPr>
            <w:tcW w:w="286" w:type="pct"/>
            <w:tcBorders>
              <w:top w:val="single" w:sz="4" w:space="0" w:color="auto"/>
              <w:left w:val="single" w:sz="4" w:space="0" w:color="auto"/>
              <w:bottom w:val="single" w:sz="4" w:space="0" w:color="auto"/>
              <w:right w:val="single" w:sz="4" w:space="0" w:color="auto"/>
            </w:tcBorders>
            <w:noWrap/>
            <w:vAlign w:val="center"/>
            <w:hideMark/>
          </w:tcPr>
          <w:p w:rsidR="00A64028" w:rsidRPr="00F14CA3" w:rsidRDefault="00A64028" w:rsidP="00103148">
            <w:pPr>
              <w:spacing w:after="0"/>
              <w:jc w:val="center"/>
              <w:rPr>
                <w:rFonts w:ascii="Arial Narrow" w:hAnsi="Arial Narrow"/>
                <w:sz w:val="20"/>
                <w:szCs w:val="20"/>
              </w:rPr>
            </w:pPr>
            <w:r w:rsidRPr="00F14CA3">
              <w:rPr>
                <w:rFonts w:ascii="Arial Narrow" w:hAnsi="Arial Narrow"/>
                <w:sz w:val="20"/>
                <w:szCs w:val="20"/>
              </w:rPr>
              <w:t>50,0%</w:t>
            </w:r>
          </w:p>
        </w:tc>
      </w:tr>
    </w:tbl>
    <w:p w:rsidR="00A64028" w:rsidRPr="0051304D" w:rsidRDefault="00A64028" w:rsidP="00103148">
      <w:pPr>
        <w:spacing w:after="0"/>
        <w:jc w:val="both"/>
        <w:rPr>
          <w:rFonts w:ascii="Arial Narrow" w:hAnsi="Arial Narrow"/>
          <w:sz w:val="24"/>
          <w:szCs w:val="24"/>
        </w:rPr>
      </w:pPr>
    </w:p>
    <w:p w:rsidR="00A64028" w:rsidRPr="0051304D" w:rsidRDefault="00A64028" w:rsidP="00F14CA3">
      <w:pPr>
        <w:spacing w:after="0" w:line="360" w:lineRule="auto"/>
        <w:ind w:firstLine="284"/>
        <w:jc w:val="both"/>
        <w:rPr>
          <w:rFonts w:ascii="Arial Narrow" w:hAnsi="Arial Narrow"/>
          <w:sz w:val="24"/>
          <w:szCs w:val="24"/>
        </w:rPr>
      </w:pPr>
      <w:r w:rsidRPr="0051304D">
        <w:rPr>
          <w:rFonts w:ascii="Arial Narrow" w:hAnsi="Arial Narrow"/>
          <w:b/>
          <w:sz w:val="24"/>
          <w:szCs w:val="24"/>
        </w:rPr>
        <w:t>Значение показателя 1.4.4. Оценка характера влияния органов власти на конкуренцию на рынке (% от числа опрошенных).</w:t>
      </w:r>
    </w:p>
    <w:p w:rsidR="00A64028" w:rsidRPr="0051304D" w:rsidRDefault="00A64028" w:rsidP="00F14CA3">
      <w:pPr>
        <w:spacing w:after="0" w:line="360" w:lineRule="auto"/>
        <w:ind w:firstLine="284"/>
        <w:jc w:val="both"/>
        <w:rPr>
          <w:rFonts w:ascii="Arial Narrow" w:hAnsi="Arial Narrow"/>
          <w:sz w:val="24"/>
          <w:szCs w:val="24"/>
        </w:rPr>
      </w:pPr>
      <w:r w:rsidRPr="0051304D">
        <w:rPr>
          <w:rFonts w:ascii="Arial Narrow" w:hAnsi="Arial Narrow"/>
          <w:sz w:val="24"/>
          <w:szCs w:val="24"/>
        </w:rPr>
        <w:t>Доля отрицательных оценок влияния органов власти на конкуренцию («органы власти не предпринимают каких-либо действий, но их участие необходимо» или «органы власти мешают бизнесу своими действиями») превышает долю положительных («органы власти помогают бизнесу своими действиями»): 23 % против 11% соответственно. Иная ситуация наблюдается на рынках услуг детского отдыха и оздоровления, услуг психолого-педагогического сопровождения детей с ограниченными возможностями здоровья, услуг связи, услуг социального обслуживания населения и развития, производства, переработки и хранения с/х продукции, где доля положительных оценок превышает суммарную долю отрицательных. Гораздо чаще дают негативные оценки деятельности органов власти, чем позитивные (на 18–23 %), представители рынков услуг дошкольного образования, услуг ЖКХ, услуг наземного пассажирского транспорта и медицинских услуг.</w:t>
      </w:r>
    </w:p>
    <w:p w:rsidR="00A64028" w:rsidRPr="0051304D" w:rsidRDefault="00A64028" w:rsidP="00F14CA3">
      <w:pPr>
        <w:spacing w:after="0" w:line="360" w:lineRule="auto"/>
        <w:ind w:firstLine="284"/>
        <w:jc w:val="both"/>
        <w:rPr>
          <w:rFonts w:ascii="Arial Narrow" w:hAnsi="Arial Narrow"/>
          <w:sz w:val="24"/>
          <w:szCs w:val="24"/>
        </w:rPr>
      </w:pPr>
      <w:r w:rsidRPr="0051304D">
        <w:rPr>
          <w:rFonts w:ascii="Arial Narrow" w:hAnsi="Arial Narrow"/>
          <w:sz w:val="24"/>
          <w:szCs w:val="24"/>
        </w:rPr>
        <w:t xml:space="preserve">Однозначно отрицательные оценки деятельности органов власти (11,6 %) указывают на прямое противодействие последних бизнесу и свидетельствуют о наличии серьезных административных барьеров. Прямое противодействие органов власти чаще всего отмечали представители рынков услуг по сбору, сортировке и переработке твердых коммунальных (бытовых) отходов (20,0 %), услуг перевозок пассажиров наземным транспортом (18,3 %) и услуг ЖКХ (17,1 %). Не наблюдается противодействия бизнесу со стороны органов власти на рынках услуг детского отдыха и оздоровления, </w:t>
      </w:r>
      <w:r w:rsidRPr="0051304D">
        <w:rPr>
          <w:rFonts w:ascii="Arial Narrow" w:hAnsi="Arial Narrow"/>
          <w:sz w:val="24"/>
          <w:szCs w:val="24"/>
        </w:rPr>
        <w:lastRenderedPageBreak/>
        <w:t>услуг психолого-педагогического сопровождения детей с ограниченными возможностями здоровья и услуг связи.</w:t>
      </w:r>
    </w:p>
    <w:p w:rsidR="00F14CA3" w:rsidRDefault="00F14CA3" w:rsidP="00103148">
      <w:pPr>
        <w:spacing w:after="0"/>
        <w:rPr>
          <w:rFonts w:ascii="Arial Narrow" w:eastAsia="Calibri" w:hAnsi="Arial Narrow"/>
          <w:sz w:val="24"/>
          <w:szCs w:val="24"/>
        </w:rPr>
      </w:pPr>
    </w:p>
    <w:p w:rsidR="00A64028" w:rsidRPr="0051304D" w:rsidRDefault="00262F71" w:rsidP="00103148">
      <w:pPr>
        <w:spacing w:after="0"/>
        <w:rPr>
          <w:rFonts w:ascii="Arial Narrow" w:hAnsi="Arial Narrow"/>
          <w:b/>
          <w:sz w:val="24"/>
          <w:szCs w:val="24"/>
        </w:rPr>
      </w:pPr>
      <w:r>
        <w:rPr>
          <w:rFonts w:ascii="Arial Narrow" w:eastAsia="Calibri" w:hAnsi="Arial Narrow"/>
          <w:sz w:val="24"/>
          <w:szCs w:val="24"/>
        </w:rPr>
        <w:t>Таблица 7.31</w:t>
      </w:r>
      <w:r w:rsidR="00A64028" w:rsidRPr="0051304D">
        <w:rPr>
          <w:rFonts w:ascii="Arial Narrow" w:eastAsia="Calibri" w:hAnsi="Arial Narrow"/>
          <w:sz w:val="24"/>
          <w:szCs w:val="24"/>
        </w:rPr>
        <w:t xml:space="preserve">. – </w:t>
      </w:r>
      <w:r w:rsidR="00A64028" w:rsidRPr="0051304D">
        <w:rPr>
          <w:rFonts w:ascii="Arial Narrow" w:hAnsi="Arial Narrow"/>
          <w:b/>
          <w:sz w:val="24"/>
          <w:szCs w:val="24"/>
        </w:rPr>
        <w:t>Значение показателя 1.4.4. Оценка характера влияния органов власти на конкуренцию на рынке (% от числа опрошенных)</w:t>
      </w:r>
    </w:p>
    <w:tbl>
      <w:tblPr>
        <w:tblW w:w="5089"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83"/>
        <w:gridCol w:w="1542"/>
        <w:gridCol w:w="557"/>
        <w:gridCol w:w="557"/>
        <w:gridCol w:w="557"/>
        <w:gridCol w:w="557"/>
        <w:gridCol w:w="557"/>
        <w:gridCol w:w="557"/>
        <w:gridCol w:w="557"/>
        <w:gridCol w:w="557"/>
        <w:gridCol w:w="557"/>
        <w:gridCol w:w="557"/>
        <w:gridCol w:w="557"/>
        <w:gridCol w:w="557"/>
        <w:gridCol w:w="557"/>
        <w:gridCol w:w="562"/>
      </w:tblGrid>
      <w:tr w:rsidR="00A64028" w:rsidRPr="0051304D" w:rsidTr="00086001">
        <w:trPr>
          <w:cantSplit/>
          <w:trHeight w:val="3105"/>
          <w:tblHeader/>
        </w:trPr>
        <w:tc>
          <w:tcPr>
            <w:tcW w:w="343" w:type="pct"/>
            <w:tcBorders>
              <w:top w:val="single" w:sz="4" w:space="0" w:color="auto"/>
              <w:left w:val="single" w:sz="4" w:space="0" w:color="auto"/>
              <w:bottom w:val="single" w:sz="4" w:space="0" w:color="auto"/>
              <w:right w:val="single" w:sz="4" w:space="0" w:color="auto"/>
            </w:tcBorders>
            <w:noWrap/>
            <w:vAlign w:val="center"/>
            <w:hideMark/>
          </w:tcPr>
          <w:p w:rsidR="00A64028" w:rsidRPr="0051304D" w:rsidRDefault="00A64028" w:rsidP="00103148">
            <w:pPr>
              <w:spacing w:after="0" w:line="252" w:lineRule="auto"/>
              <w:jc w:val="center"/>
              <w:rPr>
                <w:rFonts w:ascii="Arial Narrow" w:hAnsi="Arial Narrow" w:cs="Arial"/>
              </w:rPr>
            </w:pPr>
            <w:r w:rsidRPr="0051304D">
              <w:rPr>
                <w:rFonts w:ascii="Arial Narrow" w:hAnsi="Arial Narrow" w:cs="Arial"/>
              </w:rPr>
              <w:t>№</w:t>
            </w:r>
          </w:p>
        </w:tc>
        <w:tc>
          <w:tcPr>
            <w:tcW w:w="73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086001" w:rsidRDefault="00A64028" w:rsidP="00086001">
            <w:pPr>
              <w:spacing w:after="0" w:line="240" w:lineRule="auto"/>
              <w:ind w:right="141"/>
              <w:rPr>
                <w:rFonts w:ascii="Arial Narrow" w:hAnsi="Arial Narrow" w:cs="Arial"/>
                <w:sz w:val="18"/>
                <w:szCs w:val="18"/>
              </w:rPr>
            </w:pPr>
            <w:r w:rsidRPr="00086001">
              <w:rPr>
                <w:rFonts w:ascii="Arial Narrow" w:hAnsi="Arial Narrow" w:cs="Arial"/>
                <w:sz w:val="18"/>
                <w:szCs w:val="18"/>
              </w:rPr>
              <w:t>Наименование показателя, единица измерения</w:t>
            </w:r>
          </w:p>
        </w:tc>
        <w:tc>
          <w:tcPr>
            <w:tcW w:w="280" w:type="pct"/>
            <w:tcBorders>
              <w:top w:val="single" w:sz="4" w:space="0" w:color="auto"/>
              <w:left w:val="single" w:sz="4" w:space="0" w:color="auto"/>
              <w:bottom w:val="single" w:sz="4" w:space="0" w:color="auto"/>
              <w:right w:val="single" w:sz="4" w:space="0" w:color="auto"/>
            </w:tcBorders>
            <w:shd w:val="clear" w:color="auto" w:fill="FFFFFF"/>
            <w:textDirection w:val="btLr"/>
            <w:hideMark/>
          </w:tcPr>
          <w:p w:rsidR="00A64028" w:rsidRPr="00086001" w:rsidRDefault="00A64028" w:rsidP="00086001">
            <w:pPr>
              <w:spacing w:after="0" w:line="240" w:lineRule="auto"/>
              <w:ind w:right="113"/>
              <w:jc w:val="center"/>
              <w:rPr>
                <w:rFonts w:ascii="Arial Narrow" w:hAnsi="Arial Narrow"/>
                <w:sz w:val="18"/>
                <w:szCs w:val="18"/>
              </w:rPr>
            </w:pPr>
            <w:r w:rsidRPr="00086001">
              <w:rPr>
                <w:rFonts w:ascii="Arial Narrow" w:hAnsi="Arial Narrow" w:cs="Arial"/>
                <w:sz w:val="18"/>
                <w:szCs w:val="18"/>
              </w:rPr>
              <w:t>Общий по Новосибирской области</w:t>
            </w:r>
          </w:p>
        </w:tc>
        <w:tc>
          <w:tcPr>
            <w:tcW w:w="280"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086001" w:rsidRDefault="00A64028" w:rsidP="00086001">
            <w:pPr>
              <w:spacing w:after="0" w:line="240" w:lineRule="auto"/>
              <w:ind w:right="113"/>
              <w:jc w:val="center"/>
              <w:rPr>
                <w:rFonts w:ascii="Arial Narrow" w:hAnsi="Arial Narrow"/>
                <w:sz w:val="18"/>
                <w:szCs w:val="18"/>
              </w:rPr>
            </w:pPr>
            <w:r w:rsidRPr="00086001">
              <w:rPr>
                <w:rFonts w:ascii="Arial Narrow" w:hAnsi="Arial Narrow"/>
                <w:sz w:val="18"/>
                <w:szCs w:val="18"/>
              </w:rPr>
              <w:t>Рынок услуг дошкольного образования</w:t>
            </w:r>
          </w:p>
        </w:tc>
        <w:tc>
          <w:tcPr>
            <w:tcW w:w="280"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086001" w:rsidRDefault="00A64028" w:rsidP="00086001">
            <w:pPr>
              <w:spacing w:after="0" w:line="240" w:lineRule="auto"/>
              <w:ind w:right="113"/>
              <w:jc w:val="center"/>
              <w:rPr>
                <w:rFonts w:ascii="Arial Narrow" w:hAnsi="Arial Narrow"/>
                <w:sz w:val="18"/>
                <w:szCs w:val="18"/>
              </w:rPr>
            </w:pPr>
            <w:r w:rsidRPr="00086001">
              <w:rPr>
                <w:rFonts w:ascii="Arial Narrow" w:hAnsi="Arial Narrow"/>
                <w:sz w:val="18"/>
                <w:szCs w:val="18"/>
              </w:rPr>
              <w:t>Рынок услуг детского отдыха и оздоровления</w:t>
            </w:r>
          </w:p>
        </w:tc>
        <w:tc>
          <w:tcPr>
            <w:tcW w:w="280"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086001" w:rsidRDefault="00A64028" w:rsidP="00086001">
            <w:pPr>
              <w:spacing w:after="0" w:line="240" w:lineRule="auto"/>
              <w:ind w:right="113"/>
              <w:jc w:val="center"/>
              <w:rPr>
                <w:rFonts w:ascii="Arial Narrow" w:hAnsi="Arial Narrow"/>
                <w:sz w:val="18"/>
                <w:szCs w:val="18"/>
              </w:rPr>
            </w:pPr>
            <w:r w:rsidRPr="00086001">
              <w:rPr>
                <w:rFonts w:ascii="Arial Narrow" w:hAnsi="Arial Narrow"/>
                <w:sz w:val="18"/>
                <w:szCs w:val="18"/>
              </w:rPr>
              <w:t>Рынок дополнительного образования детей</w:t>
            </w:r>
          </w:p>
        </w:tc>
        <w:tc>
          <w:tcPr>
            <w:tcW w:w="280"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086001" w:rsidRDefault="00A64028" w:rsidP="00086001">
            <w:pPr>
              <w:spacing w:after="0" w:line="240" w:lineRule="auto"/>
              <w:ind w:right="113"/>
              <w:jc w:val="center"/>
              <w:rPr>
                <w:rFonts w:ascii="Arial Narrow" w:hAnsi="Arial Narrow"/>
                <w:sz w:val="18"/>
                <w:szCs w:val="18"/>
              </w:rPr>
            </w:pPr>
            <w:r w:rsidRPr="00086001">
              <w:rPr>
                <w:rFonts w:ascii="Arial Narrow" w:hAnsi="Arial Narrow"/>
                <w:sz w:val="18"/>
                <w:szCs w:val="18"/>
              </w:rPr>
              <w:t>Рынок медицинских услуг</w:t>
            </w:r>
          </w:p>
        </w:tc>
        <w:tc>
          <w:tcPr>
            <w:tcW w:w="280"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086001" w:rsidRDefault="00A64028" w:rsidP="00086001">
            <w:pPr>
              <w:spacing w:after="0" w:line="240" w:lineRule="auto"/>
              <w:ind w:right="113"/>
              <w:jc w:val="center"/>
              <w:rPr>
                <w:rFonts w:ascii="Arial Narrow" w:hAnsi="Arial Narrow"/>
                <w:sz w:val="18"/>
                <w:szCs w:val="18"/>
              </w:rPr>
            </w:pPr>
            <w:r w:rsidRPr="00086001">
              <w:rPr>
                <w:rFonts w:ascii="Arial Narrow" w:hAnsi="Arial Narrow"/>
                <w:sz w:val="18"/>
                <w:szCs w:val="18"/>
              </w:rPr>
              <w:t>Рынок услуг психолого-педагогического сопровождения детей с ограниченными возможностями здоровья</w:t>
            </w:r>
          </w:p>
        </w:tc>
        <w:tc>
          <w:tcPr>
            <w:tcW w:w="280"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086001" w:rsidRDefault="00A64028" w:rsidP="00086001">
            <w:pPr>
              <w:spacing w:after="0" w:line="240" w:lineRule="auto"/>
              <w:ind w:right="113"/>
              <w:jc w:val="center"/>
              <w:rPr>
                <w:rFonts w:ascii="Arial Narrow" w:hAnsi="Arial Narrow"/>
                <w:sz w:val="18"/>
                <w:szCs w:val="18"/>
              </w:rPr>
            </w:pPr>
            <w:r w:rsidRPr="00086001">
              <w:rPr>
                <w:rFonts w:ascii="Arial Narrow" w:hAnsi="Arial Narrow"/>
                <w:sz w:val="18"/>
                <w:szCs w:val="18"/>
              </w:rPr>
              <w:t>Рынок услуг в сфере культуры</w:t>
            </w:r>
          </w:p>
        </w:tc>
        <w:tc>
          <w:tcPr>
            <w:tcW w:w="280"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086001" w:rsidRDefault="00A64028" w:rsidP="00086001">
            <w:pPr>
              <w:spacing w:after="0" w:line="240" w:lineRule="auto"/>
              <w:ind w:right="113"/>
              <w:jc w:val="center"/>
              <w:rPr>
                <w:rFonts w:ascii="Arial Narrow" w:hAnsi="Arial Narrow"/>
                <w:sz w:val="18"/>
                <w:szCs w:val="18"/>
              </w:rPr>
            </w:pPr>
            <w:r w:rsidRPr="00086001">
              <w:rPr>
                <w:rFonts w:ascii="Arial Narrow" w:hAnsi="Arial Narrow"/>
                <w:sz w:val="18"/>
                <w:szCs w:val="18"/>
              </w:rPr>
              <w:t>Рынок услуг ЖКХ</w:t>
            </w:r>
          </w:p>
        </w:tc>
        <w:tc>
          <w:tcPr>
            <w:tcW w:w="280"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086001" w:rsidRDefault="00A64028" w:rsidP="00086001">
            <w:pPr>
              <w:spacing w:after="0" w:line="240" w:lineRule="auto"/>
              <w:ind w:right="113"/>
              <w:jc w:val="center"/>
              <w:rPr>
                <w:rFonts w:ascii="Arial Narrow" w:hAnsi="Arial Narrow"/>
                <w:sz w:val="18"/>
                <w:szCs w:val="18"/>
              </w:rPr>
            </w:pPr>
            <w:r w:rsidRPr="00086001">
              <w:rPr>
                <w:rFonts w:ascii="Arial Narrow" w:hAnsi="Arial Narrow"/>
                <w:sz w:val="18"/>
                <w:szCs w:val="18"/>
              </w:rPr>
              <w:t>Розничная торговля</w:t>
            </w:r>
          </w:p>
        </w:tc>
        <w:tc>
          <w:tcPr>
            <w:tcW w:w="280"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086001" w:rsidRDefault="00A64028" w:rsidP="00086001">
            <w:pPr>
              <w:spacing w:after="0" w:line="240" w:lineRule="auto"/>
              <w:ind w:right="113"/>
              <w:jc w:val="center"/>
              <w:rPr>
                <w:rFonts w:ascii="Arial Narrow" w:hAnsi="Arial Narrow"/>
                <w:sz w:val="18"/>
                <w:szCs w:val="18"/>
              </w:rPr>
            </w:pPr>
            <w:r w:rsidRPr="00086001">
              <w:rPr>
                <w:rFonts w:ascii="Arial Narrow" w:hAnsi="Arial Narrow"/>
                <w:sz w:val="18"/>
                <w:szCs w:val="18"/>
              </w:rPr>
              <w:t>Рынок услуг перевозок пассажиров наземным транспортом</w:t>
            </w:r>
          </w:p>
        </w:tc>
        <w:tc>
          <w:tcPr>
            <w:tcW w:w="280"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086001" w:rsidRDefault="00A64028" w:rsidP="00086001">
            <w:pPr>
              <w:spacing w:after="0" w:line="240" w:lineRule="auto"/>
              <w:ind w:right="113"/>
              <w:jc w:val="center"/>
              <w:rPr>
                <w:rFonts w:ascii="Arial Narrow" w:hAnsi="Arial Narrow"/>
                <w:sz w:val="18"/>
                <w:szCs w:val="18"/>
              </w:rPr>
            </w:pPr>
            <w:r w:rsidRPr="00086001">
              <w:rPr>
                <w:rFonts w:ascii="Arial Narrow" w:hAnsi="Arial Narrow"/>
                <w:sz w:val="18"/>
                <w:szCs w:val="18"/>
              </w:rPr>
              <w:t>Рынок услуг связи</w:t>
            </w:r>
          </w:p>
        </w:tc>
        <w:tc>
          <w:tcPr>
            <w:tcW w:w="280"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086001" w:rsidRDefault="00A64028" w:rsidP="00086001">
            <w:pPr>
              <w:spacing w:after="0" w:line="240" w:lineRule="auto"/>
              <w:ind w:right="113"/>
              <w:jc w:val="center"/>
              <w:rPr>
                <w:rFonts w:ascii="Arial Narrow" w:hAnsi="Arial Narrow"/>
                <w:sz w:val="18"/>
                <w:szCs w:val="18"/>
              </w:rPr>
            </w:pPr>
            <w:r w:rsidRPr="00086001">
              <w:rPr>
                <w:rFonts w:ascii="Arial Narrow" w:hAnsi="Arial Narrow"/>
                <w:sz w:val="18"/>
                <w:szCs w:val="18"/>
              </w:rPr>
              <w:t>Рынок услуг социального обслуживания населения</w:t>
            </w:r>
          </w:p>
        </w:tc>
        <w:tc>
          <w:tcPr>
            <w:tcW w:w="280"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086001" w:rsidRDefault="00A64028" w:rsidP="00086001">
            <w:pPr>
              <w:spacing w:after="0" w:line="240" w:lineRule="auto"/>
              <w:ind w:right="113"/>
              <w:jc w:val="center"/>
              <w:rPr>
                <w:rFonts w:ascii="Arial Narrow" w:hAnsi="Arial Narrow"/>
                <w:sz w:val="18"/>
                <w:szCs w:val="18"/>
              </w:rPr>
            </w:pPr>
            <w:r w:rsidRPr="00086001">
              <w:rPr>
                <w:rFonts w:ascii="Arial Narrow" w:hAnsi="Arial Narrow"/>
                <w:sz w:val="18"/>
                <w:szCs w:val="18"/>
              </w:rPr>
              <w:t>Рынок развития, производства, переработки и хранения с/х продукции</w:t>
            </w:r>
          </w:p>
        </w:tc>
        <w:tc>
          <w:tcPr>
            <w:tcW w:w="280"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086001" w:rsidRDefault="00A64028" w:rsidP="00086001">
            <w:pPr>
              <w:spacing w:after="0" w:line="240" w:lineRule="auto"/>
              <w:ind w:right="113"/>
              <w:jc w:val="center"/>
              <w:rPr>
                <w:rFonts w:ascii="Arial Narrow" w:hAnsi="Arial Narrow"/>
                <w:sz w:val="18"/>
                <w:szCs w:val="18"/>
              </w:rPr>
            </w:pPr>
            <w:r w:rsidRPr="00086001">
              <w:rPr>
                <w:rFonts w:ascii="Arial Narrow" w:hAnsi="Arial Narrow"/>
                <w:sz w:val="18"/>
                <w:szCs w:val="18"/>
              </w:rPr>
              <w:t>Рынок услуг по сбору, сортировке и переработке твердых коммунальных (бытовых) отходов</w:t>
            </w:r>
          </w:p>
        </w:tc>
      </w:tr>
      <w:tr w:rsidR="00A64028" w:rsidRPr="00F14CA3" w:rsidTr="00F14CA3">
        <w:trPr>
          <w:cantSplit/>
          <w:trHeight w:val="20"/>
        </w:trPr>
        <w:tc>
          <w:tcPr>
            <w:tcW w:w="343" w:type="pct"/>
            <w:tcBorders>
              <w:top w:val="single" w:sz="4" w:space="0" w:color="auto"/>
              <w:left w:val="single" w:sz="4" w:space="0" w:color="auto"/>
              <w:bottom w:val="single" w:sz="4" w:space="0" w:color="auto"/>
              <w:right w:val="single" w:sz="4" w:space="0" w:color="auto"/>
            </w:tcBorders>
            <w:noWrap/>
            <w:vAlign w:val="center"/>
            <w:hideMark/>
          </w:tcPr>
          <w:p w:rsidR="00A64028" w:rsidRPr="00F14CA3" w:rsidRDefault="00F14CA3" w:rsidP="00F14CA3">
            <w:pPr>
              <w:spacing w:after="0"/>
              <w:ind w:left="-108" w:right="-154"/>
              <w:jc w:val="both"/>
              <w:rPr>
                <w:rFonts w:ascii="Arial Narrow" w:hAnsi="Arial Narrow"/>
                <w:b/>
                <w:sz w:val="18"/>
                <w:szCs w:val="18"/>
              </w:rPr>
            </w:pPr>
            <w:r>
              <w:rPr>
                <w:rFonts w:ascii="Arial Narrow" w:hAnsi="Arial Narrow"/>
                <w:b/>
                <w:sz w:val="18"/>
                <w:szCs w:val="18"/>
              </w:rPr>
              <w:t xml:space="preserve"> </w:t>
            </w:r>
            <w:r w:rsidR="00A64028" w:rsidRPr="00F14CA3">
              <w:rPr>
                <w:rFonts w:ascii="Arial Narrow" w:hAnsi="Arial Narrow"/>
                <w:b/>
                <w:sz w:val="18"/>
                <w:szCs w:val="18"/>
              </w:rPr>
              <w:t>1.4.4</w:t>
            </w:r>
          </w:p>
        </w:tc>
        <w:tc>
          <w:tcPr>
            <w:tcW w:w="4657" w:type="pct"/>
            <w:gridSpan w:val="15"/>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103148">
            <w:pPr>
              <w:spacing w:after="0"/>
              <w:ind w:right="-57"/>
              <w:jc w:val="both"/>
              <w:rPr>
                <w:rFonts w:ascii="Arial Narrow" w:hAnsi="Arial Narrow"/>
                <w:b/>
                <w:sz w:val="20"/>
                <w:szCs w:val="20"/>
              </w:rPr>
            </w:pPr>
            <w:r w:rsidRPr="00F14CA3">
              <w:rPr>
                <w:rFonts w:ascii="Arial Narrow" w:hAnsi="Arial Narrow"/>
                <w:b/>
                <w:sz w:val="20"/>
                <w:szCs w:val="20"/>
              </w:rPr>
              <w:t>Оценка характера влияния органов власти на конкуренцию на рынке (% от числа опрошенных)</w:t>
            </w:r>
          </w:p>
        </w:tc>
      </w:tr>
      <w:tr w:rsidR="00A64028" w:rsidRPr="0051304D" w:rsidTr="00F14CA3">
        <w:trPr>
          <w:cantSplit/>
          <w:trHeight w:val="20"/>
        </w:trPr>
        <w:tc>
          <w:tcPr>
            <w:tcW w:w="343" w:type="pct"/>
            <w:tcBorders>
              <w:top w:val="single" w:sz="4" w:space="0" w:color="auto"/>
              <w:left w:val="single" w:sz="4" w:space="0" w:color="auto"/>
              <w:bottom w:val="single" w:sz="4" w:space="0" w:color="auto"/>
              <w:right w:val="single" w:sz="4" w:space="0" w:color="auto"/>
            </w:tcBorders>
            <w:noWrap/>
            <w:vAlign w:val="bottom"/>
            <w:hideMark/>
          </w:tcPr>
          <w:p w:rsidR="00A64028" w:rsidRPr="0051304D" w:rsidRDefault="00A64028" w:rsidP="00103148">
            <w:pPr>
              <w:spacing w:after="0"/>
              <w:ind w:right="57"/>
              <w:rPr>
                <w:rFonts w:ascii="Arial Narrow" w:hAnsi="Arial Narrow"/>
                <w:sz w:val="24"/>
                <w:szCs w:val="24"/>
              </w:rPr>
            </w:pPr>
            <w:r w:rsidRPr="0051304D">
              <w:rPr>
                <w:rFonts w:ascii="Arial Narrow" w:hAnsi="Arial Narrow"/>
                <w:sz w:val="24"/>
                <w:szCs w:val="24"/>
              </w:rPr>
              <w:t> </w:t>
            </w:r>
          </w:p>
        </w:tc>
        <w:tc>
          <w:tcPr>
            <w:tcW w:w="73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1304D" w:rsidRDefault="00A64028" w:rsidP="00103148">
            <w:pPr>
              <w:spacing w:after="0"/>
              <w:ind w:right="57"/>
              <w:rPr>
                <w:rFonts w:ascii="Arial Narrow" w:hAnsi="Arial Narrow"/>
                <w:sz w:val="20"/>
                <w:szCs w:val="20"/>
              </w:rPr>
            </w:pPr>
            <w:r w:rsidRPr="0051304D">
              <w:rPr>
                <w:rFonts w:ascii="Arial Narrow" w:hAnsi="Arial Narrow"/>
                <w:sz w:val="20"/>
                <w:szCs w:val="20"/>
              </w:rPr>
              <w:t>Органы власти помогают бизнесу своими действиями, %</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11,4%</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10,0%</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40,0%</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20,0%</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8,6%</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36,0%</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12,0%</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14,3%</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7,3%</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13,3%</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20,0%</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24,0%</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29,0%</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30,0%</w:t>
            </w:r>
          </w:p>
        </w:tc>
      </w:tr>
      <w:tr w:rsidR="00A64028" w:rsidRPr="0051304D" w:rsidTr="00F14CA3">
        <w:trPr>
          <w:cantSplit/>
          <w:trHeight w:val="20"/>
        </w:trPr>
        <w:tc>
          <w:tcPr>
            <w:tcW w:w="343" w:type="pct"/>
            <w:tcBorders>
              <w:top w:val="single" w:sz="4" w:space="0" w:color="auto"/>
              <w:left w:val="single" w:sz="4" w:space="0" w:color="auto"/>
              <w:bottom w:val="single" w:sz="4" w:space="0" w:color="auto"/>
              <w:right w:val="single" w:sz="4" w:space="0" w:color="auto"/>
            </w:tcBorders>
            <w:noWrap/>
            <w:vAlign w:val="bottom"/>
            <w:hideMark/>
          </w:tcPr>
          <w:p w:rsidR="00A64028" w:rsidRPr="0051304D" w:rsidRDefault="00A64028" w:rsidP="00103148">
            <w:pPr>
              <w:spacing w:after="0"/>
              <w:ind w:right="57"/>
              <w:rPr>
                <w:rFonts w:ascii="Arial Narrow" w:hAnsi="Arial Narrow"/>
                <w:sz w:val="24"/>
                <w:szCs w:val="24"/>
              </w:rPr>
            </w:pPr>
            <w:r w:rsidRPr="0051304D">
              <w:rPr>
                <w:rFonts w:ascii="Arial Narrow" w:hAnsi="Arial Narrow"/>
                <w:sz w:val="24"/>
                <w:szCs w:val="24"/>
              </w:rPr>
              <w:t> </w:t>
            </w:r>
          </w:p>
        </w:tc>
        <w:tc>
          <w:tcPr>
            <w:tcW w:w="73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1304D" w:rsidRDefault="00A64028" w:rsidP="00103148">
            <w:pPr>
              <w:spacing w:after="0"/>
              <w:ind w:right="57"/>
              <w:rPr>
                <w:rFonts w:ascii="Arial Narrow" w:hAnsi="Arial Narrow"/>
                <w:sz w:val="20"/>
                <w:szCs w:val="20"/>
              </w:rPr>
            </w:pPr>
            <w:r w:rsidRPr="0051304D">
              <w:rPr>
                <w:rFonts w:ascii="Arial Narrow" w:hAnsi="Arial Narrow"/>
                <w:sz w:val="20"/>
                <w:szCs w:val="20"/>
              </w:rPr>
              <w:t>Органы власти ничего не предпринимают, %</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45,1%</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10,0%</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40,0%</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32,0%</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45,7%</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28,0%</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52,0%</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24,3%</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51,3%</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40,0%</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40,0%</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24,0%</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31,0%</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30,0%</w:t>
            </w:r>
          </w:p>
        </w:tc>
      </w:tr>
      <w:tr w:rsidR="00A64028" w:rsidRPr="0051304D" w:rsidTr="00F14CA3">
        <w:trPr>
          <w:cantSplit/>
          <w:trHeight w:val="20"/>
        </w:trPr>
        <w:tc>
          <w:tcPr>
            <w:tcW w:w="343" w:type="pct"/>
            <w:tcBorders>
              <w:top w:val="single" w:sz="4" w:space="0" w:color="auto"/>
              <w:left w:val="single" w:sz="4" w:space="0" w:color="auto"/>
              <w:bottom w:val="single" w:sz="4" w:space="0" w:color="auto"/>
              <w:right w:val="single" w:sz="4" w:space="0" w:color="auto"/>
            </w:tcBorders>
            <w:noWrap/>
            <w:vAlign w:val="bottom"/>
            <w:hideMark/>
          </w:tcPr>
          <w:p w:rsidR="00A64028" w:rsidRPr="0051304D" w:rsidRDefault="00A64028" w:rsidP="00103148">
            <w:pPr>
              <w:spacing w:after="0"/>
              <w:ind w:right="57"/>
              <w:rPr>
                <w:rFonts w:ascii="Arial Narrow" w:hAnsi="Arial Narrow"/>
                <w:sz w:val="24"/>
                <w:szCs w:val="24"/>
              </w:rPr>
            </w:pPr>
            <w:r w:rsidRPr="0051304D">
              <w:rPr>
                <w:rFonts w:ascii="Arial Narrow" w:hAnsi="Arial Narrow"/>
                <w:sz w:val="24"/>
                <w:szCs w:val="24"/>
              </w:rPr>
              <w:t> </w:t>
            </w:r>
          </w:p>
        </w:tc>
        <w:tc>
          <w:tcPr>
            <w:tcW w:w="73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1304D" w:rsidRDefault="00A64028" w:rsidP="00103148">
            <w:pPr>
              <w:spacing w:after="0"/>
              <w:ind w:right="57"/>
              <w:rPr>
                <w:rFonts w:ascii="Arial Narrow" w:hAnsi="Arial Narrow"/>
                <w:sz w:val="20"/>
                <w:szCs w:val="20"/>
              </w:rPr>
            </w:pPr>
            <w:r w:rsidRPr="0051304D">
              <w:rPr>
                <w:rFonts w:ascii="Arial Narrow" w:hAnsi="Arial Narrow"/>
                <w:sz w:val="20"/>
                <w:szCs w:val="20"/>
              </w:rPr>
              <w:t>Органы власти не предпринимают каких-либо действий, но их участие необходимо, %</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11,4%</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20,0%</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20,0%</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16,0%</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12,9%</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8,0%</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16,0%</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20,0%</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13,3%</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13,3%</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16,0%</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8,0%</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12,0%</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10,0%</w:t>
            </w:r>
          </w:p>
        </w:tc>
      </w:tr>
      <w:tr w:rsidR="00A64028" w:rsidRPr="0051304D" w:rsidTr="00F14CA3">
        <w:trPr>
          <w:cantSplit/>
          <w:trHeight w:val="20"/>
        </w:trPr>
        <w:tc>
          <w:tcPr>
            <w:tcW w:w="343" w:type="pct"/>
            <w:tcBorders>
              <w:top w:val="single" w:sz="4" w:space="0" w:color="auto"/>
              <w:left w:val="single" w:sz="4" w:space="0" w:color="auto"/>
              <w:bottom w:val="single" w:sz="4" w:space="0" w:color="auto"/>
              <w:right w:val="single" w:sz="4" w:space="0" w:color="auto"/>
            </w:tcBorders>
            <w:noWrap/>
            <w:vAlign w:val="bottom"/>
            <w:hideMark/>
          </w:tcPr>
          <w:p w:rsidR="00A64028" w:rsidRPr="0051304D" w:rsidRDefault="00A64028" w:rsidP="00103148">
            <w:pPr>
              <w:spacing w:after="0"/>
              <w:ind w:right="57"/>
              <w:rPr>
                <w:rFonts w:ascii="Arial Narrow" w:hAnsi="Arial Narrow"/>
                <w:sz w:val="24"/>
                <w:szCs w:val="24"/>
              </w:rPr>
            </w:pPr>
            <w:r w:rsidRPr="0051304D">
              <w:rPr>
                <w:rFonts w:ascii="Arial Narrow" w:hAnsi="Arial Narrow"/>
                <w:sz w:val="24"/>
                <w:szCs w:val="24"/>
              </w:rPr>
              <w:t> </w:t>
            </w:r>
          </w:p>
        </w:tc>
        <w:tc>
          <w:tcPr>
            <w:tcW w:w="73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1304D" w:rsidRDefault="00A64028" w:rsidP="00103148">
            <w:pPr>
              <w:spacing w:after="0"/>
              <w:ind w:right="57"/>
              <w:rPr>
                <w:rFonts w:ascii="Arial Narrow" w:hAnsi="Arial Narrow"/>
                <w:sz w:val="20"/>
                <w:szCs w:val="20"/>
              </w:rPr>
            </w:pPr>
            <w:r w:rsidRPr="0051304D">
              <w:rPr>
                <w:rFonts w:ascii="Arial Narrow" w:hAnsi="Arial Narrow"/>
                <w:sz w:val="20"/>
                <w:szCs w:val="20"/>
              </w:rPr>
              <w:t>Органы власти мешают бизнесу своими действиями, %</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11,6%</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10,0%</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0,0%</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8,0%</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14,3%</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0,0%</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4,0%</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17,1%</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9,3%</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18,3%</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0,0%</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4,0%</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3,0%</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20,0%</w:t>
            </w:r>
          </w:p>
        </w:tc>
      </w:tr>
      <w:tr w:rsidR="00A64028" w:rsidRPr="0051304D" w:rsidTr="00F14CA3">
        <w:trPr>
          <w:cantSplit/>
          <w:trHeight w:val="20"/>
        </w:trPr>
        <w:tc>
          <w:tcPr>
            <w:tcW w:w="343" w:type="pct"/>
            <w:tcBorders>
              <w:top w:val="single" w:sz="4" w:space="0" w:color="auto"/>
              <w:left w:val="single" w:sz="4" w:space="0" w:color="auto"/>
              <w:bottom w:val="single" w:sz="4" w:space="0" w:color="auto"/>
              <w:right w:val="single" w:sz="4" w:space="0" w:color="auto"/>
            </w:tcBorders>
            <w:noWrap/>
            <w:vAlign w:val="bottom"/>
            <w:hideMark/>
          </w:tcPr>
          <w:p w:rsidR="00A64028" w:rsidRPr="0051304D" w:rsidRDefault="00A64028" w:rsidP="00103148">
            <w:pPr>
              <w:spacing w:after="0"/>
              <w:ind w:right="57"/>
              <w:rPr>
                <w:rFonts w:ascii="Arial Narrow" w:hAnsi="Arial Narrow"/>
                <w:sz w:val="24"/>
                <w:szCs w:val="24"/>
              </w:rPr>
            </w:pPr>
            <w:r w:rsidRPr="0051304D">
              <w:rPr>
                <w:rFonts w:ascii="Arial Narrow" w:hAnsi="Arial Narrow"/>
                <w:sz w:val="24"/>
                <w:szCs w:val="24"/>
              </w:rPr>
              <w:t> </w:t>
            </w:r>
          </w:p>
        </w:tc>
        <w:tc>
          <w:tcPr>
            <w:tcW w:w="73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1304D" w:rsidRDefault="00A64028" w:rsidP="00103148">
            <w:pPr>
              <w:spacing w:after="0"/>
              <w:ind w:right="57"/>
              <w:rPr>
                <w:rFonts w:ascii="Arial Narrow" w:hAnsi="Arial Narrow"/>
                <w:sz w:val="20"/>
                <w:szCs w:val="20"/>
              </w:rPr>
            </w:pPr>
            <w:r w:rsidRPr="0051304D">
              <w:rPr>
                <w:rFonts w:ascii="Arial Narrow" w:hAnsi="Arial Narrow"/>
                <w:sz w:val="20"/>
                <w:szCs w:val="20"/>
              </w:rPr>
              <w:t>В чем-то органы власти помогают, в чем-то мешают, %</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20,5%</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50,0%</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0,0%</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24,0%</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18,6%</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28,0%</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16,0%</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24,3%</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18,7%</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15,0%</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24,0%</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40,0%</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25,0%</w:t>
            </w:r>
          </w:p>
        </w:tc>
        <w:tc>
          <w:tcPr>
            <w:tcW w:w="2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F14CA3" w:rsidRDefault="00A64028" w:rsidP="00F14CA3">
            <w:pPr>
              <w:spacing w:after="0"/>
              <w:ind w:left="-64" w:right="-148"/>
              <w:jc w:val="center"/>
              <w:rPr>
                <w:rFonts w:ascii="Arial Narrow" w:hAnsi="Arial Narrow"/>
                <w:sz w:val="20"/>
                <w:szCs w:val="20"/>
              </w:rPr>
            </w:pPr>
            <w:r w:rsidRPr="00F14CA3">
              <w:rPr>
                <w:rFonts w:ascii="Arial Narrow" w:hAnsi="Arial Narrow"/>
                <w:sz w:val="20"/>
                <w:szCs w:val="20"/>
              </w:rPr>
              <w:t>10,0%</w:t>
            </w:r>
          </w:p>
        </w:tc>
      </w:tr>
    </w:tbl>
    <w:p w:rsidR="00A64028" w:rsidRDefault="00A64028" w:rsidP="00103148">
      <w:pPr>
        <w:spacing w:after="0"/>
        <w:jc w:val="both"/>
        <w:rPr>
          <w:rFonts w:ascii="Arial Narrow" w:hAnsi="Arial Narrow"/>
          <w:sz w:val="24"/>
          <w:szCs w:val="24"/>
        </w:rPr>
      </w:pPr>
    </w:p>
    <w:p w:rsidR="00A64028" w:rsidRPr="0051304D" w:rsidRDefault="00A64028" w:rsidP="00F14CA3">
      <w:pPr>
        <w:spacing w:after="0" w:line="360" w:lineRule="auto"/>
        <w:ind w:firstLine="284"/>
        <w:jc w:val="both"/>
        <w:rPr>
          <w:rFonts w:ascii="Arial Narrow" w:hAnsi="Arial Narrow"/>
          <w:b/>
          <w:sz w:val="24"/>
          <w:szCs w:val="24"/>
        </w:rPr>
      </w:pPr>
      <w:r w:rsidRPr="0051304D">
        <w:rPr>
          <w:rFonts w:ascii="Arial Narrow" w:hAnsi="Arial Narrow"/>
          <w:b/>
          <w:sz w:val="24"/>
          <w:szCs w:val="24"/>
        </w:rPr>
        <w:t>Значение показателя 1.4.5. Оценка степени влияния отдельных органов власти на конкурентную среду в Новосибирской области (% от числа опрошенных).</w:t>
      </w:r>
    </w:p>
    <w:p w:rsidR="00A64028" w:rsidRPr="0051304D" w:rsidRDefault="00A64028" w:rsidP="00F14CA3">
      <w:pPr>
        <w:spacing w:after="0" w:line="360" w:lineRule="auto"/>
        <w:ind w:firstLine="284"/>
        <w:jc w:val="both"/>
        <w:rPr>
          <w:rFonts w:ascii="Arial Narrow" w:hAnsi="Arial Narrow"/>
          <w:sz w:val="24"/>
          <w:szCs w:val="24"/>
        </w:rPr>
      </w:pPr>
      <w:r w:rsidRPr="0051304D">
        <w:rPr>
          <w:rFonts w:ascii="Arial Narrow" w:hAnsi="Arial Narrow"/>
          <w:sz w:val="24"/>
          <w:szCs w:val="24"/>
        </w:rPr>
        <w:t xml:space="preserve">Доля считающих, что </w:t>
      </w:r>
      <w:r w:rsidRPr="0051304D">
        <w:rPr>
          <w:rFonts w:ascii="Arial Narrow" w:hAnsi="Arial Narrow"/>
          <w:b/>
          <w:sz w:val="24"/>
          <w:szCs w:val="24"/>
        </w:rPr>
        <w:t>общественные организации, представляющие интересы бизнес-сообществ</w:t>
      </w:r>
      <w:r w:rsidRPr="0051304D">
        <w:rPr>
          <w:rFonts w:ascii="Arial Narrow" w:hAnsi="Arial Narrow"/>
          <w:sz w:val="24"/>
          <w:szCs w:val="24"/>
        </w:rPr>
        <w:t xml:space="preserve">, оказывают высокое или среднее влияние на конкурентную среду в Новосибирской области, составляет 30,9 % от числа опрошенных. Наиболее распространено мнение о влиянии общественных организаций среди участников рынков услуг по сбору, сортировке и переработке твердых коммунальных (бытовых) отходов и услуг дошкольного образования (по 60,0 %), наименее </w:t>
      </w:r>
      <w:r w:rsidRPr="0051304D">
        <w:rPr>
          <w:rFonts w:ascii="Arial Narrow" w:hAnsi="Arial Narrow"/>
          <w:sz w:val="24"/>
          <w:szCs w:val="24"/>
        </w:rPr>
        <w:lastRenderedPageBreak/>
        <w:t>распространено – на рынке услуг перевозок пассажиров наземным транспортом (11,6 %). На остальных рынках о влиянии общественных организаций на конкурентную среду говорят от 16,0 % до 52,0 %.</w:t>
      </w:r>
    </w:p>
    <w:p w:rsidR="00A64028" w:rsidRPr="0051304D" w:rsidRDefault="00A64028" w:rsidP="00F14CA3">
      <w:pPr>
        <w:spacing w:after="0" w:line="360" w:lineRule="auto"/>
        <w:ind w:firstLine="284"/>
        <w:jc w:val="both"/>
        <w:rPr>
          <w:rFonts w:ascii="Arial Narrow" w:hAnsi="Arial Narrow"/>
          <w:sz w:val="24"/>
          <w:szCs w:val="24"/>
        </w:rPr>
      </w:pPr>
      <w:r w:rsidRPr="0051304D">
        <w:rPr>
          <w:rFonts w:ascii="Arial Narrow" w:hAnsi="Arial Narrow"/>
          <w:sz w:val="24"/>
          <w:szCs w:val="24"/>
        </w:rPr>
        <w:t xml:space="preserve">Доля считающих, что </w:t>
      </w:r>
      <w:r w:rsidRPr="0051304D">
        <w:rPr>
          <w:rFonts w:ascii="Arial Narrow" w:hAnsi="Arial Narrow"/>
          <w:b/>
          <w:sz w:val="24"/>
          <w:szCs w:val="24"/>
        </w:rPr>
        <w:t>территориальное</w:t>
      </w:r>
      <w:r w:rsidRPr="0051304D">
        <w:rPr>
          <w:rFonts w:ascii="Arial Narrow" w:hAnsi="Arial Narrow"/>
          <w:sz w:val="24"/>
          <w:szCs w:val="24"/>
        </w:rPr>
        <w:t xml:space="preserve"> </w:t>
      </w:r>
      <w:r w:rsidRPr="0051304D">
        <w:rPr>
          <w:rFonts w:ascii="Arial Narrow" w:hAnsi="Arial Narrow"/>
          <w:b/>
          <w:sz w:val="24"/>
          <w:szCs w:val="24"/>
        </w:rPr>
        <w:t>управление ФАС России</w:t>
      </w:r>
      <w:r w:rsidRPr="0051304D">
        <w:rPr>
          <w:rFonts w:ascii="Arial Narrow" w:hAnsi="Arial Narrow"/>
          <w:sz w:val="24"/>
          <w:szCs w:val="24"/>
        </w:rPr>
        <w:t xml:space="preserve"> </w:t>
      </w:r>
      <w:r w:rsidRPr="0051304D">
        <w:rPr>
          <w:rFonts w:ascii="Arial Narrow" w:hAnsi="Arial Narrow"/>
          <w:b/>
          <w:sz w:val="24"/>
          <w:szCs w:val="24"/>
        </w:rPr>
        <w:t>по Новосибирской области</w:t>
      </w:r>
      <w:r w:rsidRPr="0051304D">
        <w:rPr>
          <w:rFonts w:ascii="Arial Narrow" w:hAnsi="Arial Narrow"/>
          <w:sz w:val="24"/>
          <w:szCs w:val="24"/>
        </w:rPr>
        <w:t xml:space="preserve"> оказывает высокое или среднее влияние на конкурентную среду в Новосибирской области, составляет 33,1 % от числа опрошенных. Наиболее распространено мнение о влиянии территориального управления ФАС среди участников рынков услуг по сбору, сортировке и переработке твердых коммунальных (бытовых) отходов и услуг связи (по 60,0 %), наименее распространено – также на рынке услуг перевозок пассажиров наземным транспортом (15,0 %). На остальных рынках о влиянии территориального управления ФАС на конкурентную среду говорят от 20,0 % до 56,0 %.</w:t>
      </w:r>
    </w:p>
    <w:p w:rsidR="00A64028" w:rsidRPr="0051304D" w:rsidRDefault="00A64028" w:rsidP="00F14CA3">
      <w:pPr>
        <w:spacing w:after="0" w:line="360" w:lineRule="auto"/>
        <w:ind w:firstLine="284"/>
        <w:jc w:val="both"/>
        <w:rPr>
          <w:rFonts w:ascii="Arial Narrow" w:hAnsi="Arial Narrow"/>
          <w:sz w:val="24"/>
          <w:szCs w:val="24"/>
        </w:rPr>
      </w:pPr>
      <w:r w:rsidRPr="0051304D">
        <w:rPr>
          <w:rFonts w:ascii="Arial Narrow" w:hAnsi="Arial Narrow"/>
          <w:sz w:val="24"/>
          <w:szCs w:val="24"/>
        </w:rPr>
        <w:t xml:space="preserve">Доля считающих, что </w:t>
      </w:r>
      <w:r w:rsidRPr="0051304D">
        <w:rPr>
          <w:rFonts w:ascii="Arial Narrow" w:hAnsi="Arial Narrow"/>
          <w:b/>
          <w:sz w:val="24"/>
          <w:szCs w:val="24"/>
        </w:rPr>
        <w:t xml:space="preserve">органы местного самоуправления </w:t>
      </w:r>
      <w:r w:rsidRPr="0051304D">
        <w:rPr>
          <w:rFonts w:ascii="Arial Narrow" w:hAnsi="Arial Narrow"/>
          <w:sz w:val="24"/>
          <w:szCs w:val="24"/>
        </w:rPr>
        <w:t>оказывает высокое или среднее влияние на конкурентную среду в Новосибирской области, составляет 36,3 % от числа опрошенных. Наиболее распространено мнение о влиянии органов местного самоуправления среди участников рынков услуг по сбору, сортировке и переработке твердых коммунальных (бытовых) отходов и услуг дошкольного образования (по 70,0 %), наименее распространено – также на рынке услуг перевозок пассажиров наземным транспортом (15,0 %). На остальных рынках о влиянии органов местного самоуправления на конкурентную среду говорят от 20,0 % до 52,0 %.</w:t>
      </w:r>
    </w:p>
    <w:p w:rsidR="00A64028" w:rsidRPr="0051304D" w:rsidRDefault="00A64028" w:rsidP="00F14CA3">
      <w:pPr>
        <w:spacing w:after="0" w:line="360" w:lineRule="auto"/>
        <w:ind w:firstLine="284"/>
        <w:jc w:val="both"/>
        <w:rPr>
          <w:rFonts w:ascii="Arial Narrow" w:hAnsi="Arial Narrow"/>
          <w:sz w:val="24"/>
          <w:szCs w:val="24"/>
        </w:rPr>
      </w:pPr>
      <w:r w:rsidRPr="0051304D">
        <w:rPr>
          <w:rFonts w:ascii="Arial Narrow" w:hAnsi="Arial Narrow"/>
          <w:sz w:val="24"/>
          <w:szCs w:val="24"/>
        </w:rPr>
        <w:t xml:space="preserve">Доля считающих, что </w:t>
      </w:r>
      <w:r w:rsidRPr="0051304D">
        <w:rPr>
          <w:rFonts w:ascii="Arial Narrow" w:hAnsi="Arial Narrow"/>
          <w:b/>
          <w:sz w:val="24"/>
          <w:szCs w:val="24"/>
        </w:rPr>
        <w:t xml:space="preserve">органы исполнительной власти Новосибирской области </w:t>
      </w:r>
      <w:r w:rsidRPr="0051304D">
        <w:rPr>
          <w:rFonts w:ascii="Arial Narrow" w:hAnsi="Arial Narrow"/>
          <w:sz w:val="24"/>
          <w:szCs w:val="24"/>
        </w:rPr>
        <w:t>оказывает высокое или среднее влияние на конкурентную среду в регионе, составляет 49,3 % от числа опрошенных. Наиболее распространено мнение о влиянии органов исполнительной власти среди участников рынков услуг по сбору, сортировке и переработке твердых коммунальных (бытовых) отходов и услуг дошкольного образования (по 70,0 %), наименее распространено – также на рынке услуг перевозок пассажиров наземным транспортом (11,7 %). На остальных рынках о влиянии органов исполнительной власти Новосибирской области на конкурентную среду говорят от 28,0 % до 56,0 %.</w:t>
      </w:r>
    </w:p>
    <w:p w:rsidR="00A64028" w:rsidRDefault="00A64028" w:rsidP="00103148">
      <w:pPr>
        <w:spacing w:after="0"/>
        <w:rPr>
          <w:rFonts w:ascii="Arial Narrow" w:eastAsia="Calibri" w:hAnsi="Arial Narrow"/>
          <w:sz w:val="24"/>
          <w:szCs w:val="24"/>
        </w:rPr>
      </w:pPr>
      <w:r>
        <w:rPr>
          <w:rFonts w:ascii="Arial Narrow" w:eastAsia="Calibri" w:hAnsi="Arial Narrow"/>
          <w:sz w:val="24"/>
          <w:szCs w:val="24"/>
        </w:rPr>
        <w:br w:type="page"/>
      </w:r>
    </w:p>
    <w:p w:rsidR="00A64028" w:rsidRPr="0051304D" w:rsidRDefault="00262F71" w:rsidP="00103148">
      <w:pPr>
        <w:spacing w:after="0"/>
        <w:rPr>
          <w:rFonts w:ascii="Arial Narrow" w:hAnsi="Arial Narrow"/>
          <w:b/>
          <w:sz w:val="24"/>
          <w:szCs w:val="24"/>
        </w:rPr>
      </w:pPr>
      <w:r>
        <w:rPr>
          <w:rFonts w:ascii="Arial Narrow" w:eastAsia="Calibri" w:hAnsi="Arial Narrow"/>
          <w:sz w:val="24"/>
          <w:szCs w:val="24"/>
        </w:rPr>
        <w:lastRenderedPageBreak/>
        <w:t>Таблица 7.32</w:t>
      </w:r>
      <w:r w:rsidR="00A64028" w:rsidRPr="0051304D">
        <w:rPr>
          <w:rFonts w:ascii="Arial Narrow" w:eastAsia="Calibri" w:hAnsi="Arial Narrow"/>
          <w:sz w:val="24"/>
          <w:szCs w:val="24"/>
        </w:rPr>
        <w:t xml:space="preserve">. – </w:t>
      </w:r>
      <w:r w:rsidR="00A64028" w:rsidRPr="0051304D">
        <w:rPr>
          <w:rFonts w:ascii="Arial Narrow" w:hAnsi="Arial Narrow"/>
          <w:b/>
          <w:sz w:val="24"/>
          <w:szCs w:val="24"/>
        </w:rPr>
        <w:t>Значение показателя 1.4.5. Оценка степени влияния отдельных органов власти на конкурентную среду в Новосибирской области (% от числа опрошенных)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20"/>
        <w:gridCol w:w="1642"/>
        <w:gridCol w:w="545"/>
        <w:gridCol w:w="546"/>
        <w:gridCol w:w="546"/>
        <w:gridCol w:w="546"/>
        <w:gridCol w:w="546"/>
        <w:gridCol w:w="536"/>
        <w:gridCol w:w="577"/>
        <w:gridCol w:w="577"/>
        <w:gridCol w:w="546"/>
        <w:gridCol w:w="548"/>
        <w:gridCol w:w="548"/>
        <w:gridCol w:w="548"/>
        <w:gridCol w:w="548"/>
        <w:gridCol w:w="534"/>
      </w:tblGrid>
      <w:tr w:rsidR="00A64028" w:rsidRPr="0051304D" w:rsidTr="00EB3EA8">
        <w:trPr>
          <w:cantSplit/>
          <w:trHeight w:val="3231"/>
          <w:tblHeader/>
        </w:trPr>
        <w:tc>
          <w:tcPr>
            <w:tcW w:w="263" w:type="pct"/>
            <w:tcBorders>
              <w:top w:val="single" w:sz="4" w:space="0" w:color="auto"/>
              <w:left w:val="single" w:sz="4" w:space="0" w:color="auto"/>
              <w:bottom w:val="single" w:sz="4" w:space="0" w:color="auto"/>
              <w:right w:val="single" w:sz="4" w:space="0" w:color="auto"/>
            </w:tcBorders>
            <w:noWrap/>
            <w:vAlign w:val="center"/>
            <w:hideMark/>
          </w:tcPr>
          <w:p w:rsidR="00A64028" w:rsidRPr="0051304D" w:rsidRDefault="00A64028" w:rsidP="00103148">
            <w:pPr>
              <w:spacing w:after="0"/>
              <w:jc w:val="center"/>
              <w:rPr>
                <w:rFonts w:ascii="Arial Narrow" w:hAnsi="Arial Narrow" w:cs="Arial"/>
              </w:rPr>
            </w:pPr>
            <w:r w:rsidRPr="0051304D">
              <w:rPr>
                <w:rFonts w:ascii="Arial Narrow" w:hAnsi="Arial Narrow" w:cs="Arial"/>
              </w:rPr>
              <w:t>№</w:t>
            </w:r>
          </w:p>
        </w:tc>
        <w:tc>
          <w:tcPr>
            <w:tcW w:w="83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086001" w:rsidRDefault="00A64028" w:rsidP="00086001">
            <w:pPr>
              <w:spacing w:after="0" w:line="240" w:lineRule="auto"/>
              <w:rPr>
                <w:rFonts w:ascii="Arial Narrow" w:hAnsi="Arial Narrow" w:cs="Arial"/>
                <w:sz w:val="18"/>
                <w:szCs w:val="18"/>
              </w:rPr>
            </w:pPr>
            <w:r w:rsidRPr="00086001">
              <w:rPr>
                <w:rFonts w:ascii="Arial Narrow" w:hAnsi="Arial Narrow" w:cs="Arial"/>
                <w:sz w:val="18"/>
                <w:szCs w:val="18"/>
              </w:rPr>
              <w:t>Наименование показателя, единица измерения</w:t>
            </w:r>
          </w:p>
        </w:tc>
        <w:tc>
          <w:tcPr>
            <w:tcW w:w="277" w:type="pct"/>
            <w:tcBorders>
              <w:top w:val="single" w:sz="4" w:space="0" w:color="auto"/>
              <w:left w:val="single" w:sz="4" w:space="0" w:color="auto"/>
              <w:bottom w:val="single" w:sz="4" w:space="0" w:color="auto"/>
              <w:right w:val="single" w:sz="4" w:space="0" w:color="auto"/>
            </w:tcBorders>
            <w:shd w:val="clear" w:color="auto" w:fill="FFFFFF"/>
            <w:textDirection w:val="btLr"/>
            <w:hideMark/>
          </w:tcPr>
          <w:p w:rsidR="00A64028" w:rsidRPr="00086001" w:rsidRDefault="00A64028" w:rsidP="00086001">
            <w:pPr>
              <w:spacing w:after="0" w:line="240" w:lineRule="auto"/>
              <w:ind w:right="113"/>
              <w:jc w:val="center"/>
              <w:rPr>
                <w:rFonts w:ascii="Arial Narrow" w:hAnsi="Arial Narrow"/>
                <w:sz w:val="18"/>
                <w:szCs w:val="18"/>
              </w:rPr>
            </w:pPr>
            <w:r w:rsidRPr="00086001">
              <w:rPr>
                <w:rFonts w:ascii="Arial Narrow" w:hAnsi="Arial Narrow" w:cs="Arial"/>
                <w:sz w:val="18"/>
                <w:szCs w:val="18"/>
              </w:rPr>
              <w:t>Общий по Новосибирской области</w:t>
            </w:r>
          </w:p>
        </w:tc>
        <w:tc>
          <w:tcPr>
            <w:tcW w:w="277"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086001" w:rsidRDefault="00A64028" w:rsidP="00086001">
            <w:pPr>
              <w:spacing w:after="0" w:line="240" w:lineRule="auto"/>
              <w:ind w:right="113"/>
              <w:jc w:val="center"/>
              <w:rPr>
                <w:rFonts w:ascii="Arial Narrow" w:hAnsi="Arial Narrow"/>
                <w:sz w:val="18"/>
                <w:szCs w:val="18"/>
              </w:rPr>
            </w:pPr>
            <w:r w:rsidRPr="00086001">
              <w:rPr>
                <w:rFonts w:ascii="Arial Narrow" w:hAnsi="Arial Narrow"/>
                <w:sz w:val="18"/>
                <w:szCs w:val="18"/>
              </w:rPr>
              <w:t>Рынок услуг дошкольного образования</w:t>
            </w:r>
          </w:p>
        </w:tc>
        <w:tc>
          <w:tcPr>
            <w:tcW w:w="277"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086001" w:rsidRDefault="00A64028" w:rsidP="00086001">
            <w:pPr>
              <w:spacing w:after="0" w:line="240" w:lineRule="auto"/>
              <w:ind w:right="113"/>
              <w:jc w:val="center"/>
              <w:rPr>
                <w:rFonts w:ascii="Arial Narrow" w:hAnsi="Arial Narrow"/>
                <w:sz w:val="18"/>
                <w:szCs w:val="18"/>
              </w:rPr>
            </w:pPr>
            <w:r w:rsidRPr="00086001">
              <w:rPr>
                <w:rFonts w:ascii="Arial Narrow" w:hAnsi="Arial Narrow"/>
                <w:sz w:val="18"/>
                <w:szCs w:val="18"/>
              </w:rPr>
              <w:t>Рынок услуг детского отдыха и оздоровления</w:t>
            </w:r>
          </w:p>
        </w:tc>
        <w:tc>
          <w:tcPr>
            <w:tcW w:w="277"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086001" w:rsidRDefault="00A64028" w:rsidP="00086001">
            <w:pPr>
              <w:spacing w:after="0" w:line="240" w:lineRule="auto"/>
              <w:ind w:right="113"/>
              <w:jc w:val="center"/>
              <w:rPr>
                <w:rFonts w:ascii="Arial Narrow" w:hAnsi="Arial Narrow"/>
                <w:sz w:val="18"/>
                <w:szCs w:val="18"/>
              </w:rPr>
            </w:pPr>
            <w:r w:rsidRPr="00086001">
              <w:rPr>
                <w:rFonts w:ascii="Arial Narrow" w:hAnsi="Arial Narrow"/>
                <w:sz w:val="18"/>
                <w:szCs w:val="18"/>
              </w:rPr>
              <w:t>Рынок дополнительного образования детей</w:t>
            </w:r>
          </w:p>
        </w:tc>
        <w:tc>
          <w:tcPr>
            <w:tcW w:w="277"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086001" w:rsidRDefault="00A64028" w:rsidP="00086001">
            <w:pPr>
              <w:spacing w:after="0" w:line="240" w:lineRule="auto"/>
              <w:ind w:right="113"/>
              <w:jc w:val="center"/>
              <w:rPr>
                <w:rFonts w:ascii="Arial Narrow" w:hAnsi="Arial Narrow"/>
                <w:sz w:val="18"/>
                <w:szCs w:val="18"/>
              </w:rPr>
            </w:pPr>
            <w:r w:rsidRPr="00086001">
              <w:rPr>
                <w:rFonts w:ascii="Arial Narrow" w:hAnsi="Arial Narrow"/>
                <w:sz w:val="18"/>
                <w:szCs w:val="18"/>
              </w:rPr>
              <w:t>Рынок медицинских услуг</w:t>
            </w:r>
          </w:p>
        </w:tc>
        <w:tc>
          <w:tcPr>
            <w:tcW w:w="272"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086001" w:rsidRDefault="00A64028" w:rsidP="00086001">
            <w:pPr>
              <w:spacing w:after="0" w:line="240" w:lineRule="auto"/>
              <w:ind w:right="113"/>
              <w:jc w:val="center"/>
              <w:rPr>
                <w:rFonts w:ascii="Arial Narrow" w:hAnsi="Arial Narrow"/>
                <w:sz w:val="18"/>
                <w:szCs w:val="18"/>
              </w:rPr>
            </w:pPr>
            <w:r w:rsidRPr="00086001">
              <w:rPr>
                <w:rFonts w:ascii="Arial Narrow" w:hAnsi="Arial Narrow"/>
                <w:sz w:val="18"/>
                <w:szCs w:val="18"/>
              </w:rPr>
              <w:t>Рынок услуг психолого-педагогического сопровождения детей с ограниченными возможностями здоровья</w:t>
            </w:r>
          </w:p>
        </w:tc>
        <w:tc>
          <w:tcPr>
            <w:tcW w:w="293"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086001" w:rsidRDefault="00A64028" w:rsidP="00086001">
            <w:pPr>
              <w:spacing w:after="0" w:line="240" w:lineRule="auto"/>
              <w:ind w:right="113"/>
              <w:jc w:val="center"/>
              <w:rPr>
                <w:rFonts w:ascii="Arial Narrow" w:hAnsi="Arial Narrow"/>
                <w:sz w:val="18"/>
                <w:szCs w:val="18"/>
              </w:rPr>
            </w:pPr>
            <w:r w:rsidRPr="00086001">
              <w:rPr>
                <w:rFonts w:ascii="Arial Narrow" w:hAnsi="Arial Narrow"/>
                <w:sz w:val="18"/>
                <w:szCs w:val="18"/>
              </w:rPr>
              <w:t>Рынок услуг в сфере культуры</w:t>
            </w:r>
          </w:p>
        </w:tc>
        <w:tc>
          <w:tcPr>
            <w:tcW w:w="293"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086001" w:rsidRDefault="00A64028" w:rsidP="00086001">
            <w:pPr>
              <w:spacing w:after="0" w:line="240" w:lineRule="auto"/>
              <w:ind w:right="113"/>
              <w:jc w:val="center"/>
              <w:rPr>
                <w:rFonts w:ascii="Arial Narrow" w:hAnsi="Arial Narrow"/>
                <w:sz w:val="18"/>
                <w:szCs w:val="18"/>
              </w:rPr>
            </w:pPr>
            <w:r w:rsidRPr="00086001">
              <w:rPr>
                <w:rFonts w:ascii="Arial Narrow" w:hAnsi="Arial Narrow"/>
                <w:sz w:val="18"/>
                <w:szCs w:val="18"/>
              </w:rPr>
              <w:t>Рынок услуг ЖКХ</w:t>
            </w:r>
          </w:p>
        </w:tc>
        <w:tc>
          <w:tcPr>
            <w:tcW w:w="277"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086001" w:rsidRDefault="00A64028" w:rsidP="00086001">
            <w:pPr>
              <w:spacing w:after="0" w:line="240" w:lineRule="auto"/>
              <w:ind w:right="113"/>
              <w:jc w:val="center"/>
              <w:rPr>
                <w:rFonts w:ascii="Arial Narrow" w:hAnsi="Arial Narrow"/>
                <w:sz w:val="18"/>
                <w:szCs w:val="18"/>
              </w:rPr>
            </w:pPr>
            <w:r w:rsidRPr="00086001">
              <w:rPr>
                <w:rFonts w:ascii="Arial Narrow" w:hAnsi="Arial Narrow"/>
                <w:sz w:val="18"/>
                <w:szCs w:val="18"/>
              </w:rPr>
              <w:t>Розничная торговля</w:t>
            </w:r>
          </w:p>
        </w:tc>
        <w:tc>
          <w:tcPr>
            <w:tcW w:w="278"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086001" w:rsidRDefault="00A64028" w:rsidP="00086001">
            <w:pPr>
              <w:spacing w:after="0" w:line="240" w:lineRule="auto"/>
              <w:ind w:right="113"/>
              <w:jc w:val="center"/>
              <w:rPr>
                <w:rFonts w:ascii="Arial Narrow" w:hAnsi="Arial Narrow"/>
                <w:sz w:val="18"/>
                <w:szCs w:val="18"/>
              </w:rPr>
            </w:pPr>
            <w:r w:rsidRPr="00086001">
              <w:rPr>
                <w:rFonts w:ascii="Arial Narrow" w:hAnsi="Arial Narrow"/>
                <w:sz w:val="18"/>
                <w:szCs w:val="18"/>
              </w:rPr>
              <w:t>Рынок услуг перевозок пассажиров наземным транспортом</w:t>
            </w:r>
          </w:p>
        </w:tc>
        <w:tc>
          <w:tcPr>
            <w:tcW w:w="278"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086001" w:rsidRDefault="00A64028" w:rsidP="00086001">
            <w:pPr>
              <w:spacing w:after="0" w:line="240" w:lineRule="auto"/>
              <w:ind w:right="113"/>
              <w:jc w:val="center"/>
              <w:rPr>
                <w:rFonts w:ascii="Arial Narrow" w:hAnsi="Arial Narrow"/>
                <w:sz w:val="18"/>
                <w:szCs w:val="18"/>
              </w:rPr>
            </w:pPr>
            <w:r w:rsidRPr="00086001">
              <w:rPr>
                <w:rFonts w:ascii="Arial Narrow" w:hAnsi="Arial Narrow"/>
                <w:sz w:val="18"/>
                <w:szCs w:val="18"/>
              </w:rPr>
              <w:t>Рынок услуг связи</w:t>
            </w:r>
          </w:p>
        </w:tc>
        <w:tc>
          <w:tcPr>
            <w:tcW w:w="278"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086001" w:rsidRDefault="00A64028" w:rsidP="00086001">
            <w:pPr>
              <w:spacing w:after="0" w:line="240" w:lineRule="auto"/>
              <w:ind w:right="113"/>
              <w:jc w:val="center"/>
              <w:rPr>
                <w:rFonts w:ascii="Arial Narrow" w:hAnsi="Arial Narrow"/>
                <w:sz w:val="18"/>
                <w:szCs w:val="18"/>
              </w:rPr>
            </w:pPr>
            <w:r w:rsidRPr="00086001">
              <w:rPr>
                <w:rFonts w:ascii="Arial Narrow" w:hAnsi="Arial Narrow"/>
                <w:sz w:val="18"/>
                <w:szCs w:val="18"/>
              </w:rPr>
              <w:t>Рынок услуг социального обслуживания населения</w:t>
            </w:r>
          </w:p>
        </w:tc>
        <w:tc>
          <w:tcPr>
            <w:tcW w:w="278"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086001" w:rsidRDefault="00A64028" w:rsidP="00086001">
            <w:pPr>
              <w:spacing w:after="0" w:line="240" w:lineRule="auto"/>
              <w:ind w:right="113"/>
              <w:jc w:val="center"/>
              <w:rPr>
                <w:rFonts w:ascii="Arial Narrow" w:hAnsi="Arial Narrow"/>
                <w:sz w:val="18"/>
                <w:szCs w:val="18"/>
              </w:rPr>
            </w:pPr>
            <w:r w:rsidRPr="00086001">
              <w:rPr>
                <w:rFonts w:ascii="Arial Narrow" w:hAnsi="Arial Narrow"/>
                <w:sz w:val="18"/>
                <w:szCs w:val="18"/>
              </w:rPr>
              <w:t>Рынок развития, производства, переработки и хранения с/х продукции</w:t>
            </w:r>
          </w:p>
        </w:tc>
        <w:tc>
          <w:tcPr>
            <w:tcW w:w="272"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A64028" w:rsidRPr="00086001" w:rsidRDefault="00A64028" w:rsidP="00086001">
            <w:pPr>
              <w:spacing w:after="0" w:line="240" w:lineRule="auto"/>
              <w:ind w:right="113"/>
              <w:jc w:val="center"/>
              <w:rPr>
                <w:rFonts w:ascii="Arial Narrow" w:hAnsi="Arial Narrow"/>
                <w:sz w:val="18"/>
                <w:szCs w:val="18"/>
              </w:rPr>
            </w:pPr>
            <w:r w:rsidRPr="00086001">
              <w:rPr>
                <w:rFonts w:ascii="Arial Narrow" w:hAnsi="Arial Narrow"/>
                <w:sz w:val="18"/>
                <w:szCs w:val="18"/>
              </w:rPr>
              <w:t>Рынок услуг по сбору, сортировке и переработке твердых коммунальных (бытовых) отходов</w:t>
            </w:r>
          </w:p>
        </w:tc>
      </w:tr>
      <w:tr w:rsidR="00A64028" w:rsidRPr="0051304D" w:rsidTr="00A64028">
        <w:trPr>
          <w:cantSplit/>
          <w:trHeight w:val="20"/>
        </w:trPr>
        <w:tc>
          <w:tcPr>
            <w:tcW w:w="263" w:type="pct"/>
            <w:tcBorders>
              <w:top w:val="single" w:sz="4" w:space="0" w:color="auto"/>
              <w:left w:val="single" w:sz="4" w:space="0" w:color="auto"/>
              <w:bottom w:val="single" w:sz="4" w:space="0" w:color="auto"/>
              <w:right w:val="single" w:sz="4" w:space="0" w:color="auto"/>
            </w:tcBorders>
            <w:noWrap/>
            <w:vAlign w:val="center"/>
            <w:hideMark/>
          </w:tcPr>
          <w:p w:rsidR="00A64028" w:rsidRPr="0051304D" w:rsidRDefault="00A64028" w:rsidP="00103148">
            <w:pPr>
              <w:spacing w:after="0"/>
              <w:ind w:right="-148"/>
              <w:jc w:val="both"/>
              <w:rPr>
                <w:rFonts w:ascii="Arial Narrow" w:hAnsi="Arial Narrow"/>
                <w:b/>
              </w:rPr>
            </w:pPr>
            <w:r w:rsidRPr="0051304D">
              <w:rPr>
                <w:rFonts w:ascii="Arial Narrow" w:hAnsi="Arial Narrow"/>
                <w:b/>
              </w:rPr>
              <w:t>1.4.5.</w:t>
            </w:r>
          </w:p>
        </w:tc>
        <w:tc>
          <w:tcPr>
            <w:tcW w:w="4737" w:type="pct"/>
            <w:gridSpan w:val="15"/>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1304D" w:rsidRDefault="00A64028" w:rsidP="00F14CA3">
            <w:pPr>
              <w:spacing w:after="0" w:line="240" w:lineRule="auto"/>
              <w:ind w:right="-57"/>
              <w:jc w:val="both"/>
              <w:rPr>
                <w:rFonts w:ascii="Arial Narrow" w:hAnsi="Arial Narrow"/>
                <w:b/>
                <w:sz w:val="20"/>
                <w:szCs w:val="20"/>
              </w:rPr>
            </w:pPr>
            <w:r w:rsidRPr="0051304D">
              <w:rPr>
                <w:rFonts w:ascii="Arial Narrow" w:hAnsi="Arial Narrow"/>
                <w:b/>
                <w:sz w:val="20"/>
                <w:szCs w:val="20"/>
              </w:rPr>
              <w:t>Оценка степени влияния отдельных органов власти на конкурентную среду в Новосибирской области (% от числа опрошенных)</w:t>
            </w:r>
          </w:p>
        </w:tc>
      </w:tr>
      <w:tr w:rsidR="00A64028" w:rsidRPr="0051304D" w:rsidTr="00086001">
        <w:trPr>
          <w:cantSplit/>
          <w:trHeight w:val="20"/>
        </w:trPr>
        <w:tc>
          <w:tcPr>
            <w:tcW w:w="263" w:type="pct"/>
            <w:tcBorders>
              <w:top w:val="single" w:sz="4" w:space="0" w:color="auto"/>
              <w:left w:val="single" w:sz="4" w:space="0" w:color="auto"/>
              <w:bottom w:val="single" w:sz="4" w:space="0" w:color="auto"/>
              <w:right w:val="single" w:sz="4" w:space="0" w:color="auto"/>
            </w:tcBorders>
            <w:noWrap/>
            <w:vAlign w:val="bottom"/>
            <w:hideMark/>
          </w:tcPr>
          <w:p w:rsidR="00A64028" w:rsidRPr="0051304D" w:rsidRDefault="00A64028" w:rsidP="00103148">
            <w:pPr>
              <w:spacing w:after="0"/>
              <w:ind w:right="57"/>
              <w:rPr>
                <w:rFonts w:ascii="Arial Narrow" w:hAnsi="Arial Narrow"/>
                <w:sz w:val="24"/>
                <w:szCs w:val="24"/>
              </w:rPr>
            </w:pPr>
            <w:r w:rsidRPr="0051304D">
              <w:rPr>
                <w:rFonts w:ascii="Arial Narrow" w:hAnsi="Arial Narrow"/>
                <w:sz w:val="24"/>
                <w:szCs w:val="24"/>
              </w:rPr>
              <w:t> </w:t>
            </w:r>
          </w:p>
        </w:tc>
        <w:tc>
          <w:tcPr>
            <w:tcW w:w="83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1304D" w:rsidRDefault="00A64028" w:rsidP="00103148">
            <w:pPr>
              <w:spacing w:after="0"/>
              <w:ind w:right="-155"/>
              <w:rPr>
                <w:rFonts w:ascii="Arial Narrow" w:hAnsi="Arial Narrow"/>
                <w:sz w:val="20"/>
                <w:szCs w:val="20"/>
              </w:rPr>
            </w:pPr>
            <w:r w:rsidRPr="0051304D">
              <w:rPr>
                <w:rFonts w:ascii="Arial Narrow" w:hAnsi="Arial Narrow"/>
                <w:sz w:val="20"/>
                <w:szCs w:val="20"/>
              </w:rPr>
              <w:t>Общественные организации, представляющие интересы бизнес-сообществ</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372BCB" w:rsidRDefault="00A64028" w:rsidP="00086001">
            <w:pPr>
              <w:spacing w:after="0"/>
              <w:ind w:left="-46" w:right="-155"/>
              <w:jc w:val="center"/>
              <w:rPr>
                <w:rFonts w:ascii="Arial Narrow" w:hAnsi="Arial Narrow"/>
                <w:sz w:val="18"/>
                <w:szCs w:val="18"/>
              </w:rPr>
            </w:pPr>
            <w:r w:rsidRPr="00372BCB">
              <w:rPr>
                <w:rFonts w:ascii="Arial Narrow" w:hAnsi="Arial Narrow"/>
                <w:sz w:val="18"/>
                <w:szCs w:val="18"/>
              </w:rPr>
              <w:t>30,9%</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372BCB" w:rsidRDefault="00A64028" w:rsidP="00086001">
            <w:pPr>
              <w:spacing w:after="0"/>
              <w:ind w:left="-46" w:right="-155"/>
              <w:jc w:val="center"/>
              <w:rPr>
                <w:rFonts w:ascii="Arial Narrow" w:hAnsi="Arial Narrow"/>
                <w:sz w:val="18"/>
                <w:szCs w:val="18"/>
              </w:rPr>
            </w:pPr>
            <w:r w:rsidRPr="00372BCB">
              <w:rPr>
                <w:rFonts w:ascii="Arial Narrow" w:hAnsi="Arial Narrow"/>
                <w:sz w:val="18"/>
                <w:szCs w:val="18"/>
              </w:rPr>
              <w:t>60,0%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372BCB" w:rsidRDefault="00A64028" w:rsidP="00086001">
            <w:pPr>
              <w:spacing w:after="0"/>
              <w:ind w:left="-46" w:right="-155"/>
              <w:jc w:val="center"/>
              <w:rPr>
                <w:rFonts w:ascii="Arial Narrow" w:hAnsi="Arial Narrow"/>
                <w:sz w:val="18"/>
                <w:szCs w:val="18"/>
              </w:rPr>
            </w:pPr>
            <w:r w:rsidRPr="00372BCB">
              <w:rPr>
                <w:rFonts w:ascii="Arial Narrow" w:hAnsi="Arial Narrow"/>
                <w:sz w:val="18"/>
                <w:szCs w:val="18"/>
              </w:rPr>
              <w:t>40,0%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372BCB" w:rsidRDefault="00A64028" w:rsidP="00086001">
            <w:pPr>
              <w:spacing w:after="0"/>
              <w:ind w:left="-46" w:right="-155"/>
              <w:jc w:val="center"/>
              <w:rPr>
                <w:rFonts w:ascii="Arial Narrow" w:hAnsi="Arial Narrow"/>
                <w:sz w:val="18"/>
                <w:szCs w:val="18"/>
              </w:rPr>
            </w:pPr>
            <w:r w:rsidRPr="00372BCB">
              <w:rPr>
                <w:rFonts w:ascii="Arial Narrow" w:hAnsi="Arial Narrow"/>
                <w:sz w:val="18"/>
                <w:szCs w:val="18"/>
              </w:rPr>
              <w:t>40,0%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372BCB" w:rsidRDefault="00A64028" w:rsidP="00086001">
            <w:pPr>
              <w:spacing w:after="0"/>
              <w:ind w:left="-46" w:right="-155"/>
              <w:jc w:val="center"/>
              <w:rPr>
                <w:rFonts w:ascii="Arial Narrow" w:hAnsi="Arial Narrow"/>
                <w:sz w:val="18"/>
                <w:szCs w:val="18"/>
              </w:rPr>
            </w:pPr>
            <w:r w:rsidRPr="00372BCB">
              <w:rPr>
                <w:rFonts w:ascii="Arial Narrow" w:hAnsi="Arial Narrow"/>
                <w:sz w:val="18"/>
                <w:szCs w:val="18"/>
              </w:rPr>
              <w:t>31,4%</w:t>
            </w: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372BCB" w:rsidRDefault="00A64028" w:rsidP="00086001">
            <w:pPr>
              <w:spacing w:after="0"/>
              <w:ind w:left="-46" w:right="-155"/>
              <w:jc w:val="center"/>
              <w:rPr>
                <w:rFonts w:ascii="Arial Narrow" w:hAnsi="Arial Narrow"/>
                <w:sz w:val="18"/>
                <w:szCs w:val="18"/>
              </w:rPr>
            </w:pPr>
            <w:r w:rsidRPr="00372BCB">
              <w:rPr>
                <w:rFonts w:ascii="Arial Narrow" w:hAnsi="Arial Narrow"/>
                <w:sz w:val="18"/>
                <w:szCs w:val="18"/>
              </w:rPr>
              <w:t>52,0%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372BCB" w:rsidRDefault="00A64028" w:rsidP="00086001">
            <w:pPr>
              <w:spacing w:after="0"/>
              <w:ind w:left="-46" w:right="-155"/>
              <w:jc w:val="center"/>
              <w:rPr>
                <w:rFonts w:ascii="Arial Narrow" w:hAnsi="Arial Narrow"/>
                <w:sz w:val="18"/>
                <w:szCs w:val="18"/>
              </w:rPr>
            </w:pPr>
            <w:r w:rsidRPr="00372BCB">
              <w:rPr>
                <w:rFonts w:ascii="Arial Narrow" w:hAnsi="Arial Narrow"/>
                <w:sz w:val="18"/>
                <w:szCs w:val="18"/>
              </w:rPr>
              <w:t>16,0%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372BCB" w:rsidRDefault="00A64028" w:rsidP="00086001">
            <w:pPr>
              <w:spacing w:after="0"/>
              <w:ind w:left="-46" w:right="-155"/>
              <w:jc w:val="center"/>
              <w:rPr>
                <w:rFonts w:ascii="Arial Narrow" w:hAnsi="Arial Narrow"/>
                <w:sz w:val="18"/>
                <w:szCs w:val="18"/>
              </w:rPr>
            </w:pPr>
            <w:r w:rsidRPr="00372BCB">
              <w:rPr>
                <w:rFonts w:ascii="Arial Narrow" w:hAnsi="Arial Narrow"/>
                <w:sz w:val="18"/>
                <w:szCs w:val="18"/>
              </w:rPr>
              <w:t>38,6%</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372BCB" w:rsidRDefault="00A64028" w:rsidP="00086001">
            <w:pPr>
              <w:spacing w:after="0"/>
              <w:ind w:left="-46" w:right="-155"/>
              <w:jc w:val="center"/>
              <w:rPr>
                <w:rFonts w:ascii="Arial Narrow" w:hAnsi="Arial Narrow"/>
                <w:sz w:val="18"/>
                <w:szCs w:val="18"/>
              </w:rPr>
            </w:pPr>
            <w:r w:rsidRPr="00372BCB">
              <w:rPr>
                <w:rFonts w:ascii="Arial Narrow" w:hAnsi="Arial Narrow"/>
                <w:sz w:val="18"/>
                <w:szCs w:val="18"/>
              </w:rPr>
              <w:t>32,6%</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372BCB" w:rsidRDefault="00A64028" w:rsidP="00086001">
            <w:pPr>
              <w:spacing w:after="0"/>
              <w:ind w:left="-46" w:right="-155"/>
              <w:jc w:val="center"/>
              <w:rPr>
                <w:rFonts w:ascii="Arial Narrow" w:hAnsi="Arial Narrow"/>
                <w:sz w:val="18"/>
                <w:szCs w:val="18"/>
              </w:rPr>
            </w:pPr>
            <w:r w:rsidRPr="00372BCB">
              <w:rPr>
                <w:rFonts w:ascii="Arial Narrow" w:hAnsi="Arial Narrow"/>
                <w:sz w:val="18"/>
                <w:szCs w:val="18"/>
              </w:rPr>
              <w:t>11,6%</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372BCB" w:rsidRDefault="00A64028" w:rsidP="00086001">
            <w:pPr>
              <w:spacing w:after="0"/>
              <w:ind w:left="-46" w:right="-155"/>
              <w:jc w:val="center"/>
              <w:rPr>
                <w:rFonts w:ascii="Arial Narrow" w:hAnsi="Arial Narrow"/>
                <w:sz w:val="18"/>
                <w:szCs w:val="18"/>
              </w:rPr>
            </w:pPr>
            <w:r w:rsidRPr="00372BCB">
              <w:rPr>
                <w:rFonts w:ascii="Arial Narrow" w:hAnsi="Arial Narrow"/>
                <w:sz w:val="18"/>
                <w:szCs w:val="18"/>
              </w:rPr>
              <w:t>20,0%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372BCB" w:rsidRDefault="00A64028" w:rsidP="00086001">
            <w:pPr>
              <w:spacing w:after="0"/>
              <w:ind w:left="-46" w:right="-155"/>
              <w:jc w:val="center"/>
              <w:rPr>
                <w:rFonts w:ascii="Arial Narrow" w:hAnsi="Arial Narrow"/>
                <w:sz w:val="18"/>
                <w:szCs w:val="18"/>
              </w:rPr>
            </w:pPr>
            <w:r w:rsidRPr="00372BCB">
              <w:rPr>
                <w:rFonts w:ascii="Arial Narrow" w:hAnsi="Arial Narrow"/>
                <w:sz w:val="18"/>
                <w:szCs w:val="18"/>
              </w:rPr>
              <w:t>48,0%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372BCB" w:rsidRDefault="00A64028" w:rsidP="00086001">
            <w:pPr>
              <w:spacing w:after="0"/>
              <w:ind w:left="-46" w:right="-155"/>
              <w:jc w:val="center"/>
              <w:rPr>
                <w:rFonts w:ascii="Arial Narrow" w:hAnsi="Arial Narrow"/>
                <w:sz w:val="18"/>
                <w:szCs w:val="18"/>
              </w:rPr>
            </w:pPr>
            <w:r w:rsidRPr="00372BCB">
              <w:rPr>
                <w:rFonts w:ascii="Arial Narrow" w:hAnsi="Arial Narrow"/>
                <w:sz w:val="18"/>
                <w:szCs w:val="18"/>
              </w:rPr>
              <w:t>31,0%</w:t>
            </w: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372BCB" w:rsidRDefault="00A64028" w:rsidP="00086001">
            <w:pPr>
              <w:spacing w:after="0"/>
              <w:ind w:left="-46" w:right="-155"/>
              <w:jc w:val="center"/>
              <w:rPr>
                <w:rFonts w:ascii="Arial Narrow" w:hAnsi="Arial Narrow"/>
                <w:sz w:val="18"/>
                <w:szCs w:val="18"/>
              </w:rPr>
            </w:pPr>
            <w:r w:rsidRPr="00372BCB">
              <w:rPr>
                <w:rFonts w:ascii="Arial Narrow" w:hAnsi="Arial Narrow"/>
                <w:sz w:val="18"/>
                <w:szCs w:val="18"/>
              </w:rPr>
              <w:t>60,0%</w:t>
            </w:r>
          </w:p>
        </w:tc>
      </w:tr>
      <w:tr w:rsidR="00A64028" w:rsidRPr="0051304D" w:rsidTr="00086001">
        <w:trPr>
          <w:cantSplit/>
          <w:trHeight w:val="20"/>
        </w:trPr>
        <w:tc>
          <w:tcPr>
            <w:tcW w:w="263" w:type="pct"/>
            <w:tcBorders>
              <w:top w:val="single" w:sz="4" w:space="0" w:color="auto"/>
              <w:left w:val="single" w:sz="4" w:space="0" w:color="auto"/>
              <w:bottom w:val="single" w:sz="4" w:space="0" w:color="auto"/>
              <w:right w:val="single" w:sz="4" w:space="0" w:color="auto"/>
            </w:tcBorders>
            <w:noWrap/>
            <w:vAlign w:val="bottom"/>
            <w:hideMark/>
          </w:tcPr>
          <w:p w:rsidR="00A64028" w:rsidRPr="0051304D" w:rsidRDefault="00A64028" w:rsidP="00103148">
            <w:pPr>
              <w:spacing w:after="0"/>
              <w:ind w:right="57"/>
              <w:rPr>
                <w:rFonts w:ascii="Arial Narrow" w:hAnsi="Arial Narrow"/>
                <w:sz w:val="24"/>
                <w:szCs w:val="24"/>
              </w:rPr>
            </w:pPr>
            <w:r w:rsidRPr="0051304D">
              <w:rPr>
                <w:rFonts w:ascii="Arial Narrow" w:hAnsi="Arial Narrow"/>
                <w:sz w:val="24"/>
                <w:szCs w:val="24"/>
              </w:rPr>
              <w:t> </w:t>
            </w:r>
          </w:p>
        </w:tc>
        <w:tc>
          <w:tcPr>
            <w:tcW w:w="83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1304D" w:rsidRDefault="00A64028" w:rsidP="00103148">
            <w:pPr>
              <w:spacing w:after="0"/>
              <w:ind w:right="-155"/>
              <w:rPr>
                <w:rFonts w:ascii="Arial Narrow" w:hAnsi="Arial Narrow"/>
                <w:sz w:val="20"/>
                <w:szCs w:val="20"/>
              </w:rPr>
            </w:pPr>
            <w:r w:rsidRPr="0051304D">
              <w:rPr>
                <w:rFonts w:ascii="Arial Narrow" w:hAnsi="Arial Narrow"/>
                <w:sz w:val="20"/>
                <w:szCs w:val="20"/>
              </w:rPr>
              <w:t>ФАС России (ее территориальное управление)</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372BCB" w:rsidRDefault="00A64028" w:rsidP="00086001">
            <w:pPr>
              <w:spacing w:after="0"/>
              <w:ind w:left="-46" w:right="-155"/>
              <w:jc w:val="center"/>
              <w:rPr>
                <w:rFonts w:ascii="Arial Narrow" w:hAnsi="Arial Narrow"/>
                <w:sz w:val="18"/>
                <w:szCs w:val="18"/>
              </w:rPr>
            </w:pPr>
            <w:r w:rsidRPr="00372BCB">
              <w:rPr>
                <w:rFonts w:ascii="Arial Narrow" w:hAnsi="Arial Narrow"/>
                <w:sz w:val="18"/>
                <w:szCs w:val="18"/>
              </w:rPr>
              <w:t>33,1%</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372BCB" w:rsidRDefault="00A64028" w:rsidP="00086001">
            <w:pPr>
              <w:spacing w:after="0"/>
              <w:ind w:left="-46" w:right="-155"/>
              <w:jc w:val="center"/>
              <w:rPr>
                <w:rFonts w:ascii="Arial Narrow" w:hAnsi="Arial Narrow"/>
                <w:sz w:val="18"/>
                <w:szCs w:val="18"/>
              </w:rPr>
            </w:pPr>
            <w:r w:rsidRPr="00372BCB">
              <w:rPr>
                <w:rFonts w:ascii="Arial Narrow" w:hAnsi="Arial Narrow"/>
                <w:sz w:val="18"/>
                <w:szCs w:val="18"/>
              </w:rPr>
              <w:t>40,0%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372BCB" w:rsidRDefault="00A64028" w:rsidP="00086001">
            <w:pPr>
              <w:spacing w:after="0"/>
              <w:ind w:left="-46" w:right="-155"/>
              <w:jc w:val="center"/>
              <w:rPr>
                <w:rFonts w:ascii="Arial Narrow" w:hAnsi="Arial Narrow"/>
                <w:sz w:val="18"/>
                <w:szCs w:val="18"/>
              </w:rPr>
            </w:pPr>
            <w:r w:rsidRPr="00372BCB">
              <w:rPr>
                <w:rFonts w:ascii="Arial Narrow" w:hAnsi="Arial Narrow"/>
                <w:sz w:val="18"/>
                <w:szCs w:val="18"/>
              </w:rPr>
              <w:t>40,0%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372BCB" w:rsidRDefault="00A64028" w:rsidP="00086001">
            <w:pPr>
              <w:spacing w:after="0"/>
              <w:ind w:left="-46" w:right="-155"/>
              <w:jc w:val="center"/>
              <w:rPr>
                <w:rFonts w:ascii="Arial Narrow" w:hAnsi="Arial Narrow"/>
                <w:sz w:val="18"/>
                <w:szCs w:val="18"/>
              </w:rPr>
            </w:pPr>
            <w:r w:rsidRPr="00372BCB">
              <w:rPr>
                <w:rFonts w:ascii="Arial Narrow" w:hAnsi="Arial Narrow"/>
                <w:sz w:val="18"/>
                <w:szCs w:val="18"/>
              </w:rPr>
              <w:t>24,0%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372BCB" w:rsidRDefault="00A64028" w:rsidP="00086001">
            <w:pPr>
              <w:spacing w:after="0"/>
              <w:ind w:left="-46" w:right="-155"/>
              <w:jc w:val="center"/>
              <w:rPr>
                <w:rFonts w:ascii="Arial Narrow" w:hAnsi="Arial Narrow"/>
                <w:sz w:val="18"/>
                <w:szCs w:val="18"/>
              </w:rPr>
            </w:pPr>
            <w:r w:rsidRPr="00372BCB">
              <w:rPr>
                <w:rFonts w:ascii="Arial Narrow" w:hAnsi="Arial Narrow"/>
                <w:sz w:val="18"/>
                <w:szCs w:val="18"/>
              </w:rPr>
              <w:t>25,7%</w:t>
            </w: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372BCB" w:rsidRDefault="00A64028" w:rsidP="00086001">
            <w:pPr>
              <w:spacing w:after="0"/>
              <w:ind w:left="-46" w:right="-155"/>
              <w:jc w:val="center"/>
              <w:rPr>
                <w:rFonts w:ascii="Arial Narrow" w:hAnsi="Arial Narrow"/>
                <w:sz w:val="18"/>
                <w:szCs w:val="18"/>
              </w:rPr>
            </w:pPr>
            <w:r w:rsidRPr="00372BCB">
              <w:rPr>
                <w:rFonts w:ascii="Arial Narrow" w:hAnsi="Arial Narrow"/>
                <w:sz w:val="18"/>
                <w:szCs w:val="18"/>
              </w:rPr>
              <w:t>48,0%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372BCB" w:rsidRDefault="00A64028" w:rsidP="00086001">
            <w:pPr>
              <w:spacing w:after="0"/>
              <w:ind w:left="-46" w:right="-155"/>
              <w:jc w:val="center"/>
              <w:rPr>
                <w:rFonts w:ascii="Arial Narrow" w:hAnsi="Arial Narrow"/>
                <w:sz w:val="18"/>
                <w:szCs w:val="18"/>
              </w:rPr>
            </w:pPr>
            <w:r w:rsidRPr="00372BCB">
              <w:rPr>
                <w:rFonts w:ascii="Arial Narrow" w:hAnsi="Arial Narrow"/>
                <w:sz w:val="18"/>
                <w:szCs w:val="18"/>
              </w:rPr>
              <w:t>20,0%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372BCB" w:rsidRDefault="00A64028" w:rsidP="00086001">
            <w:pPr>
              <w:spacing w:after="0"/>
              <w:ind w:left="-46" w:right="-155"/>
              <w:jc w:val="center"/>
              <w:rPr>
                <w:rFonts w:ascii="Arial Narrow" w:hAnsi="Arial Narrow"/>
                <w:sz w:val="18"/>
                <w:szCs w:val="18"/>
              </w:rPr>
            </w:pPr>
            <w:r w:rsidRPr="00372BCB">
              <w:rPr>
                <w:rFonts w:ascii="Arial Narrow" w:hAnsi="Arial Narrow"/>
                <w:sz w:val="18"/>
                <w:szCs w:val="18"/>
              </w:rPr>
              <w:t>30,0%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372BCB" w:rsidRDefault="00A64028" w:rsidP="00086001">
            <w:pPr>
              <w:spacing w:after="0"/>
              <w:ind w:left="-46" w:right="-155"/>
              <w:jc w:val="center"/>
              <w:rPr>
                <w:rFonts w:ascii="Arial Narrow" w:hAnsi="Arial Narrow"/>
                <w:sz w:val="18"/>
                <w:szCs w:val="18"/>
              </w:rPr>
            </w:pPr>
            <w:r w:rsidRPr="00372BCB">
              <w:rPr>
                <w:rFonts w:ascii="Arial Narrow" w:hAnsi="Arial Narrow"/>
                <w:sz w:val="18"/>
                <w:szCs w:val="18"/>
              </w:rPr>
              <w:t>22,0%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372BCB" w:rsidRDefault="00A64028" w:rsidP="00086001">
            <w:pPr>
              <w:spacing w:after="0"/>
              <w:ind w:left="-46" w:right="-155"/>
              <w:jc w:val="center"/>
              <w:rPr>
                <w:rFonts w:ascii="Arial Narrow" w:hAnsi="Arial Narrow"/>
                <w:sz w:val="18"/>
                <w:szCs w:val="18"/>
              </w:rPr>
            </w:pPr>
            <w:r w:rsidRPr="00372BCB">
              <w:rPr>
                <w:rFonts w:ascii="Arial Narrow" w:hAnsi="Arial Narrow"/>
                <w:sz w:val="18"/>
                <w:szCs w:val="18"/>
              </w:rPr>
              <w:t>15,0%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372BCB" w:rsidRDefault="00A64028" w:rsidP="00086001">
            <w:pPr>
              <w:spacing w:after="0"/>
              <w:ind w:left="-46" w:right="-155"/>
              <w:jc w:val="center"/>
              <w:rPr>
                <w:rFonts w:ascii="Arial Narrow" w:hAnsi="Arial Narrow"/>
                <w:sz w:val="18"/>
                <w:szCs w:val="18"/>
              </w:rPr>
            </w:pPr>
            <w:r w:rsidRPr="00372BCB">
              <w:rPr>
                <w:rFonts w:ascii="Arial Narrow" w:hAnsi="Arial Narrow"/>
                <w:sz w:val="18"/>
                <w:szCs w:val="18"/>
              </w:rPr>
              <w:t>60,0%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372BCB" w:rsidRDefault="00A64028" w:rsidP="00086001">
            <w:pPr>
              <w:spacing w:after="0"/>
              <w:ind w:left="-46" w:right="-155"/>
              <w:jc w:val="center"/>
              <w:rPr>
                <w:rFonts w:ascii="Arial Narrow" w:hAnsi="Arial Narrow"/>
                <w:sz w:val="18"/>
                <w:szCs w:val="18"/>
              </w:rPr>
            </w:pPr>
            <w:r w:rsidRPr="00372BCB">
              <w:rPr>
                <w:rFonts w:ascii="Arial Narrow" w:hAnsi="Arial Narrow"/>
                <w:sz w:val="18"/>
                <w:szCs w:val="18"/>
              </w:rPr>
              <w:t>56,0%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372BCB" w:rsidRDefault="00A64028" w:rsidP="00086001">
            <w:pPr>
              <w:spacing w:after="0"/>
              <w:ind w:left="-46" w:right="-155"/>
              <w:jc w:val="center"/>
              <w:rPr>
                <w:rFonts w:ascii="Arial Narrow" w:hAnsi="Arial Narrow"/>
                <w:sz w:val="18"/>
                <w:szCs w:val="18"/>
              </w:rPr>
            </w:pPr>
            <w:r w:rsidRPr="00372BCB">
              <w:rPr>
                <w:rFonts w:ascii="Arial Narrow" w:hAnsi="Arial Narrow"/>
                <w:sz w:val="18"/>
                <w:szCs w:val="18"/>
              </w:rPr>
              <w:t>26,0%</w:t>
            </w: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372BCB" w:rsidRDefault="00A64028" w:rsidP="00086001">
            <w:pPr>
              <w:spacing w:after="0"/>
              <w:ind w:left="-46" w:right="-155"/>
              <w:jc w:val="center"/>
              <w:rPr>
                <w:rFonts w:ascii="Arial Narrow" w:hAnsi="Arial Narrow"/>
                <w:sz w:val="18"/>
                <w:szCs w:val="18"/>
              </w:rPr>
            </w:pPr>
            <w:r w:rsidRPr="00372BCB">
              <w:rPr>
                <w:rFonts w:ascii="Arial Narrow" w:hAnsi="Arial Narrow"/>
                <w:sz w:val="18"/>
                <w:szCs w:val="18"/>
              </w:rPr>
              <w:t>60,0%</w:t>
            </w:r>
          </w:p>
        </w:tc>
      </w:tr>
      <w:tr w:rsidR="00A64028" w:rsidRPr="0051304D" w:rsidTr="00086001">
        <w:trPr>
          <w:cantSplit/>
          <w:trHeight w:val="20"/>
        </w:trPr>
        <w:tc>
          <w:tcPr>
            <w:tcW w:w="263" w:type="pct"/>
            <w:tcBorders>
              <w:top w:val="single" w:sz="4" w:space="0" w:color="auto"/>
              <w:left w:val="single" w:sz="4" w:space="0" w:color="auto"/>
              <w:bottom w:val="single" w:sz="4" w:space="0" w:color="auto"/>
              <w:right w:val="single" w:sz="4" w:space="0" w:color="auto"/>
            </w:tcBorders>
            <w:noWrap/>
            <w:vAlign w:val="bottom"/>
            <w:hideMark/>
          </w:tcPr>
          <w:p w:rsidR="00A64028" w:rsidRPr="0051304D" w:rsidRDefault="00A64028" w:rsidP="00103148">
            <w:pPr>
              <w:spacing w:after="0"/>
              <w:ind w:right="57"/>
              <w:rPr>
                <w:rFonts w:ascii="Arial Narrow" w:hAnsi="Arial Narrow"/>
                <w:sz w:val="24"/>
                <w:szCs w:val="24"/>
              </w:rPr>
            </w:pPr>
            <w:r w:rsidRPr="0051304D">
              <w:rPr>
                <w:rFonts w:ascii="Arial Narrow" w:hAnsi="Arial Narrow"/>
                <w:sz w:val="24"/>
                <w:szCs w:val="24"/>
              </w:rPr>
              <w:t> </w:t>
            </w:r>
          </w:p>
        </w:tc>
        <w:tc>
          <w:tcPr>
            <w:tcW w:w="83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1304D" w:rsidRDefault="00A64028" w:rsidP="00103148">
            <w:pPr>
              <w:spacing w:after="0"/>
              <w:ind w:right="-155"/>
              <w:rPr>
                <w:rFonts w:ascii="Arial Narrow" w:hAnsi="Arial Narrow"/>
                <w:sz w:val="20"/>
                <w:szCs w:val="20"/>
              </w:rPr>
            </w:pPr>
            <w:r w:rsidRPr="0051304D">
              <w:rPr>
                <w:rFonts w:ascii="Arial Narrow" w:hAnsi="Arial Narrow"/>
                <w:sz w:val="20"/>
                <w:szCs w:val="20"/>
              </w:rPr>
              <w:t>Органы местного самоуправления</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372BCB" w:rsidRDefault="00A64028" w:rsidP="00086001">
            <w:pPr>
              <w:spacing w:after="0"/>
              <w:ind w:left="-46" w:right="-155"/>
              <w:jc w:val="center"/>
              <w:rPr>
                <w:rFonts w:ascii="Arial Narrow" w:hAnsi="Arial Narrow"/>
                <w:sz w:val="18"/>
                <w:szCs w:val="18"/>
              </w:rPr>
            </w:pPr>
            <w:r w:rsidRPr="00372BCB">
              <w:rPr>
                <w:rFonts w:ascii="Arial Narrow" w:hAnsi="Arial Narrow"/>
                <w:sz w:val="18"/>
                <w:szCs w:val="18"/>
              </w:rPr>
              <w:t>36,3%</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372BCB" w:rsidRDefault="00A64028" w:rsidP="00086001">
            <w:pPr>
              <w:spacing w:after="0"/>
              <w:ind w:left="-46" w:right="-155"/>
              <w:jc w:val="center"/>
              <w:rPr>
                <w:rFonts w:ascii="Arial Narrow" w:hAnsi="Arial Narrow"/>
                <w:sz w:val="18"/>
                <w:szCs w:val="18"/>
              </w:rPr>
            </w:pPr>
            <w:r w:rsidRPr="00372BCB">
              <w:rPr>
                <w:rFonts w:ascii="Arial Narrow" w:hAnsi="Arial Narrow"/>
                <w:sz w:val="18"/>
                <w:szCs w:val="18"/>
              </w:rPr>
              <w:t>70,0%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372BCB" w:rsidRDefault="00A64028" w:rsidP="00086001">
            <w:pPr>
              <w:spacing w:after="0"/>
              <w:ind w:left="-46" w:right="-155"/>
              <w:jc w:val="center"/>
              <w:rPr>
                <w:rFonts w:ascii="Arial Narrow" w:hAnsi="Arial Narrow"/>
                <w:sz w:val="18"/>
                <w:szCs w:val="18"/>
              </w:rPr>
            </w:pPr>
            <w:r w:rsidRPr="00372BCB">
              <w:rPr>
                <w:rFonts w:ascii="Arial Narrow" w:hAnsi="Arial Narrow"/>
                <w:sz w:val="18"/>
                <w:szCs w:val="18"/>
              </w:rPr>
              <w:t>20,0%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372BCB" w:rsidRDefault="00A64028" w:rsidP="00086001">
            <w:pPr>
              <w:spacing w:after="0"/>
              <w:ind w:left="-46" w:right="-155"/>
              <w:jc w:val="center"/>
              <w:rPr>
                <w:rFonts w:ascii="Arial Narrow" w:hAnsi="Arial Narrow"/>
                <w:sz w:val="18"/>
                <w:szCs w:val="18"/>
              </w:rPr>
            </w:pPr>
            <w:r w:rsidRPr="00372BCB">
              <w:rPr>
                <w:rFonts w:ascii="Arial Narrow" w:hAnsi="Arial Narrow"/>
                <w:sz w:val="18"/>
                <w:szCs w:val="18"/>
              </w:rPr>
              <w:t>40,0%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372BCB" w:rsidRDefault="00A64028" w:rsidP="00086001">
            <w:pPr>
              <w:spacing w:after="0"/>
              <w:ind w:left="-46" w:right="-155"/>
              <w:jc w:val="center"/>
              <w:rPr>
                <w:rFonts w:ascii="Arial Narrow" w:hAnsi="Arial Narrow"/>
                <w:sz w:val="18"/>
                <w:szCs w:val="18"/>
              </w:rPr>
            </w:pPr>
            <w:r w:rsidRPr="00372BCB">
              <w:rPr>
                <w:rFonts w:ascii="Arial Narrow" w:hAnsi="Arial Narrow"/>
                <w:sz w:val="18"/>
                <w:szCs w:val="18"/>
              </w:rPr>
              <w:t>32,9%</w:t>
            </w: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372BCB" w:rsidRDefault="00A64028" w:rsidP="00086001">
            <w:pPr>
              <w:spacing w:after="0"/>
              <w:ind w:left="-46" w:right="-155"/>
              <w:jc w:val="center"/>
              <w:rPr>
                <w:rFonts w:ascii="Arial Narrow" w:hAnsi="Arial Narrow"/>
                <w:sz w:val="18"/>
                <w:szCs w:val="18"/>
              </w:rPr>
            </w:pPr>
            <w:r w:rsidRPr="00372BCB">
              <w:rPr>
                <w:rFonts w:ascii="Arial Narrow" w:hAnsi="Arial Narrow"/>
                <w:sz w:val="18"/>
                <w:szCs w:val="18"/>
              </w:rPr>
              <w:t>52,0%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372BCB" w:rsidRDefault="00A64028" w:rsidP="00086001">
            <w:pPr>
              <w:spacing w:after="0"/>
              <w:ind w:left="-46" w:right="-155"/>
              <w:jc w:val="center"/>
              <w:rPr>
                <w:rFonts w:ascii="Arial Narrow" w:hAnsi="Arial Narrow"/>
                <w:sz w:val="18"/>
                <w:szCs w:val="18"/>
              </w:rPr>
            </w:pPr>
            <w:r w:rsidRPr="00372BCB">
              <w:rPr>
                <w:rFonts w:ascii="Arial Narrow" w:hAnsi="Arial Narrow"/>
                <w:sz w:val="18"/>
                <w:szCs w:val="18"/>
              </w:rPr>
              <w:t>32,0%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372BCB" w:rsidRDefault="00A64028" w:rsidP="00086001">
            <w:pPr>
              <w:spacing w:after="0"/>
              <w:ind w:left="-46" w:right="-155"/>
              <w:jc w:val="center"/>
              <w:rPr>
                <w:rFonts w:ascii="Arial Narrow" w:hAnsi="Arial Narrow"/>
                <w:sz w:val="18"/>
                <w:szCs w:val="18"/>
              </w:rPr>
            </w:pPr>
            <w:r w:rsidRPr="00372BCB">
              <w:rPr>
                <w:rFonts w:ascii="Arial Narrow" w:hAnsi="Arial Narrow"/>
                <w:sz w:val="18"/>
                <w:szCs w:val="18"/>
              </w:rPr>
              <w:t>48,6%</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372BCB" w:rsidRDefault="00A64028" w:rsidP="00086001">
            <w:pPr>
              <w:spacing w:after="0"/>
              <w:ind w:left="-46" w:right="-155"/>
              <w:jc w:val="center"/>
              <w:rPr>
                <w:rFonts w:ascii="Arial Narrow" w:hAnsi="Arial Narrow"/>
                <w:sz w:val="18"/>
                <w:szCs w:val="18"/>
              </w:rPr>
            </w:pPr>
            <w:r w:rsidRPr="00372BCB">
              <w:rPr>
                <w:rFonts w:ascii="Arial Narrow" w:hAnsi="Arial Narrow"/>
                <w:sz w:val="18"/>
                <w:szCs w:val="18"/>
              </w:rPr>
              <w:t>37,3%</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372BCB" w:rsidRDefault="00A64028" w:rsidP="00086001">
            <w:pPr>
              <w:spacing w:after="0"/>
              <w:ind w:left="-46" w:right="-155"/>
              <w:jc w:val="center"/>
              <w:rPr>
                <w:rFonts w:ascii="Arial Narrow" w:hAnsi="Arial Narrow"/>
                <w:sz w:val="18"/>
                <w:szCs w:val="18"/>
              </w:rPr>
            </w:pPr>
            <w:r w:rsidRPr="00372BCB">
              <w:rPr>
                <w:rFonts w:ascii="Arial Narrow" w:hAnsi="Arial Narrow"/>
                <w:sz w:val="18"/>
                <w:szCs w:val="18"/>
              </w:rPr>
              <w:t>15,0%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372BCB" w:rsidRDefault="00A64028" w:rsidP="00086001">
            <w:pPr>
              <w:spacing w:after="0"/>
              <w:ind w:left="-46" w:right="-155"/>
              <w:jc w:val="center"/>
              <w:rPr>
                <w:rFonts w:ascii="Arial Narrow" w:hAnsi="Arial Narrow"/>
                <w:sz w:val="18"/>
                <w:szCs w:val="18"/>
              </w:rPr>
            </w:pPr>
            <w:r w:rsidRPr="00372BCB">
              <w:rPr>
                <w:rFonts w:ascii="Arial Narrow" w:hAnsi="Arial Narrow"/>
                <w:sz w:val="18"/>
                <w:szCs w:val="18"/>
              </w:rPr>
              <w:t>32,0%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372BCB" w:rsidRDefault="00A64028" w:rsidP="00086001">
            <w:pPr>
              <w:spacing w:after="0"/>
              <w:ind w:left="-46" w:right="-155"/>
              <w:jc w:val="center"/>
              <w:rPr>
                <w:rFonts w:ascii="Arial Narrow" w:hAnsi="Arial Narrow"/>
                <w:sz w:val="18"/>
                <w:szCs w:val="18"/>
              </w:rPr>
            </w:pPr>
            <w:r w:rsidRPr="00372BCB">
              <w:rPr>
                <w:rFonts w:ascii="Arial Narrow" w:hAnsi="Arial Narrow"/>
                <w:sz w:val="18"/>
                <w:szCs w:val="18"/>
              </w:rPr>
              <w:t>52,0%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372BCB" w:rsidRDefault="00A64028" w:rsidP="00086001">
            <w:pPr>
              <w:spacing w:after="0"/>
              <w:ind w:left="-46" w:right="-155"/>
              <w:jc w:val="center"/>
              <w:rPr>
                <w:rFonts w:ascii="Arial Narrow" w:hAnsi="Arial Narrow"/>
                <w:sz w:val="18"/>
                <w:szCs w:val="18"/>
              </w:rPr>
            </w:pPr>
            <w:r w:rsidRPr="00372BCB">
              <w:rPr>
                <w:rFonts w:ascii="Arial Narrow" w:hAnsi="Arial Narrow"/>
                <w:sz w:val="18"/>
                <w:szCs w:val="18"/>
              </w:rPr>
              <w:t>39,0%</w:t>
            </w: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372BCB" w:rsidRDefault="00A64028" w:rsidP="00086001">
            <w:pPr>
              <w:spacing w:after="0"/>
              <w:ind w:left="-46" w:right="-155"/>
              <w:jc w:val="center"/>
              <w:rPr>
                <w:rFonts w:ascii="Arial Narrow" w:hAnsi="Arial Narrow"/>
                <w:sz w:val="18"/>
                <w:szCs w:val="18"/>
              </w:rPr>
            </w:pPr>
            <w:r w:rsidRPr="00372BCB">
              <w:rPr>
                <w:rFonts w:ascii="Arial Narrow" w:hAnsi="Arial Narrow"/>
                <w:sz w:val="18"/>
                <w:szCs w:val="18"/>
              </w:rPr>
              <w:t>70,0%</w:t>
            </w:r>
          </w:p>
        </w:tc>
      </w:tr>
      <w:tr w:rsidR="00A64028" w:rsidRPr="0051304D" w:rsidTr="00086001">
        <w:trPr>
          <w:cantSplit/>
          <w:trHeight w:val="20"/>
        </w:trPr>
        <w:tc>
          <w:tcPr>
            <w:tcW w:w="263" w:type="pct"/>
            <w:tcBorders>
              <w:top w:val="single" w:sz="4" w:space="0" w:color="auto"/>
              <w:left w:val="single" w:sz="4" w:space="0" w:color="auto"/>
              <w:bottom w:val="single" w:sz="4" w:space="0" w:color="auto"/>
              <w:right w:val="single" w:sz="4" w:space="0" w:color="auto"/>
            </w:tcBorders>
            <w:noWrap/>
            <w:vAlign w:val="bottom"/>
            <w:hideMark/>
          </w:tcPr>
          <w:p w:rsidR="00A64028" w:rsidRPr="0051304D" w:rsidRDefault="00A64028" w:rsidP="00103148">
            <w:pPr>
              <w:spacing w:after="0"/>
              <w:ind w:right="57"/>
              <w:rPr>
                <w:rFonts w:ascii="Arial Narrow" w:hAnsi="Arial Narrow"/>
                <w:sz w:val="24"/>
                <w:szCs w:val="24"/>
              </w:rPr>
            </w:pPr>
            <w:r w:rsidRPr="0051304D">
              <w:rPr>
                <w:rFonts w:ascii="Arial Narrow" w:hAnsi="Arial Narrow"/>
                <w:sz w:val="24"/>
                <w:szCs w:val="24"/>
              </w:rPr>
              <w:t> </w:t>
            </w:r>
          </w:p>
        </w:tc>
        <w:tc>
          <w:tcPr>
            <w:tcW w:w="83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51304D" w:rsidRDefault="00A64028" w:rsidP="00103148">
            <w:pPr>
              <w:spacing w:after="0"/>
              <w:ind w:right="-155"/>
              <w:rPr>
                <w:rFonts w:ascii="Arial Narrow" w:hAnsi="Arial Narrow"/>
                <w:sz w:val="20"/>
                <w:szCs w:val="20"/>
              </w:rPr>
            </w:pPr>
            <w:r w:rsidRPr="0051304D">
              <w:rPr>
                <w:rFonts w:ascii="Arial Narrow" w:hAnsi="Arial Narrow"/>
                <w:sz w:val="20"/>
                <w:szCs w:val="20"/>
              </w:rPr>
              <w:t>Органы исполнительной власти Новосибирской области</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372BCB" w:rsidRDefault="00A64028" w:rsidP="00086001">
            <w:pPr>
              <w:spacing w:after="0"/>
              <w:ind w:left="-46" w:right="-155"/>
              <w:jc w:val="center"/>
              <w:rPr>
                <w:rFonts w:ascii="Arial Narrow" w:hAnsi="Arial Narrow"/>
                <w:sz w:val="18"/>
                <w:szCs w:val="18"/>
              </w:rPr>
            </w:pPr>
            <w:r w:rsidRPr="00372BCB">
              <w:rPr>
                <w:rFonts w:ascii="Arial Narrow" w:hAnsi="Arial Narrow"/>
                <w:sz w:val="18"/>
                <w:szCs w:val="18"/>
              </w:rPr>
              <w:t>49,3%</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372BCB" w:rsidRDefault="00A64028" w:rsidP="00086001">
            <w:pPr>
              <w:spacing w:after="0"/>
              <w:ind w:left="-46" w:right="-155"/>
              <w:jc w:val="center"/>
              <w:rPr>
                <w:rFonts w:ascii="Arial Narrow" w:hAnsi="Arial Narrow"/>
                <w:sz w:val="18"/>
                <w:szCs w:val="18"/>
              </w:rPr>
            </w:pPr>
            <w:r w:rsidRPr="00372BCB">
              <w:rPr>
                <w:rFonts w:ascii="Arial Narrow" w:hAnsi="Arial Narrow"/>
                <w:sz w:val="18"/>
                <w:szCs w:val="18"/>
              </w:rPr>
              <w:t>70,0%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372BCB" w:rsidRDefault="00A64028" w:rsidP="00086001">
            <w:pPr>
              <w:spacing w:after="0"/>
              <w:ind w:left="-46" w:right="-155"/>
              <w:jc w:val="center"/>
              <w:rPr>
                <w:rFonts w:ascii="Arial Narrow" w:hAnsi="Arial Narrow"/>
                <w:sz w:val="18"/>
                <w:szCs w:val="18"/>
              </w:rPr>
            </w:pPr>
            <w:r w:rsidRPr="00372BCB">
              <w:rPr>
                <w:rFonts w:ascii="Arial Narrow" w:hAnsi="Arial Narrow"/>
                <w:sz w:val="18"/>
                <w:szCs w:val="18"/>
              </w:rPr>
              <w:t>40,0%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372BCB" w:rsidRDefault="00A64028" w:rsidP="00086001">
            <w:pPr>
              <w:spacing w:after="0"/>
              <w:ind w:left="-46" w:right="-155"/>
              <w:jc w:val="center"/>
              <w:rPr>
                <w:rFonts w:ascii="Arial Narrow" w:hAnsi="Arial Narrow"/>
                <w:sz w:val="18"/>
                <w:szCs w:val="18"/>
              </w:rPr>
            </w:pPr>
            <w:r w:rsidRPr="00372BCB">
              <w:rPr>
                <w:rFonts w:ascii="Arial Narrow" w:hAnsi="Arial Narrow"/>
                <w:sz w:val="18"/>
                <w:szCs w:val="18"/>
              </w:rPr>
              <w:t>32,0%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372BCB" w:rsidRDefault="00A64028" w:rsidP="00086001">
            <w:pPr>
              <w:spacing w:after="0"/>
              <w:ind w:left="-46" w:right="-155"/>
              <w:jc w:val="center"/>
              <w:rPr>
                <w:rFonts w:ascii="Arial Narrow" w:hAnsi="Arial Narrow"/>
                <w:sz w:val="18"/>
                <w:szCs w:val="18"/>
              </w:rPr>
            </w:pPr>
            <w:r w:rsidRPr="00372BCB">
              <w:rPr>
                <w:rFonts w:ascii="Arial Narrow" w:hAnsi="Arial Narrow"/>
                <w:sz w:val="18"/>
                <w:szCs w:val="18"/>
              </w:rPr>
              <w:t>37,1%</w:t>
            </w: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372BCB" w:rsidRDefault="00A64028" w:rsidP="00086001">
            <w:pPr>
              <w:spacing w:after="0"/>
              <w:ind w:left="-46" w:right="-155"/>
              <w:jc w:val="center"/>
              <w:rPr>
                <w:rFonts w:ascii="Arial Narrow" w:hAnsi="Arial Narrow"/>
                <w:sz w:val="18"/>
                <w:szCs w:val="18"/>
              </w:rPr>
            </w:pPr>
            <w:r w:rsidRPr="00372BCB">
              <w:rPr>
                <w:rFonts w:ascii="Arial Narrow" w:hAnsi="Arial Narrow"/>
                <w:sz w:val="18"/>
                <w:szCs w:val="18"/>
              </w:rPr>
              <w:t>52,0%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372BCB" w:rsidRDefault="00A64028" w:rsidP="00086001">
            <w:pPr>
              <w:spacing w:after="0"/>
              <w:ind w:left="-46" w:right="-155"/>
              <w:jc w:val="center"/>
              <w:rPr>
                <w:rFonts w:ascii="Arial Narrow" w:hAnsi="Arial Narrow"/>
                <w:sz w:val="18"/>
                <w:szCs w:val="18"/>
              </w:rPr>
            </w:pPr>
            <w:r w:rsidRPr="00372BCB">
              <w:rPr>
                <w:rFonts w:ascii="Arial Narrow" w:hAnsi="Arial Narrow"/>
                <w:sz w:val="18"/>
                <w:szCs w:val="18"/>
              </w:rPr>
              <w:t>28,0%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372BCB" w:rsidRDefault="00A64028" w:rsidP="00086001">
            <w:pPr>
              <w:spacing w:after="0"/>
              <w:ind w:left="-46" w:right="-155"/>
              <w:jc w:val="center"/>
              <w:rPr>
                <w:rFonts w:ascii="Arial Narrow" w:hAnsi="Arial Narrow"/>
                <w:sz w:val="18"/>
                <w:szCs w:val="18"/>
              </w:rPr>
            </w:pPr>
            <w:r w:rsidRPr="00372BCB">
              <w:rPr>
                <w:rFonts w:ascii="Arial Narrow" w:hAnsi="Arial Narrow"/>
                <w:sz w:val="18"/>
                <w:szCs w:val="18"/>
              </w:rPr>
              <w:t>45,7%</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372BCB" w:rsidRDefault="00A64028" w:rsidP="00086001">
            <w:pPr>
              <w:spacing w:after="0"/>
              <w:ind w:left="-46" w:right="-155"/>
              <w:jc w:val="center"/>
              <w:rPr>
                <w:rFonts w:ascii="Arial Narrow" w:hAnsi="Arial Narrow"/>
                <w:sz w:val="18"/>
                <w:szCs w:val="18"/>
              </w:rPr>
            </w:pPr>
            <w:r w:rsidRPr="00372BCB">
              <w:rPr>
                <w:rFonts w:ascii="Arial Narrow" w:hAnsi="Arial Narrow"/>
                <w:sz w:val="18"/>
                <w:szCs w:val="18"/>
              </w:rPr>
              <w:t>40,7%</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372BCB" w:rsidRDefault="00A64028" w:rsidP="00086001">
            <w:pPr>
              <w:spacing w:after="0"/>
              <w:ind w:left="-46" w:right="-155"/>
              <w:jc w:val="center"/>
              <w:rPr>
                <w:rFonts w:ascii="Arial Narrow" w:hAnsi="Arial Narrow"/>
                <w:sz w:val="18"/>
                <w:szCs w:val="18"/>
              </w:rPr>
            </w:pPr>
            <w:r w:rsidRPr="00372BCB">
              <w:rPr>
                <w:rFonts w:ascii="Arial Narrow" w:hAnsi="Arial Narrow"/>
                <w:sz w:val="18"/>
                <w:szCs w:val="18"/>
              </w:rPr>
              <w:t>11,7%</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372BCB" w:rsidRDefault="00A64028" w:rsidP="00086001">
            <w:pPr>
              <w:spacing w:after="0"/>
              <w:ind w:left="-46" w:right="-155"/>
              <w:jc w:val="center"/>
              <w:rPr>
                <w:rFonts w:ascii="Arial Narrow" w:hAnsi="Arial Narrow"/>
                <w:sz w:val="18"/>
                <w:szCs w:val="18"/>
              </w:rPr>
            </w:pPr>
            <w:r w:rsidRPr="00372BCB">
              <w:rPr>
                <w:rFonts w:ascii="Arial Narrow" w:hAnsi="Arial Narrow"/>
                <w:sz w:val="18"/>
                <w:szCs w:val="18"/>
              </w:rPr>
              <w:t>52,0%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372BCB" w:rsidRDefault="00A64028" w:rsidP="00086001">
            <w:pPr>
              <w:spacing w:after="0"/>
              <w:ind w:left="-46" w:right="-155"/>
              <w:jc w:val="center"/>
              <w:rPr>
                <w:rFonts w:ascii="Arial Narrow" w:hAnsi="Arial Narrow"/>
                <w:sz w:val="18"/>
                <w:szCs w:val="18"/>
              </w:rPr>
            </w:pPr>
            <w:r w:rsidRPr="00372BCB">
              <w:rPr>
                <w:rFonts w:ascii="Arial Narrow" w:hAnsi="Arial Narrow"/>
                <w:sz w:val="18"/>
                <w:szCs w:val="18"/>
              </w:rPr>
              <w:t>56,0%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372BCB" w:rsidRDefault="00A64028" w:rsidP="00086001">
            <w:pPr>
              <w:spacing w:after="0"/>
              <w:ind w:left="-46" w:right="-155"/>
              <w:jc w:val="center"/>
              <w:rPr>
                <w:rFonts w:ascii="Arial Narrow" w:hAnsi="Arial Narrow"/>
                <w:sz w:val="18"/>
                <w:szCs w:val="18"/>
              </w:rPr>
            </w:pPr>
            <w:r w:rsidRPr="00372BCB">
              <w:rPr>
                <w:rFonts w:ascii="Arial Narrow" w:hAnsi="Arial Narrow"/>
                <w:sz w:val="18"/>
                <w:szCs w:val="18"/>
              </w:rPr>
              <w:t>41,0%</w:t>
            </w: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372BCB" w:rsidRDefault="00A64028" w:rsidP="00086001">
            <w:pPr>
              <w:spacing w:after="0"/>
              <w:ind w:left="-46" w:right="-155"/>
              <w:jc w:val="center"/>
              <w:rPr>
                <w:rFonts w:ascii="Arial Narrow" w:hAnsi="Arial Narrow"/>
                <w:sz w:val="18"/>
                <w:szCs w:val="18"/>
              </w:rPr>
            </w:pPr>
            <w:r w:rsidRPr="00372BCB">
              <w:rPr>
                <w:rFonts w:ascii="Arial Narrow" w:hAnsi="Arial Narrow"/>
                <w:sz w:val="18"/>
                <w:szCs w:val="18"/>
              </w:rPr>
              <w:t>70,0%</w:t>
            </w:r>
          </w:p>
        </w:tc>
      </w:tr>
    </w:tbl>
    <w:p w:rsidR="00A64028" w:rsidRPr="0051304D" w:rsidRDefault="00A64028" w:rsidP="00103148">
      <w:pPr>
        <w:spacing w:after="0"/>
        <w:jc w:val="both"/>
        <w:rPr>
          <w:rFonts w:ascii="Arial Narrow" w:hAnsi="Arial Narrow"/>
          <w:b/>
          <w:sz w:val="24"/>
          <w:szCs w:val="24"/>
        </w:rPr>
      </w:pPr>
    </w:p>
    <w:p w:rsidR="00372BCB" w:rsidRDefault="00372BCB" w:rsidP="00103148">
      <w:pPr>
        <w:pStyle w:val="1"/>
        <w:rPr>
          <w:rFonts w:ascii="Arial Narrow" w:hAnsi="Arial Narrow"/>
        </w:rPr>
      </w:pPr>
      <w:bookmarkStart w:id="88" w:name="_Toc469663926"/>
      <w:bookmarkStart w:id="89" w:name="_Toc473725872"/>
    </w:p>
    <w:p w:rsidR="00372BCB" w:rsidRDefault="00372BCB">
      <w:pPr>
        <w:rPr>
          <w:rFonts w:ascii="Arial Narrow" w:eastAsia="Times New Roman" w:hAnsi="Arial Narrow" w:cs="Times New Roman"/>
          <w:b/>
          <w:bCs/>
          <w:color w:val="000000"/>
          <w:sz w:val="32"/>
          <w:szCs w:val="32"/>
          <w:lang w:eastAsia="ru-RU"/>
        </w:rPr>
      </w:pPr>
      <w:r>
        <w:rPr>
          <w:rFonts w:ascii="Arial Narrow" w:hAnsi="Arial Narrow"/>
        </w:rPr>
        <w:br w:type="page"/>
      </w:r>
    </w:p>
    <w:p w:rsidR="00A64028" w:rsidRPr="0030560B" w:rsidRDefault="00A64028" w:rsidP="00372BCB">
      <w:pPr>
        <w:pStyle w:val="1"/>
        <w:jc w:val="both"/>
        <w:rPr>
          <w:rFonts w:ascii="Arial Narrow" w:hAnsi="Arial Narrow"/>
        </w:rPr>
      </w:pPr>
      <w:r>
        <w:rPr>
          <w:rFonts w:ascii="Arial Narrow" w:hAnsi="Arial Narrow"/>
        </w:rPr>
        <w:lastRenderedPageBreak/>
        <w:t>3</w:t>
      </w:r>
      <w:r w:rsidRPr="0030560B">
        <w:rPr>
          <w:rFonts w:ascii="Arial Narrow" w:hAnsi="Arial Narrow"/>
        </w:rPr>
        <w:t>. Анализ удовлетворенности потребителей качеством товаров, работ и услуг на товарных рынках Новосибирской области и состоянием ценовой конкуренции</w:t>
      </w:r>
      <w:bookmarkEnd w:id="88"/>
      <w:bookmarkEnd w:id="89"/>
    </w:p>
    <w:p w:rsidR="00A64028" w:rsidRPr="0030560B" w:rsidRDefault="00A64028" w:rsidP="00372BCB">
      <w:pPr>
        <w:pStyle w:val="a5"/>
        <w:ind w:firstLine="567"/>
        <w:jc w:val="both"/>
        <w:rPr>
          <w:rFonts w:ascii="Arial Narrow" w:hAnsi="Arial Narrow"/>
          <w:b/>
          <w:sz w:val="24"/>
          <w:szCs w:val="24"/>
        </w:rPr>
      </w:pPr>
    </w:p>
    <w:p w:rsidR="00A64028" w:rsidRPr="00B71ACD" w:rsidRDefault="00A64028" w:rsidP="00372BCB">
      <w:pPr>
        <w:pStyle w:val="3"/>
        <w:jc w:val="both"/>
        <w:rPr>
          <w:rFonts w:ascii="Arial Narrow" w:hAnsi="Arial Narrow"/>
          <w:i/>
          <w:iCs/>
          <w:sz w:val="28"/>
          <w:szCs w:val="28"/>
        </w:rPr>
      </w:pPr>
      <w:bookmarkStart w:id="90" w:name="_Toc469663931"/>
      <w:bookmarkStart w:id="91" w:name="_Toc473725873"/>
      <w:r>
        <w:rPr>
          <w:rFonts w:ascii="Arial Narrow" w:hAnsi="Arial Narrow"/>
          <w:i/>
          <w:iCs/>
          <w:sz w:val="28"/>
          <w:szCs w:val="28"/>
        </w:rPr>
        <w:t>3.</w:t>
      </w:r>
      <w:r w:rsidRPr="00B71ACD">
        <w:rPr>
          <w:rFonts w:ascii="Arial Narrow" w:hAnsi="Arial Narrow"/>
          <w:i/>
          <w:iCs/>
          <w:sz w:val="28"/>
          <w:szCs w:val="28"/>
        </w:rPr>
        <w:t>1. Определение доли потребителей товаров, работ и услуг, на основании оценок которых проводился мониторинг, в общей численности населения Новосибирской области</w:t>
      </w:r>
      <w:bookmarkEnd w:id="90"/>
      <w:bookmarkEnd w:id="91"/>
    </w:p>
    <w:p w:rsidR="00A64028" w:rsidRPr="0030560B" w:rsidRDefault="00A64028" w:rsidP="00103148">
      <w:pPr>
        <w:spacing w:after="0"/>
        <w:rPr>
          <w:rFonts w:ascii="Arial Narrow" w:hAnsi="Arial Narrow"/>
        </w:rPr>
      </w:pPr>
    </w:p>
    <w:p w:rsidR="00A64028" w:rsidRPr="00FC15A8" w:rsidRDefault="00A64028" w:rsidP="00103148">
      <w:pPr>
        <w:spacing w:after="0" w:line="360" w:lineRule="auto"/>
        <w:ind w:firstLine="284"/>
        <w:jc w:val="both"/>
        <w:rPr>
          <w:rFonts w:ascii="Arial Narrow" w:hAnsi="Arial Narrow"/>
          <w:sz w:val="24"/>
          <w:szCs w:val="24"/>
        </w:rPr>
      </w:pPr>
      <w:r w:rsidRPr="00FC15A8">
        <w:rPr>
          <w:rFonts w:ascii="Arial Narrow" w:hAnsi="Arial Narrow"/>
          <w:sz w:val="24"/>
          <w:szCs w:val="24"/>
        </w:rPr>
        <w:t>В ходе проведения Мониторинга было опрошено 0,1 % потребителей товаров и услуг социально значимых и приоритетных рынков (2500 человек). Распределение выборки представлено в таблице ниже.</w:t>
      </w:r>
    </w:p>
    <w:p w:rsidR="00372BCB" w:rsidRDefault="00372BCB" w:rsidP="00103148">
      <w:pPr>
        <w:spacing w:after="0"/>
        <w:rPr>
          <w:rFonts w:ascii="Arial Narrow" w:hAnsi="Arial Narrow"/>
          <w:sz w:val="24"/>
          <w:szCs w:val="24"/>
        </w:rPr>
      </w:pPr>
    </w:p>
    <w:p w:rsidR="00A64028" w:rsidRPr="00262F71" w:rsidRDefault="00A64028" w:rsidP="00103148">
      <w:pPr>
        <w:spacing w:after="0"/>
        <w:rPr>
          <w:rFonts w:ascii="Arial Narrow" w:hAnsi="Arial Narrow"/>
          <w:bCs/>
          <w:iCs/>
          <w:sz w:val="24"/>
          <w:szCs w:val="24"/>
          <w:lang w:bidi="ru-RU"/>
        </w:rPr>
      </w:pPr>
      <w:r w:rsidRPr="00262F71">
        <w:rPr>
          <w:rFonts w:ascii="Arial Narrow" w:hAnsi="Arial Narrow"/>
          <w:sz w:val="24"/>
          <w:szCs w:val="24"/>
        </w:rPr>
        <w:t xml:space="preserve">Таблица </w:t>
      </w:r>
      <w:r w:rsidR="00262F71" w:rsidRPr="00262F71">
        <w:rPr>
          <w:rFonts w:ascii="Arial Narrow" w:hAnsi="Arial Narrow"/>
          <w:sz w:val="24"/>
          <w:szCs w:val="24"/>
        </w:rPr>
        <w:t>7.34.</w:t>
      </w:r>
      <w:r w:rsidRPr="00262F71">
        <w:rPr>
          <w:rFonts w:ascii="Arial Narrow" w:hAnsi="Arial Narrow"/>
          <w:bCs/>
          <w:iCs/>
          <w:sz w:val="24"/>
          <w:szCs w:val="24"/>
          <w:lang w:bidi="ru-RU"/>
        </w:rPr>
        <w:t xml:space="preserve"> - </w:t>
      </w:r>
      <w:r w:rsidRPr="00262F71">
        <w:rPr>
          <w:rFonts w:ascii="Arial Narrow" w:hAnsi="Arial Narrow"/>
          <w:b/>
          <w:bCs/>
          <w:iCs/>
          <w:sz w:val="24"/>
          <w:szCs w:val="24"/>
          <w:lang w:bidi="ru-RU"/>
        </w:rPr>
        <w:t>Распределение населения региона по группам для обеспечения максимально возможного уровня репрезентативности в выборке</w:t>
      </w:r>
    </w:p>
    <w:tbl>
      <w:tblPr>
        <w:tblW w:w="10170" w:type="dxa"/>
        <w:tblInd w:w="-289" w:type="dxa"/>
        <w:tblLayout w:type="fixed"/>
        <w:tblCellMar>
          <w:left w:w="0" w:type="dxa"/>
          <w:right w:w="0" w:type="dxa"/>
        </w:tblCellMar>
        <w:tblLook w:val="04A0"/>
      </w:tblPr>
      <w:tblGrid>
        <w:gridCol w:w="243"/>
        <w:gridCol w:w="3582"/>
        <w:gridCol w:w="850"/>
        <w:gridCol w:w="819"/>
        <w:gridCol w:w="882"/>
        <w:gridCol w:w="886"/>
        <w:gridCol w:w="859"/>
        <w:gridCol w:w="728"/>
        <w:gridCol w:w="1321"/>
      </w:tblGrid>
      <w:tr w:rsidR="00A64028" w:rsidRPr="00422331" w:rsidTr="00A64028">
        <w:trPr>
          <w:tblHeader/>
        </w:trPr>
        <w:tc>
          <w:tcPr>
            <w:tcW w:w="243" w:type="dxa"/>
            <w:vMerge w:val="restart"/>
            <w:tcBorders>
              <w:top w:val="single" w:sz="4" w:space="0" w:color="auto"/>
              <w:left w:val="single" w:sz="4" w:space="0" w:color="auto"/>
              <w:bottom w:val="single" w:sz="4" w:space="0" w:color="000000"/>
              <w:right w:val="single" w:sz="4" w:space="0" w:color="auto"/>
            </w:tcBorders>
            <w:noWrap/>
            <w:vAlign w:val="center"/>
            <w:hideMark/>
          </w:tcPr>
          <w:p w:rsidR="00A64028" w:rsidRPr="00422331" w:rsidRDefault="00A64028" w:rsidP="00103148">
            <w:pPr>
              <w:spacing w:after="0"/>
              <w:jc w:val="center"/>
              <w:rPr>
                <w:rFonts w:ascii="Arial Narrow" w:hAnsi="Arial Narrow"/>
                <w:b/>
                <w:sz w:val="17"/>
                <w:szCs w:val="17"/>
              </w:rPr>
            </w:pPr>
            <w:r w:rsidRPr="00422331">
              <w:rPr>
                <w:rFonts w:ascii="Arial Narrow" w:hAnsi="Arial Narrow"/>
                <w:b/>
                <w:sz w:val="17"/>
                <w:szCs w:val="17"/>
              </w:rPr>
              <w:t> </w:t>
            </w:r>
          </w:p>
        </w:tc>
        <w:tc>
          <w:tcPr>
            <w:tcW w:w="3582" w:type="dxa"/>
            <w:vMerge w:val="restart"/>
            <w:tcBorders>
              <w:top w:val="single" w:sz="4" w:space="0" w:color="auto"/>
              <w:left w:val="nil"/>
              <w:bottom w:val="single" w:sz="4" w:space="0" w:color="auto"/>
              <w:right w:val="single" w:sz="4" w:space="0" w:color="auto"/>
            </w:tcBorders>
            <w:noWrap/>
            <w:vAlign w:val="center"/>
            <w:hideMark/>
          </w:tcPr>
          <w:p w:rsidR="00A64028" w:rsidRPr="00422331" w:rsidRDefault="00A64028" w:rsidP="00103148">
            <w:pPr>
              <w:spacing w:after="0"/>
              <w:rPr>
                <w:rFonts w:ascii="Arial Narrow" w:hAnsi="Arial Narrow"/>
                <w:b/>
                <w:sz w:val="17"/>
                <w:szCs w:val="17"/>
              </w:rPr>
            </w:pPr>
            <w:r w:rsidRPr="00422331">
              <w:rPr>
                <w:rFonts w:ascii="Arial Narrow" w:hAnsi="Arial Narrow"/>
                <w:b/>
                <w:sz w:val="17"/>
                <w:szCs w:val="17"/>
              </w:rPr>
              <w:t> </w:t>
            </w:r>
          </w:p>
        </w:tc>
        <w:tc>
          <w:tcPr>
            <w:tcW w:w="2551" w:type="dxa"/>
            <w:gridSpan w:val="3"/>
            <w:tcBorders>
              <w:top w:val="single" w:sz="4" w:space="0" w:color="auto"/>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sz w:val="17"/>
                <w:szCs w:val="17"/>
              </w:rPr>
            </w:pPr>
            <w:r w:rsidRPr="00422331">
              <w:rPr>
                <w:rFonts w:ascii="Arial Narrow" w:hAnsi="Arial Narrow"/>
                <w:b/>
                <w:sz w:val="17"/>
                <w:szCs w:val="17"/>
              </w:rPr>
              <w:t>Оценка численности постоянного населения на 1 января 2016 г.</w:t>
            </w:r>
          </w:p>
        </w:tc>
        <w:tc>
          <w:tcPr>
            <w:tcW w:w="2473" w:type="dxa"/>
            <w:gridSpan w:val="3"/>
            <w:tcBorders>
              <w:top w:val="single" w:sz="4" w:space="0" w:color="auto"/>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sz w:val="17"/>
                <w:szCs w:val="17"/>
              </w:rPr>
            </w:pPr>
            <w:r w:rsidRPr="00422331">
              <w:rPr>
                <w:rFonts w:ascii="Arial Narrow" w:hAnsi="Arial Narrow"/>
                <w:b/>
                <w:sz w:val="17"/>
                <w:szCs w:val="17"/>
              </w:rPr>
              <w:t>Выборка</w:t>
            </w:r>
          </w:p>
        </w:tc>
        <w:tc>
          <w:tcPr>
            <w:tcW w:w="1321" w:type="dxa"/>
            <w:vMerge w:val="restart"/>
            <w:tcBorders>
              <w:top w:val="single" w:sz="4" w:space="0" w:color="auto"/>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sz w:val="17"/>
                <w:szCs w:val="17"/>
              </w:rPr>
            </w:pPr>
            <w:r w:rsidRPr="00422331">
              <w:rPr>
                <w:rFonts w:ascii="Arial Narrow" w:hAnsi="Arial Narrow"/>
                <w:b/>
                <w:sz w:val="17"/>
                <w:szCs w:val="17"/>
              </w:rPr>
              <w:t>Ошибка выборки для муниципалитетов, % (доля ответов 50 %, доля признака 50 %)</w:t>
            </w:r>
          </w:p>
        </w:tc>
      </w:tr>
      <w:tr w:rsidR="00A64028" w:rsidRPr="00422331" w:rsidTr="00A64028">
        <w:trPr>
          <w:tblHeader/>
        </w:trPr>
        <w:tc>
          <w:tcPr>
            <w:tcW w:w="243" w:type="dxa"/>
            <w:vMerge/>
            <w:tcBorders>
              <w:top w:val="single" w:sz="4" w:space="0" w:color="auto"/>
              <w:left w:val="single" w:sz="4" w:space="0" w:color="auto"/>
              <w:bottom w:val="single" w:sz="4" w:space="0" w:color="000000"/>
              <w:right w:val="single" w:sz="4" w:space="0" w:color="auto"/>
            </w:tcBorders>
            <w:vAlign w:val="center"/>
            <w:hideMark/>
          </w:tcPr>
          <w:p w:rsidR="00A64028" w:rsidRPr="00422331" w:rsidRDefault="00A64028" w:rsidP="00103148">
            <w:pPr>
              <w:spacing w:after="0"/>
              <w:rPr>
                <w:rFonts w:ascii="Arial Narrow" w:hAnsi="Arial Narrow"/>
                <w:b/>
                <w:sz w:val="17"/>
                <w:szCs w:val="17"/>
              </w:rPr>
            </w:pPr>
          </w:p>
        </w:tc>
        <w:tc>
          <w:tcPr>
            <w:tcW w:w="3582" w:type="dxa"/>
            <w:vMerge/>
            <w:tcBorders>
              <w:top w:val="single" w:sz="4" w:space="0" w:color="auto"/>
              <w:left w:val="nil"/>
              <w:bottom w:val="single" w:sz="4" w:space="0" w:color="auto"/>
              <w:right w:val="single" w:sz="4" w:space="0" w:color="auto"/>
            </w:tcBorders>
            <w:vAlign w:val="center"/>
            <w:hideMark/>
          </w:tcPr>
          <w:p w:rsidR="00A64028" w:rsidRPr="00422331" w:rsidRDefault="00A64028" w:rsidP="00103148">
            <w:pPr>
              <w:spacing w:after="0"/>
              <w:rPr>
                <w:rFonts w:ascii="Arial Narrow" w:hAnsi="Arial Narrow"/>
                <w:b/>
                <w:sz w:val="17"/>
                <w:szCs w:val="17"/>
              </w:rPr>
            </w:pPr>
          </w:p>
        </w:tc>
        <w:tc>
          <w:tcPr>
            <w:tcW w:w="850"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sz w:val="17"/>
                <w:szCs w:val="17"/>
              </w:rPr>
            </w:pPr>
            <w:r w:rsidRPr="00422331">
              <w:rPr>
                <w:rFonts w:ascii="Arial Narrow" w:hAnsi="Arial Narrow"/>
                <w:b/>
                <w:sz w:val="17"/>
                <w:szCs w:val="17"/>
              </w:rPr>
              <w:t>Городское население, чел.</w:t>
            </w:r>
          </w:p>
        </w:tc>
        <w:tc>
          <w:tcPr>
            <w:tcW w:w="81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sz w:val="17"/>
                <w:szCs w:val="17"/>
              </w:rPr>
            </w:pPr>
            <w:r w:rsidRPr="00422331">
              <w:rPr>
                <w:rFonts w:ascii="Arial Narrow" w:hAnsi="Arial Narrow"/>
                <w:b/>
                <w:sz w:val="17"/>
                <w:szCs w:val="17"/>
              </w:rPr>
              <w:t>Сельское население, чел.</w:t>
            </w:r>
          </w:p>
        </w:tc>
        <w:tc>
          <w:tcPr>
            <w:tcW w:w="8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sz w:val="17"/>
                <w:szCs w:val="17"/>
              </w:rPr>
            </w:pPr>
            <w:r w:rsidRPr="00422331">
              <w:rPr>
                <w:rFonts w:ascii="Arial Narrow" w:hAnsi="Arial Narrow"/>
                <w:b/>
                <w:sz w:val="17"/>
                <w:szCs w:val="17"/>
              </w:rPr>
              <w:t>ВСЕГО, чел.</w:t>
            </w:r>
          </w:p>
        </w:tc>
        <w:tc>
          <w:tcPr>
            <w:tcW w:w="886"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sz w:val="17"/>
                <w:szCs w:val="17"/>
              </w:rPr>
            </w:pPr>
            <w:r w:rsidRPr="00422331">
              <w:rPr>
                <w:rFonts w:ascii="Arial Narrow" w:hAnsi="Arial Narrow"/>
                <w:b/>
                <w:sz w:val="17"/>
                <w:szCs w:val="17"/>
              </w:rPr>
              <w:t>Городское население, чел.</w:t>
            </w:r>
          </w:p>
        </w:tc>
        <w:tc>
          <w:tcPr>
            <w:tcW w:w="85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sz w:val="17"/>
                <w:szCs w:val="17"/>
              </w:rPr>
            </w:pPr>
            <w:r w:rsidRPr="00422331">
              <w:rPr>
                <w:rFonts w:ascii="Arial Narrow" w:hAnsi="Arial Narrow"/>
                <w:b/>
                <w:sz w:val="17"/>
                <w:szCs w:val="17"/>
              </w:rPr>
              <w:t>Сельское население, чел.</w:t>
            </w:r>
          </w:p>
        </w:tc>
        <w:tc>
          <w:tcPr>
            <w:tcW w:w="728"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sz w:val="17"/>
                <w:szCs w:val="17"/>
              </w:rPr>
            </w:pPr>
            <w:r w:rsidRPr="00422331">
              <w:rPr>
                <w:rFonts w:ascii="Arial Narrow" w:hAnsi="Arial Narrow"/>
                <w:b/>
                <w:sz w:val="17"/>
                <w:szCs w:val="17"/>
              </w:rPr>
              <w:t>ВСЕГО, чел.</w:t>
            </w:r>
          </w:p>
        </w:tc>
        <w:tc>
          <w:tcPr>
            <w:tcW w:w="1321" w:type="dxa"/>
            <w:vMerge/>
            <w:tcBorders>
              <w:top w:val="single" w:sz="4" w:space="0" w:color="auto"/>
              <w:left w:val="single" w:sz="4" w:space="0" w:color="auto"/>
              <w:bottom w:val="single" w:sz="4" w:space="0" w:color="auto"/>
              <w:right w:val="single" w:sz="4" w:space="0" w:color="auto"/>
            </w:tcBorders>
            <w:vAlign w:val="center"/>
            <w:hideMark/>
          </w:tcPr>
          <w:p w:rsidR="00A64028" w:rsidRPr="00422331" w:rsidRDefault="00A64028" w:rsidP="00103148">
            <w:pPr>
              <w:spacing w:after="0"/>
              <w:rPr>
                <w:rFonts w:ascii="Arial Narrow" w:hAnsi="Arial Narrow"/>
                <w:b/>
                <w:sz w:val="17"/>
                <w:szCs w:val="17"/>
              </w:rPr>
            </w:pPr>
          </w:p>
        </w:tc>
      </w:tr>
      <w:tr w:rsidR="00A64028" w:rsidRPr="00422331" w:rsidTr="00A64028">
        <w:tc>
          <w:tcPr>
            <w:tcW w:w="243" w:type="dxa"/>
            <w:tcBorders>
              <w:top w:val="nil"/>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1</w:t>
            </w:r>
          </w:p>
        </w:tc>
        <w:tc>
          <w:tcPr>
            <w:tcW w:w="35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ind w:left="192"/>
              <w:rPr>
                <w:rFonts w:ascii="Arial Narrow" w:hAnsi="Arial Narrow"/>
                <w:b/>
                <w:bCs/>
                <w:sz w:val="17"/>
                <w:szCs w:val="17"/>
              </w:rPr>
            </w:pPr>
            <w:r w:rsidRPr="00422331">
              <w:rPr>
                <w:rFonts w:ascii="Arial Narrow" w:hAnsi="Arial Narrow"/>
                <w:b/>
                <w:bCs/>
                <w:sz w:val="17"/>
                <w:szCs w:val="17"/>
              </w:rPr>
              <w:t>Городской округ – город Новосибирск</w:t>
            </w:r>
          </w:p>
        </w:tc>
        <w:tc>
          <w:tcPr>
            <w:tcW w:w="850"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1584138</w:t>
            </w:r>
          </w:p>
        </w:tc>
        <w:tc>
          <w:tcPr>
            <w:tcW w:w="81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0</w:t>
            </w:r>
          </w:p>
        </w:tc>
        <w:tc>
          <w:tcPr>
            <w:tcW w:w="8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1584138</w:t>
            </w:r>
          </w:p>
        </w:tc>
        <w:tc>
          <w:tcPr>
            <w:tcW w:w="886"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150</w:t>
            </w:r>
          </w:p>
        </w:tc>
        <w:tc>
          <w:tcPr>
            <w:tcW w:w="85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w:t>
            </w:r>
          </w:p>
        </w:tc>
        <w:tc>
          <w:tcPr>
            <w:tcW w:w="728"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150</w:t>
            </w:r>
          </w:p>
        </w:tc>
        <w:tc>
          <w:tcPr>
            <w:tcW w:w="1321"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8</w:t>
            </w:r>
          </w:p>
        </w:tc>
      </w:tr>
      <w:tr w:rsidR="00A64028" w:rsidRPr="00422331" w:rsidTr="00A64028">
        <w:tc>
          <w:tcPr>
            <w:tcW w:w="243" w:type="dxa"/>
            <w:tcBorders>
              <w:top w:val="nil"/>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2</w:t>
            </w:r>
          </w:p>
        </w:tc>
        <w:tc>
          <w:tcPr>
            <w:tcW w:w="35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ind w:left="192"/>
              <w:rPr>
                <w:rFonts w:ascii="Arial Narrow" w:hAnsi="Arial Narrow"/>
                <w:b/>
                <w:bCs/>
                <w:sz w:val="17"/>
                <w:szCs w:val="17"/>
              </w:rPr>
            </w:pPr>
            <w:r w:rsidRPr="00422331">
              <w:rPr>
                <w:rFonts w:ascii="Arial Narrow" w:hAnsi="Arial Narrow"/>
                <w:b/>
                <w:bCs/>
                <w:sz w:val="17"/>
                <w:szCs w:val="17"/>
              </w:rPr>
              <w:t>Городской округ – город Бердск</w:t>
            </w:r>
          </w:p>
        </w:tc>
        <w:tc>
          <w:tcPr>
            <w:tcW w:w="850"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102808</w:t>
            </w:r>
          </w:p>
        </w:tc>
        <w:tc>
          <w:tcPr>
            <w:tcW w:w="81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0</w:t>
            </w:r>
          </w:p>
        </w:tc>
        <w:tc>
          <w:tcPr>
            <w:tcW w:w="8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102808</w:t>
            </w:r>
          </w:p>
        </w:tc>
        <w:tc>
          <w:tcPr>
            <w:tcW w:w="886"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70</w:t>
            </w:r>
          </w:p>
        </w:tc>
        <w:tc>
          <w:tcPr>
            <w:tcW w:w="85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w:t>
            </w:r>
          </w:p>
        </w:tc>
        <w:tc>
          <w:tcPr>
            <w:tcW w:w="728"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70</w:t>
            </w:r>
          </w:p>
        </w:tc>
        <w:tc>
          <w:tcPr>
            <w:tcW w:w="1321"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11,71</w:t>
            </w:r>
          </w:p>
        </w:tc>
      </w:tr>
      <w:tr w:rsidR="00A64028" w:rsidRPr="00422331" w:rsidTr="00A64028">
        <w:tc>
          <w:tcPr>
            <w:tcW w:w="243" w:type="dxa"/>
            <w:tcBorders>
              <w:top w:val="nil"/>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3</w:t>
            </w:r>
          </w:p>
        </w:tc>
        <w:tc>
          <w:tcPr>
            <w:tcW w:w="35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ind w:left="192"/>
              <w:rPr>
                <w:rFonts w:ascii="Arial Narrow" w:hAnsi="Arial Narrow"/>
                <w:b/>
                <w:bCs/>
                <w:sz w:val="17"/>
                <w:szCs w:val="17"/>
              </w:rPr>
            </w:pPr>
            <w:r w:rsidRPr="00422331">
              <w:rPr>
                <w:rFonts w:ascii="Arial Narrow" w:hAnsi="Arial Narrow"/>
                <w:b/>
                <w:bCs/>
                <w:sz w:val="17"/>
                <w:szCs w:val="17"/>
              </w:rPr>
              <w:t>Городской округ – город Искитим</w:t>
            </w:r>
          </w:p>
        </w:tc>
        <w:tc>
          <w:tcPr>
            <w:tcW w:w="850"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57416</w:t>
            </w:r>
          </w:p>
        </w:tc>
        <w:tc>
          <w:tcPr>
            <w:tcW w:w="81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0</w:t>
            </w:r>
          </w:p>
        </w:tc>
        <w:tc>
          <w:tcPr>
            <w:tcW w:w="8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57416</w:t>
            </w:r>
          </w:p>
        </w:tc>
        <w:tc>
          <w:tcPr>
            <w:tcW w:w="886"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70</w:t>
            </w:r>
          </w:p>
        </w:tc>
        <w:tc>
          <w:tcPr>
            <w:tcW w:w="85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w:t>
            </w:r>
          </w:p>
        </w:tc>
        <w:tc>
          <w:tcPr>
            <w:tcW w:w="728"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70</w:t>
            </w:r>
          </w:p>
        </w:tc>
        <w:tc>
          <w:tcPr>
            <w:tcW w:w="1321"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11,71</w:t>
            </w:r>
          </w:p>
        </w:tc>
      </w:tr>
      <w:tr w:rsidR="00A64028" w:rsidRPr="00422331" w:rsidTr="00A64028">
        <w:tc>
          <w:tcPr>
            <w:tcW w:w="243" w:type="dxa"/>
            <w:tcBorders>
              <w:top w:val="nil"/>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4</w:t>
            </w:r>
          </w:p>
        </w:tc>
        <w:tc>
          <w:tcPr>
            <w:tcW w:w="35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ind w:left="192"/>
              <w:rPr>
                <w:rFonts w:ascii="Arial Narrow" w:hAnsi="Arial Narrow"/>
                <w:b/>
                <w:bCs/>
                <w:sz w:val="17"/>
                <w:szCs w:val="17"/>
              </w:rPr>
            </w:pPr>
            <w:r w:rsidRPr="00422331">
              <w:rPr>
                <w:rFonts w:ascii="Arial Narrow" w:hAnsi="Arial Narrow"/>
                <w:b/>
                <w:bCs/>
                <w:sz w:val="17"/>
                <w:szCs w:val="17"/>
              </w:rPr>
              <w:t>Городской округ – город Обь</w:t>
            </w:r>
          </w:p>
        </w:tc>
        <w:tc>
          <w:tcPr>
            <w:tcW w:w="850"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28975</w:t>
            </w:r>
          </w:p>
        </w:tc>
        <w:tc>
          <w:tcPr>
            <w:tcW w:w="81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0</w:t>
            </w:r>
          </w:p>
        </w:tc>
        <w:tc>
          <w:tcPr>
            <w:tcW w:w="8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28975</w:t>
            </w:r>
          </w:p>
        </w:tc>
        <w:tc>
          <w:tcPr>
            <w:tcW w:w="886"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70</w:t>
            </w:r>
          </w:p>
        </w:tc>
        <w:tc>
          <w:tcPr>
            <w:tcW w:w="85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w:t>
            </w:r>
          </w:p>
        </w:tc>
        <w:tc>
          <w:tcPr>
            <w:tcW w:w="728"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70</w:t>
            </w:r>
          </w:p>
        </w:tc>
        <w:tc>
          <w:tcPr>
            <w:tcW w:w="1321"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11,7</w:t>
            </w:r>
          </w:p>
        </w:tc>
      </w:tr>
      <w:tr w:rsidR="00A64028" w:rsidRPr="00422331" w:rsidTr="00A64028">
        <w:tc>
          <w:tcPr>
            <w:tcW w:w="243" w:type="dxa"/>
            <w:tcBorders>
              <w:top w:val="nil"/>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5</w:t>
            </w:r>
          </w:p>
        </w:tc>
        <w:tc>
          <w:tcPr>
            <w:tcW w:w="35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ind w:left="192"/>
              <w:rPr>
                <w:rFonts w:ascii="Arial Narrow" w:hAnsi="Arial Narrow"/>
                <w:b/>
                <w:bCs/>
                <w:sz w:val="17"/>
                <w:szCs w:val="17"/>
              </w:rPr>
            </w:pPr>
            <w:r w:rsidRPr="00422331">
              <w:rPr>
                <w:rFonts w:ascii="Arial Narrow" w:hAnsi="Arial Narrow"/>
                <w:b/>
                <w:bCs/>
                <w:sz w:val="17"/>
                <w:szCs w:val="17"/>
              </w:rPr>
              <w:t>Городской округ – рабочий поселок Кольцово</w:t>
            </w:r>
          </w:p>
        </w:tc>
        <w:tc>
          <w:tcPr>
            <w:tcW w:w="850"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15531</w:t>
            </w:r>
          </w:p>
        </w:tc>
        <w:tc>
          <w:tcPr>
            <w:tcW w:w="81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0</w:t>
            </w:r>
          </w:p>
        </w:tc>
        <w:tc>
          <w:tcPr>
            <w:tcW w:w="8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15531</w:t>
            </w:r>
          </w:p>
        </w:tc>
        <w:tc>
          <w:tcPr>
            <w:tcW w:w="886"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70</w:t>
            </w:r>
          </w:p>
        </w:tc>
        <w:tc>
          <w:tcPr>
            <w:tcW w:w="85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w:t>
            </w:r>
          </w:p>
        </w:tc>
        <w:tc>
          <w:tcPr>
            <w:tcW w:w="728"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70</w:t>
            </w:r>
          </w:p>
        </w:tc>
        <w:tc>
          <w:tcPr>
            <w:tcW w:w="1321"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11,69</w:t>
            </w:r>
          </w:p>
        </w:tc>
      </w:tr>
      <w:tr w:rsidR="00A64028" w:rsidRPr="00422331" w:rsidTr="00A64028">
        <w:tc>
          <w:tcPr>
            <w:tcW w:w="243" w:type="dxa"/>
            <w:tcBorders>
              <w:top w:val="nil"/>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6</w:t>
            </w:r>
          </w:p>
        </w:tc>
        <w:tc>
          <w:tcPr>
            <w:tcW w:w="35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ind w:left="192"/>
              <w:rPr>
                <w:rFonts w:ascii="Arial Narrow" w:hAnsi="Arial Narrow"/>
                <w:b/>
                <w:bCs/>
                <w:sz w:val="17"/>
                <w:szCs w:val="17"/>
              </w:rPr>
            </w:pPr>
            <w:r w:rsidRPr="00422331">
              <w:rPr>
                <w:rFonts w:ascii="Arial Narrow" w:hAnsi="Arial Narrow"/>
                <w:b/>
                <w:bCs/>
                <w:sz w:val="17"/>
                <w:szCs w:val="17"/>
              </w:rPr>
              <w:t>Баганский муниципальный район</w:t>
            </w:r>
          </w:p>
        </w:tc>
        <w:tc>
          <w:tcPr>
            <w:tcW w:w="850"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0</w:t>
            </w:r>
          </w:p>
        </w:tc>
        <w:tc>
          <w:tcPr>
            <w:tcW w:w="81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15439</w:t>
            </w:r>
          </w:p>
        </w:tc>
        <w:tc>
          <w:tcPr>
            <w:tcW w:w="8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15439</w:t>
            </w:r>
          </w:p>
        </w:tc>
        <w:tc>
          <w:tcPr>
            <w:tcW w:w="886"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0</w:t>
            </w:r>
          </w:p>
        </w:tc>
        <w:tc>
          <w:tcPr>
            <w:tcW w:w="85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70</w:t>
            </w:r>
          </w:p>
        </w:tc>
        <w:tc>
          <w:tcPr>
            <w:tcW w:w="728"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70</w:t>
            </w:r>
          </w:p>
        </w:tc>
        <w:tc>
          <w:tcPr>
            <w:tcW w:w="1321"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11,69</w:t>
            </w:r>
          </w:p>
        </w:tc>
      </w:tr>
      <w:tr w:rsidR="00A64028" w:rsidRPr="00422331" w:rsidTr="00A64028">
        <w:tc>
          <w:tcPr>
            <w:tcW w:w="243" w:type="dxa"/>
            <w:vMerge w:val="restart"/>
            <w:tcBorders>
              <w:top w:val="nil"/>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7</w:t>
            </w:r>
          </w:p>
        </w:tc>
        <w:tc>
          <w:tcPr>
            <w:tcW w:w="35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ind w:left="192"/>
              <w:rPr>
                <w:rFonts w:ascii="Arial Narrow" w:hAnsi="Arial Narrow"/>
                <w:b/>
                <w:bCs/>
                <w:sz w:val="17"/>
                <w:szCs w:val="17"/>
              </w:rPr>
            </w:pPr>
            <w:r w:rsidRPr="00422331">
              <w:rPr>
                <w:rFonts w:ascii="Arial Narrow" w:hAnsi="Arial Narrow"/>
                <w:b/>
                <w:bCs/>
                <w:sz w:val="17"/>
                <w:szCs w:val="17"/>
              </w:rPr>
              <w:t>Барабинский муниципальный район</w:t>
            </w:r>
          </w:p>
        </w:tc>
        <w:tc>
          <w:tcPr>
            <w:tcW w:w="850"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29307</w:t>
            </w:r>
          </w:p>
        </w:tc>
        <w:tc>
          <w:tcPr>
            <w:tcW w:w="81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12538</w:t>
            </w:r>
          </w:p>
        </w:tc>
        <w:tc>
          <w:tcPr>
            <w:tcW w:w="8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41845</w:t>
            </w:r>
          </w:p>
        </w:tc>
        <w:tc>
          <w:tcPr>
            <w:tcW w:w="886"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49</w:t>
            </w:r>
          </w:p>
        </w:tc>
        <w:tc>
          <w:tcPr>
            <w:tcW w:w="85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21</w:t>
            </w:r>
          </w:p>
        </w:tc>
        <w:tc>
          <w:tcPr>
            <w:tcW w:w="728"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70</w:t>
            </w:r>
          </w:p>
        </w:tc>
        <w:tc>
          <w:tcPr>
            <w:tcW w:w="1321"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11,7</w:t>
            </w:r>
          </w:p>
        </w:tc>
      </w:tr>
      <w:tr w:rsidR="00A64028" w:rsidRPr="00422331" w:rsidTr="00A64028">
        <w:tc>
          <w:tcPr>
            <w:tcW w:w="243" w:type="dxa"/>
            <w:vMerge/>
            <w:tcBorders>
              <w:top w:val="nil"/>
              <w:left w:val="single" w:sz="4" w:space="0" w:color="auto"/>
              <w:bottom w:val="single" w:sz="4" w:space="0" w:color="auto"/>
              <w:right w:val="single" w:sz="4" w:space="0" w:color="auto"/>
            </w:tcBorders>
            <w:vAlign w:val="center"/>
            <w:hideMark/>
          </w:tcPr>
          <w:p w:rsidR="00A64028" w:rsidRPr="00422331" w:rsidRDefault="00A64028" w:rsidP="00103148">
            <w:pPr>
              <w:spacing w:after="0"/>
              <w:rPr>
                <w:rFonts w:ascii="Arial Narrow" w:hAnsi="Arial Narrow"/>
                <w:sz w:val="17"/>
                <w:szCs w:val="17"/>
              </w:rPr>
            </w:pPr>
          </w:p>
        </w:tc>
        <w:tc>
          <w:tcPr>
            <w:tcW w:w="35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ind w:left="192"/>
              <w:rPr>
                <w:rFonts w:ascii="Arial Narrow" w:hAnsi="Arial Narrow"/>
                <w:sz w:val="17"/>
                <w:szCs w:val="17"/>
              </w:rPr>
            </w:pPr>
            <w:r w:rsidRPr="00422331">
              <w:rPr>
                <w:rFonts w:ascii="Arial Narrow" w:hAnsi="Arial Narrow"/>
                <w:sz w:val="17"/>
                <w:szCs w:val="17"/>
              </w:rPr>
              <w:t>В т. ч. городское поселение город Барабинск</w:t>
            </w:r>
          </w:p>
        </w:tc>
        <w:tc>
          <w:tcPr>
            <w:tcW w:w="850"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29307</w:t>
            </w:r>
          </w:p>
        </w:tc>
        <w:tc>
          <w:tcPr>
            <w:tcW w:w="81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0</w:t>
            </w:r>
          </w:p>
        </w:tc>
        <w:tc>
          <w:tcPr>
            <w:tcW w:w="8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0</w:t>
            </w:r>
          </w:p>
        </w:tc>
        <w:tc>
          <w:tcPr>
            <w:tcW w:w="886"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49</w:t>
            </w:r>
          </w:p>
        </w:tc>
        <w:tc>
          <w:tcPr>
            <w:tcW w:w="85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w:t>
            </w:r>
          </w:p>
        </w:tc>
        <w:tc>
          <w:tcPr>
            <w:tcW w:w="728"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 </w:t>
            </w:r>
          </w:p>
        </w:tc>
        <w:tc>
          <w:tcPr>
            <w:tcW w:w="1321"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 </w:t>
            </w:r>
          </w:p>
        </w:tc>
      </w:tr>
      <w:tr w:rsidR="00A64028" w:rsidRPr="00422331" w:rsidTr="00A64028">
        <w:tc>
          <w:tcPr>
            <w:tcW w:w="243" w:type="dxa"/>
            <w:vMerge w:val="restart"/>
            <w:tcBorders>
              <w:top w:val="nil"/>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8</w:t>
            </w:r>
          </w:p>
        </w:tc>
        <w:tc>
          <w:tcPr>
            <w:tcW w:w="35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ind w:left="192"/>
              <w:rPr>
                <w:rFonts w:ascii="Arial Narrow" w:hAnsi="Arial Narrow"/>
                <w:b/>
                <w:bCs/>
                <w:sz w:val="17"/>
                <w:szCs w:val="17"/>
              </w:rPr>
            </w:pPr>
            <w:r w:rsidRPr="00422331">
              <w:rPr>
                <w:rFonts w:ascii="Arial Narrow" w:hAnsi="Arial Narrow"/>
                <w:b/>
                <w:bCs/>
                <w:sz w:val="17"/>
                <w:szCs w:val="17"/>
              </w:rPr>
              <w:t>Болотнинский муниципальный район</w:t>
            </w:r>
          </w:p>
        </w:tc>
        <w:tc>
          <w:tcPr>
            <w:tcW w:w="850"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15739</w:t>
            </w:r>
          </w:p>
        </w:tc>
        <w:tc>
          <w:tcPr>
            <w:tcW w:w="81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11777</w:t>
            </w:r>
          </w:p>
        </w:tc>
        <w:tc>
          <w:tcPr>
            <w:tcW w:w="8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27516</w:t>
            </w:r>
          </w:p>
        </w:tc>
        <w:tc>
          <w:tcPr>
            <w:tcW w:w="886"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40</w:t>
            </w:r>
          </w:p>
        </w:tc>
        <w:tc>
          <w:tcPr>
            <w:tcW w:w="85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30</w:t>
            </w:r>
          </w:p>
        </w:tc>
        <w:tc>
          <w:tcPr>
            <w:tcW w:w="728"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70</w:t>
            </w:r>
          </w:p>
        </w:tc>
        <w:tc>
          <w:tcPr>
            <w:tcW w:w="1321"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11,7</w:t>
            </w:r>
          </w:p>
        </w:tc>
      </w:tr>
      <w:tr w:rsidR="00A64028" w:rsidRPr="00422331" w:rsidTr="00A64028">
        <w:tc>
          <w:tcPr>
            <w:tcW w:w="243" w:type="dxa"/>
            <w:vMerge/>
            <w:tcBorders>
              <w:top w:val="nil"/>
              <w:left w:val="single" w:sz="4" w:space="0" w:color="auto"/>
              <w:bottom w:val="single" w:sz="4" w:space="0" w:color="auto"/>
              <w:right w:val="single" w:sz="4" w:space="0" w:color="auto"/>
            </w:tcBorders>
            <w:vAlign w:val="center"/>
            <w:hideMark/>
          </w:tcPr>
          <w:p w:rsidR="00A64028" w:rsidRPr="00422331" w:rsidRDefault="00A64028" w:rsidP="00103148">
            <w:pPr>
              <w:spacing w:after="0"/>
              <w:rPr>
                <w:rFonts w:ascii="Arial Narrow" w:hAnsi="Arial Narrow"/>
                <w:sz w:val="17"/>
                <w:szCs w:val="17"/>
              </w:rPr>
            </w:pPr>
          </w:p>
        </w:tc>
        <w:tc>
          <w:tcPr>
            <w:tcW w:w="35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ind w:left="192"/>
              <w:rPr>
                <w:rFonts w:ascii="Arial Narrow" w:hAnsi="Arial Narrow"/>
                <w:sz w:val="17"/>
                <w:szCs w:val="17"/>
              </w:rPr>
            </w:pPr>
            <w:r w:rsidRPr="00422331">
              <w:rPr>
                <w:rFonts w:ascii="Arial Narrow" w:hAnsi="Arial Narrow"/>
                <w:sz w:val="17"/>
                <w:szCs w:val="17"/>
              </w:rPr>
              <w:t>В т. ч. городское поселение город Болотное</w:t>
            </w:r>
          </w:p>
        </w:tc>
        <w:tc>
          <w:tcPr>
            <w:tcW w:w="850"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15739</w:t>
            </w:r>
          </w:p>
        </w:tc>
        <w:tc>
          <w:tcPr>
            <w:tcW w:w="81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0</w:t>
            </w:r>
          </w:p>
        </w:tc>
        <w:tc>
          <w:tcPr>
            <w:tcW w:w="8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0</w:t>
            </w:r>
          </w:p>
        </w:tc>
        <w:tc>
          <w:tcPr>
            <w:tcW w:w="886"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40</w:t>
            </w:r>
          </w:p>
        </w:tc>
        <w:tc>
          <w:tcPr>
            <w:tcW w:w="85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w:t>
            </w:r>
          </w:p>
        </w:tc>
        <w:tc>
          <w:tcPr>
            <w:tcW w:w="728"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 </w:t>
            </w:r>
          </w:p>
        </w:tc>
        <w:tc>
          <w:tcPr>
            <w:tcW w:w="1321"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 </w:t>
            </w:r>
          </w:p>
        </w:tc>
      </w:tr>
      <w:tr w:rsidR="00A64028" w:rsidRPr="00422331" w:rsidTr="00A64028">
        <w:tc>
          <w:tcPr>
            <w:tcW w:w="243" w:type="dxa"/>
            <w:tcBorders>
              <w:top w:val="nil"/>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9</w:t>
            </w:r>
          </w:p>
        </w:tc>
        <w:tc>
          <w:tcPr>
            <w:tcW w:w="35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ind w:left="192"/>
              <w:rPr>
                <w:rFonts w:ascii="Arial Narrow" w:hAnsi="Arial Narrow"/>
                <w:b/>
                <w:bCs/>
                <w:sz w:val="17"/>
                <w:szCs w:val="17"/>
              </w:rPr>
            </w:pPr>
            <w:r w:rsidRPr="00422331">
              <w:rPr>
                <w:rFonts w:ascii="Arial Narrow" w:hAnsi="Arial Narrow"/>
                <w:b/>
                <w:bCs/>
                <w:sz w:val="17"/>
                <w:szCs w:val="17"/>
              </w:rPr>
              <w:t>Венгеровский муниципальный район</w:t>
            </w:r>
          </w:p>
        </w:tc>
        <w:tc>
          <w:tcPr>
            <w:tcW w:w="850"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0</w:t>
            </w:r>
          </w:p>
        </w:tc>
        <w:tc>
          <w:tcPr>
            <w:tcW w:w="81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19076</w:t>
            </w:r>
          </w:p>
        </w:tc>
        <w:tc>
          <w:tcPr>
            <w:tcW w:w="8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19076</w:t>
            </w:r>
          </w:p>
        </w:tc>
        <w:tc>
          <w:tcPr>
            <w:tcW w:w="886"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0</w:t>
            </w:r>
          </w:p>
        </w:tc>
        <w:tc>
          <w:tcPr>
            <w:tcW w:w="85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70</w:t>
            </w:r>
          </w:p>
        </w:tc>
        <w:tc>
          <w:tcPr>
            <w:tcW w:w="728"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70</w:t>
            </w:r>
          </w:p>
        </w:tc>
        <w:tc>
          <w:tcPr>
            <w:tcW w:w="1321"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11,69</w:t>
            </w:r>
          </w:p>
        </w:tc>
      </w:tr>
      <w:tr w:rsidR="00A64028" w:rsidRPr="00422331" w:rsidTr="00A64028">
        <w:tc>
          <w:tcPr>
            <w:tcW w:w="243" w:type="dxa"/>
            <w:tcBorders>
              <w:top w:val="nil"/>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10</w:t>
            </w:r>
          </w:p>
        </w:tc>
        <w:tc>
          <w:tcPr>
            <w:tcW w:w="35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ind w:left="192"/>
              <w:rPr>
                <w:rFonts w:ascii="Arial Narrow" w:hAnsi="Arial Narrow"/>
                <w:b/>
                <w:bCs/>
                <w:sz w:val="17"/>
                <w:szCs w:val="17"/>
              </w:rPr>
            </w:pPr>
            <w:r w:rsidRPr="00422331">
              <w:rPr>
                <w:rFonts w:ascii="Arial Narrow" w:hAnsi="Arial Narrow"/>
                <w:b/>
                <w:bCs/>
                <w:sz w:val="17"/>
                <w:szCs w:val="17"/>
              </w:rPr>
              <w:t>Доволенский муниципальный район</w:t>
            </w:r>
          </w:p>
        </w:tc>
        <w:tc>
          <w:tcPr>
            <w:tcW w:w="850"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0</w:t>
            </w:r>
          </w:p>
        </w:tc>
        <w:tc>
          <w:tcPr>
            <w:tcW w:w="81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16475</w:t>
            </w:r>
          </w:p>
        </w:tc>
        <w:tc>
          <w:tcPr>
            <w:tcW w:w="8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16475</w:t>
            </w:r>
          </w:p>
        </w:tc>
        <w:tc>
          <w:tcPr>
            <w:tcW w:w="886"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0</w:t>
            </w:r>
          </w:p>
        </w:tc>
        <w:tc>
          <w:tcPr>
            <w:tcW w:w="85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70</w:t>
            </w:r>
          </w:p>
        </w:tc>
        <w:tc>
          <w:tcPr>
            <w:tcW w:w="728"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70</w:t>
            </w:r>
          </w:p>
        </w:tc>
        <w:tc>
          <w:tcPr>
            <w:tcW w:w="1321"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11,69</w:t>
            </w:r>
          </w:p>
        </w:tc>
      </w:tr>
      <w:tr w:rsidR="00A64028" w:rsidRPr="00422331" w:rsidTr="00A64028">
        <w:tc>
          <w:tcPr>
            <w:tcW w:w="243" w:type="dxa"/>
            <w:tcBorders>
              <w:top w:val="nil"/>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11</w:t>
            </w:r>
          </w:p>
        </w:tc>
        <w:tc>
          <w:tcPr>
            <w:tcW w:w="35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ind w:left="192"/>
              <w:rPr>
                <w:rFonts w:ascii="Arial Narrow" w:hAnsi="Arial Narrow"/>
                <w:b/>
                <w:bCs/>
                <w:sz w:val="17"/>
                <w:szCs w:val="17"/>
              </w:rPr>
            </w:pPr>
            <w:r w:rsidRPr="00422331">
              <w:rPr>
                <w:rFonts w:ascii="Arial Narrow" w:hAnsi="Arial Narrow"/>
                <w:b/>
                <w:bCs/>
                <w:sz w:val="17"/>
                <w:szCs w:val="17"/>
              </w:rPr>
              <w:t>Здвинский муниципальный район</w:t>
            </w:r>
          </w:p>
        </w:tc>
        <w:tc>
          <w:tcPr>
            <w:tcW w:w="850"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0</w:t>
            </w:r>
          </w:p>
        </w:tc>
        <w:tc>
          <w:tcPr>
            <w:tcW w:w="81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14889</w:t>
            </w:r>
          </w:p>
        </w:tc>
        <w:tc>
          <w:tcPr>
            <w:tcW w:w="8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14889</w:t>
            </w:r>
          </w:p>
        </w:tc>
        <w:tc>
          <w:tcPr>
            <w:tcW w:w="886"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0</w:t>
            </w:r>
          </w:p>
        </w:tc>
        <w:tc>
          <w:tcPr>
            <w:tcW w:w="85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70</w:t>
            </w:r>
          </w:p>
        </w:tc>
        <w:tc>
          <w:tcPr>
            <w:tcW w:w="728"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70</w:t>
            </w:r>
          </w:p>
        </w:tc>
        <w:tc>
          <w:tcPr>
            <w:tcW w:w="1321"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11,69</w:t>
            </w:r>
          </w:p>
        </w:tc>
      </w:tr>
      <w:tr w:rsidR="00A64028" w:rsidRPr="00422331" w:rsidTr="00A64028">
        <w:tc>
          <w:tcPr>
            <w:tcW w:w="243" w:type="dxa"/>
            <w:vMerge w:val="restart"/>
            <w:tcBorders>
              <w:top w:val="nil"/>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12</w:t>
            </w:r>
          </w:p>
        </w:tc>
        <w:tc>
          <w:tcPr>
            <w:tcW w:w="35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ind w:left="192"/>
              <w:rPr>
                <w:rFonts w:ascii="Arial Narrow" w:hAnsi="Arial Narrow"/>
                <w:b/>
                <w:bCs/>
                <w:sz w:val="17"/>
                <w:szCs w:val="17"/>
              </w:rPr>
            </w:pPr>
            <w:r w:rsidRPr="00422331">
              <w:rPr>
                <w:rFonts w:ascii="Arial Narrow" w:hAnsi="Arial Narrow"/>
                <w:b/>
                <w:bCs/>
                <w:sz w:val="17"/>
                <w:szCs w:val="17"/>
              </w:rPr>
              <w:t>Искитимский муниципальный район</w:t>
            </w:r>
          </w:p>
        </w:tc>
        <w:tc>
          <w:tcPr>
            <w:tcW w:w="850"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18728</w:t>
            </w:r>
          </w:p>
        </w:tc>
        <w:tc>
          <w:tcPr>
            <w:tcW w:w="81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42921</w:t>
            </w:r>
          </w:p>
        </w:tc>
        <w:tc>
          <w:tcPr>
            <w:tcW w:w="8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61649</w:t>
            </w:r>
          </w:p>
        </w:tc>
        <w:tc>
          <w:tcPr>
            <w:tcW w:w="886"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21</w:t>
            </w:r>
          </w:p>
        </w:tc>
        <w:tc>
          <w:tcPr>
            <w:tcW w:w="85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49</w:t>
            </w:r>
          </w:p>
        </w:tc>
        <w:tc>
          <w:tcPr>
            <w:tcW w:w="728"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70</w:t>
            </w:r>
          </w:p>
        </w:tc>
        <w:tc>
          <w:tcPr>
            <w:tcW w:w="1321"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11,71</w:t>
            </w:r>
          </w:p>
        </w:tc>
      </w:tr>
      <w:tr w:rsidR="00A64028" w:rsidRPr="00422331" w:rsidTr="00A64028">
        <w:tc>
          <w:tcPr>
            <w:tcW w:w="243" w:type="dxa"/>
            <w:vMerge/>
            <w:tcBorders>
              <w:top w:val="nil"/>
              <w:left w:val="single" w:sz="4" w:space="0" w:color="auto"/>
              <w:bottom w:val="single" w:sz="4" w:space="0" w:color="auto"/>
              <w:right w:val="single" w:sz="4" w:space="0" w:color="auto"/>
            </w:tcBorders>
            <w:vAlign w:val="center"/>
            <w:hideMark/>
          </w:tcPr>
          <w:p w:rsidR="00A64028" w:rsidRPr="00422331" w:rsidRDefault="00A64028" w:rsidP="00103148">
            <w:pPr>
              <w:spacing w:after="0"/>
              <w:rPr>
                <w:rFonts w:ascii="Arial Narrow" w:hAnsi="Arial Narrow"/>
                <w:sz w:val="17"/>
                <w:szCs w:val="17"/>
              </w:rPr>
            </w:pPr>
          </w:p>
        </w:tc>
        <w:tc>
          <w:tcPr>
            <w:tcW w:w="35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ind w:left="192"/>
              <w:rPr>
                <w:rFonts w:ascii="Arial Narrow" w:hAnsi="Arial Narrow"/>
                <w:sz w:val="17"/>
                <w:szCs w:val="17"/>
              </w:rPr>
            </w:pPr>
            <w:r w:rsidRPr="00422331">
              <w:rPr>
                <w:rFonts w:ascii="Arial Narrow" w:hAnsi="Arial Narrow"/>
                <w:sz w:val="17"/>
                <w:szCs w:val="17"/>
              </w:rPr>
              <w:t>В т. ч. городское поселение рабочий поселок Линево</w:t>
            </w:r>
          </w:p>
        </w:tc>
        <w:tc>
          <w:tcPr>
            <w:tcW w:w="850"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18728</w:t>
            </w:r>
          </w:p>
        </w:tc>
        <w:tc>
          <w:tcPr>
            <w:tcW w:w="81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0</w:t>
            </w:r>
          </w:p>
        </w:tc>
        <w:tc>
          <w:tcPr>
            <w:tcW w:w="8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0</w:t>
            </w:r>
          </w:p>
        </w:tc>
        <w:tc>
          <w:tcPr>
            <w:tcW w:w="886"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21</w:t>
            </w:r>
          </w:p>
        </w:tc>
        <w:tc>
          <w:tcPr>
            <w:tcW w:w="85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w:t>
            </w:r>
          </w:p>
        </w:tc>
        <w:tc>
          <w:tcPr>
            <w:tcW w:w="728"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 </w:t>
            </w:r>
          </w:p>
        </w:tc>
        <w:tc>
          <w:tcPr>
            <w:tcW w:w="1321"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 </w:t>
            </w:r>
          </w:p>
        </w:tc>
      </w:tr>
      <w:tr w:rsidR="00A64028" w:rsidRPr="00422331" w:rsidTr="00A64028">
        <w:tc>
          <w:tcPr>
            <w:tcW w:w="243" w:type="dxa"/>
            <w:vMerge w:val="restart"/>
            <w:tcBorders>
              <w:top w:val="nil"/>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13</w:t>
            </w:r>
          </w:p>
        </w:tc>
        <w:tc>
          <w:tcPr>
            <w:tcW w:w="35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ind w:left="192"/>
              <w:rPr>
                <w:rFonts w:ascii="Arial Narrow" w:hAnsi="Arial Narrow"/>
                <w:b/>
                <w:bCs/>
                <w:sz w:val="17"/>
                <w:szCs w:val="17"/>
              </w:rPr>
            </w:pPr>
            <w:r w:rsidRPr="00422331">
              <w:rPr>
                <w:rFonts w:ascii="Arial Narrow" w:hAnsi="Arial Narrow"/>
                <w:b/>
                <w:bCs/>
                <w:sz w:val="17"/>
                <w:szCs w:val="17"/>
              </w:rPr>
              <w:t>Карасукский муниципальный район</w:t>
            </w:r>
          </w:p>
        </w:tc>
        <w:tc>
          <w:tcPr>
            <w:tcW w:w="850"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27332</w:t>
            </w:r>
          </w:p>
        </w:tc>
        <w:tc>
          <w:tcPr>
            <w:tcW w:w="81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16589</w:t>
            </w:r>
          </w:p>
        </w:tc>
        <w:tc>
          <w:tcPr>
            <w:tcW w:w="8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43921</w:t>
            </w:r>
          </w:p>
        </w:tc>
        <w:tc>
          <w:tcPr>
            <w:tcW w:w="886"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44</w:t>
            </w:r>
          </w:p>
        </w:tc>
        <w:tc>
          <w:tcPr>
            <w:tcW w:w="85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26</w:t>
            </w:r>
          </w:p>
        </w:tc>
        <w:tc>
          <w:tcPr>
            <w:tcW w:w="728"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70</w:t>
            </w:r>
          </w:p>
        </w:tc>
        <w:tc>
          <w:tcPr>
            <w:tcW w:w="1321"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11,7</w:t>
            </w:r>
          </w:p>
        </w:tc>
      </w:tr>
      <w:tr w:rsidR="00A64028" w:rsidRPr="00422331" w:rsidTr="00A64028">
        <w:tc>
          <w:tcPr>
            <w:tcW w:w="243" w:type="dxa"/>
            <w:vMerge/>
            <w:tcBorders>
              <w:top w:val="nil"/>
              <w:left w:val="single" w:sz="4" w:space="0" w:color="auto"/>
              <w:bottom w:val="single" w:sz="4" w:space="0" w:color="auto"/>
              <w:right w:val="single" w:sz="4" w:space="0" w:color="auto"/>
            </w:tcBorders>
            <w:vAlign w:val="center"/>
            <w:hideMark/>
          </w:tcPr>
          <w:p w:rsidR="00A64028" w:rsidRPr="00422331" w:rsidRDefault="00A64028" w:rsidP="00103148">
            <w:pPr>
              <w:spacing w:after="0"/>
              <w:rPr>
                <w:rFonts w:ascii="Arial Narrow" w:hAnsi="Arial Narrow"/>
                <w:sz w:val="17"/>
                <w:szCs w:val="17"/>
              </w:rPr>
            </w:pPr>
          </w:p>
        </w:tc>
        <w:tc>
          <w:tcPr>
            <w:tcW w:w="35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ind w:left="192"/>
              <w:rPr>
                <w:rFonts w:ascii="Arial Narrow" w:hAnsi="Arial Narrow"/>
                <w:sz w:val="17"/>
                <w:szCs w:val="17"/>
              </w:rPr>
            </w:pPr>
            <w:r w:rsidRPr="00422331">
              <w:rPr>
                <w:rFonts w:ascii="Arial Narrow" w:hAnsi="Arial Narrow"/>
                <w:sz w:val="17"/>
                <w:szCs w:val="17"/>
              </w:rPr>
              <w:t>В т. ч. городское поселение город Карасук</w:t>
            </w:r>
          </w:p>
        </w:tc>
        <w:tc>
          <w:tcPr>
            <w:tcW w:w="850"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27397</w:t>
            </w:r>
          </w:p>
        </w:tc>
        <w:tc>
          <w:tcPr>
            <w:tcW w:w="81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0</w:t>
            </w:r>
          </w:p>
        </w:tc>
        <w:tc>
          <w:tcPr>
            <w:tcW w:w="8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0</w:t>
            </w:r>
          </w:p>
        </w:tc>
        <w:tc>
          <w:tcPr>
            <w:tcW w:w="886"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44</w:t>
            </w:r>
          </w:p>
        </w:tc>
        <w:tc>
          <w:tcPr>
            <w:tcW w:w="85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w:t>
            </w:r>
          </w:p>
        </w:tc>
        <w:tc>
          <w:tcPr>
            <w:tcW w:w="728"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 </w:t>
            </w:r>
          </w:p>
        </w:tc>
        <w:tc>
          <w:tcPr>
            <w:tcW w:w="1321"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 </w:t>
            </w:r>
          </w:p>
        </w:tc>
      </w:tr>
      <w:tr w:rsidR="00A64028" w:rsidRPr="00422331" w:rsidTr="00A64028">
        <w:tc>
          <w:tcPr>
            <w:tcW w:w="243" w:type="dxa"/>
            <w:vMerge w:val="restart"/>
            <w:tcBorders>
              <w:top w:val="nil"/>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14</w:t>
            </w:r>
          </w:p>
        </w:tc>
        <w:tc>
          <w:tcPr>
            <w:tcW w:w="35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ind w:left="192"/>
              <w:rPr>
                <w:rFonts w:ascii="Arial Narrow" w:hAnsi="Arial Narrow"/>
                <w:b/>
                <w:bCs/>
                <w:sz w:val="17"/>
                <w:szCs w:val="17"/>
              </w:rPr>
            </w:pPr>
            <w:r w:rsidRPr="00422331">
              <w:rPr>
                <w:rFonts w:ascii="Arial Narrow" w:hAnsi="Arial Narrow"/>
                <w:b/>
                <w:bCs/>
                <w:sz w:val="17"/>
                <w:szCs w:val="17"/>
              </w:rPr>
              <w:t>Каргатский муниципальный район</w:t>
            </w:r>
          </w:p>
        </w:tc>
        <w:tc>
          <w:tcPr>
            <w:tcW w:w="850"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9598</w:t>
            </w:r>
          </w:p>
        </w:tc>
        <w:tc>
          <w:tcPr>
            <w:tcW w:w="81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7051</w:t>
            </w:r>
          </w:p>
        </w:tc>
        <w:tc>
          <w:tcPr>
            <w:tcW w:w="8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16649</w:t>
            </w:r>
          </w:p>
        </w:tc>
        <w:tc>
          <w:tcPr>
            <w:tcW w:w="886"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40</w:t>
            </w:r>
          </w:p>
        </w:tc>
        <w:tc>
          <w:tcPr>
            <w:tcW w:w="85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30</w:t>
            </w:r>
          </w:p>
        </w:tc>
        <w:tc>
          <w:tcPr>
            <w:tcW w:w="728"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70</w:t>
            </w:r>
          </w:p>
        </w:tc>
        <w:tc>
          <w:tcPr>
            <w:tcW w:w="1321"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11,69</w:t>
            </w:r>
          </w:p>
        </w:tc>
      </w:tr>
      <w:tr w:rsidR="00A64028" w:rsidRPr="00422331" w:rsidTr="00A64028">
        <w:tc>
          <w:tcPr>
            <w:tcW w:w="243" w:type="dxa"/>
            <w:vMerge/>
            <w:tcBorders>
              <w:top w:val="nil"/>
              <w:left w:val="single" w:sz="4" w:space="0" w:color="auto"/>
              <w:bottom w:val="single" w:sz="4" w:space="0" w:color="auto"/>
              <w:right w:val="single" w:sz="4" w:space="0" w:color="auto"/>
            </w:tcBorders>
            <w:vAlign w:val="center"/>
            <w:hideMark/>
          </w:tcPr>
          <w:p w:rsidR="00A64028" w:rsidRPr="00422331" w:rsidRDefault="00A64028" w:rsidP="00103148">
            <w:pPr>
              <w:spacing w:after="0"/>
              <w:rPr>
                <w:rFonts w:ascii="Arial Narrow" w:hAnsi="Arial Narrow"/>
                <w:sz w:val="17"/>
                <w:szCs w:val="17"/>
              </w:rPr>
            </w:pPr>
          </w:p>
        </w:tc>
        <w:tc>
          <w:tcPr>
            <w:tcW w:w="35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ind w:left="192"/>
              <w:rPr>
                <w:rFonts w:ascii="Arial Narrow" w:hAnsi="Arial Narrow"/>
                <w:sz w:val="17"/>
                <w:szCs w:val="17"/>
              </w:rPr>
            </w:pPr>
            <w:r w:rsidRPr="00422331">
              <w:rPr>
                <w:rFonts w:ascii="Arial Narrow" w:hAnsi="Arial Narrow"/>
                <w:sz w:val="17"/>
                <w:szCs w:val="17"/>
              </w:rPr>
              <w:t>В т. ч. городское поселение город Каргат</w:t>
            </w:r>
          </w:p>
        </w:tc>
        <w:tc>
          <w:tcPr>
            <w:tcW w:w="850"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9598</w:t>
            </w:r>
          </w:p>
        </w:tc>
        <w:tc>
          <w:tcPr>
            <w:tcW w:w="81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0</w:t>
            </w:r>
          </w:p>
        </w:tc>
        <w:tc>
          <w:tcPr>
            <w:tcW w:w="8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0</w:t>
            </w:r>
          </w:p>
        </w:tc>
        <w:tc>
          <w:tcPr>
            <w:tcW w:w="886"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40</w:t>
            </w:r>
          </w:p>
        </w:tc>
        <w:tc>
          <w:tcPr>
            <w:tcW w:w="85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w:t>
            </w:r>
          </w:p>
        </w:tc>
        <w:tc>
          <w:tcPr>
            <w:tcW w:w="728"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 </w:t>
            </w:r>
          </w:p>
        </w:tc>
        <w:tc>
          <w:tcPr>
            <w:tcW w:w="1321"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 </w:t>
            </w:r>
          </w:p>
        </w:tc>
      </w:tr>
      <w:tr w:rsidR="00A64028" w:rsidRPr="00422331" w:rsidTr="00A64028">
        <w:tc>
          <w:tcPr>
            <w:tcW w:w="243" w:type="dxa"/>
            <w:vMerge w:val="restart"/>
            <w:tcBorders>
              <w:top w:val="nil"/>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15</w:t>
            </w:r>
          </w:p>
        </w:tc>
        <w:tc>
          <w:tcPr>
            <w:tcW w:w="35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ind w:left="192"/>
              <w:rPr>
                <w:rFonts w:ascii="Arial Narrow" w:hAnsi="Arial Narrow"/>
                <w:b/>
                <w:bCs/>
                <w:sz w:val="17"/>
                <w:szCs w:val="17"/>
              </w:rPr>
            </w:pPr>
            <w:r w:rsidRPr="00422331">
              <w:rPr>
                <w:rFonts w:ascii="Arial Narrow" w:hAnsi="Arial Narrow"/>
                <w:b/>
                <w:bCs/>
                <w:sz w:val="17"/>
                <w:szCs w:val="17"/>
              </w:rPr>
              <w:t>Колыванский муниципальный район</w:t>
            </w:r>
          </w:p>
        </w:tc>
        <w:tc>
          <w:tcPr>
            <w:tcW w:w="850"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13633</w:t>
            </w:r>
          </w:p>
        </w:tc>
        <w:tc>
          <w:tcPr>
            <w:tcW w:w="81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10898</w:t>
            </w:r>
          </w:p>
        </w:tc>
        <w:tc>
          <w:tcPr>
            <w:tcW w:w="8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24531</w:t>
            </w:r>
          </w:p>
        </w:tc>
        <w:tc>
          <w:tcPr>
            <w:tcW w:w="886"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39</w:t>
            </w:r>
          </w:p>
        </w:tc>
        <w:tc>
          <w:tcPr>
            <w:tcW w:w="85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31</w:t>
            </w:r>
          </w:p>
        </w:tc>
        <w:tc>
          <w:tcPr>
            <w:tcW w:w="728"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70</w:t>
            </w:r>
          </w:p>
        </w:tc>
        <w:tc>
          <w:tcPr>
            <w:tcW w:w="1321"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11,7</w:t>
            </w:r>
          </w:p>
        </w:tc>
      </w:tr>
      <w:tr w:rsidR="00A64028" w:rsidRPr="00422331" w:rsidTr="00A64028">
        <w:tc>
          <w:tcPr>
            <w:tcW w:w="243" w:type="dxa"/>
            <w:vMerge/>
            <w:tcBorders>
              <w:top w:val="nil"/>
              <w:left w:val="single" w:sz="4" w:space="0" w:color="auto"/>
              <w:bottom w:val="single" w:sz="4" w:space="0" w:color="auto"/>
              <w:right w:val="single" w:sz="4" w:space="0" w:color="auto"/>
            </w:tcBorders>
            <w:vAlign w:val="center"/>
            <w:hideMark/>
          </w:tcPr>
          <w:p w:rsidR="00A64028" w:rsidRPr="00422331" w:rsidRDefault="00A64028" w:rsidP="00103148">
            <w:pPr>
              <w:spacing w:after="0"/>
              <w:rPr>
                <w:rFonts w:ascii="Arial Narrow" w:hAnsi="Arial Narrow"/>
                <w:sz w:val="17"/>
                <w:szCs w:val="17"/>
              </w:rPr>
            </w:pPr>
          </w:p>
        </w:tc>
        <w:tc>
          <w:tcPr>
            <w:tcW w:w="35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ind w:left="192"/>
              <w:rPr>
                <w:rFonts w:ascii="Arial Narrow" w:hAnsi="Arial Narrow"/>
                <w:sz w:val="17"/>
                <w:szCs w:val="17"/>
              </w:rPr>
            </w:pPr>
            <w:r w:rsidRPr="00422331">
              <w:rPr>
                <w:rFonts w:ascii="Arial Narrow" w:hAnsi="Arial Narrow"/>
                <w:sz w:val="17"/>
                <w:szCs w:val="17"/>
              </w:rPr>
              <w:t>В т. ч. городское поселение рабочий поселок Колывань</w:t>
            </w:r>
          </w:p>
        </w:tc>
        <w:tc>
          <w:tcPr>
            <w:tcW w:w="850"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13633</w:t>
            </w:r>
          </w:p>
        </w:tc>
        <w:tc>
          <w:tcPr>
            <w:tcW w:w="81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0</w:t>
            </w:r>
          </w:p>
        </w:tc>
        <w:tc>
          <w:tcPr>
            <w:tcW w:w="8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0</w:t>
            </w:r>
          </w:p>
        </w:tc>
        <w:tc>
          <w:tcPr>
            <w:tcW w:w="886"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39</w:t>
            </w:r>
          </w:p>
        </w:tc>
        <w:tc>
          <w:tcPr>
            <w:tcW w:w="85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w:t>
            </w:r>
          </w:p>
        </w:tc>
        <w:tc>
          <w:tcPr>
            <w:tcW w:w="728"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 </w:t>
            </w:r>
          </w:p>
        </w:tc>
        <w:tc>
          <w:tcPr>
            <w:tcW w:w="1321"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 </w:t>
            </w:r>
          </w:p>
        </w:tc>
      </w:tr>
      <w:tr w:rsidR="00A64028" w:rsidRPr="00422331" w:rsidTr="00A64028">
        <w:tc>
          <w:tcPr>
            <w:tcW w:w="243" w:type="dxa"/>
            <w:vMerge w:val="restart"/>
            <w:tcBorders>
              <w:top w:val="nil"/>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16</w:t>
            </w:r>
          </w:p>
        </w:tc>
        <w:tc>
          <w:tcPr>
            <w:tcW w:w="35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ind w:left="192"/>
              <w:rPr>
                <w:rFonts w:ascii="Arial Narrow" w:hAnsi="Arial Narrow"/>
                <w:b/>
                <w:bCs/>
                <w:sz w:val="17"/>
                <w:szCs w:val="17"/>
              </w:rPr>
            </w:pPr>
            <w:r w:rsidRPr="00422331">
              <w:rPr>
                <w:rFonts w:ascii="Arial Narrow" w:hAnsi="Arial Narrow"/>
                <w:b/>
                <w:bCs/>
                <w:sz w:val="17"/>
                <w:szCs w:val="17"/>
              </w:rPr>
              <w:t>Коченевский муниципальный район</w:t>
            </w:r>
          </w:p>
        </w:tc>
        <w:tc>
          <w:tcPr>
            <w:tcW w:w="850"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21917</w:t>
            </w:r>
          </w:p>
        </w:tc>
        <w:tc>
          <w:tcPr>
            <w:tcW w:w="81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23566</w:t>
            </w:r>
          </w:p>
        </w:tc>
        <w:tc>
          <w:tcPr>
            <w:tcW w:w="8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45483</w:t>
            </w:r>
          </w:p>
        </w:tc>
        <w:tc>
          <w:tcPr>
            <w:tcW w:w="886"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34</w:t>
            </w:r>
          </w:p>
        </w:tc>
        <w:tc>
          <w:tcPr>
            <w:tcW w:w="85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36</w:t>
            </w:r>
          </w:p>
        </w:tc>
        <w:tc>
          <w:tcPr>
            <w:tcW w:w="728"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70</w:t>
            </w:r>
          </w:p>
        </w:tc>
        <w:tc>
          <w:tcPr>
            <w:tcW w:w="1321"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11,7</w:t>
            </w:r>
          </w:p>
        </w:tc>
      </w:tr>
      <w:tr w:rsidR="00A64028" w:rsidRPr="00422331" w:rsidTr="00A64028">
        <w:tc>
          <w:tcPr>
            <w:tcW w:w="243" w:type="dxa"/>
            <w:vMerge/>
            <w:tcBorders>
              <w:top w:val="nil"/>
              <w:left w:val="single" w:sz="4" w:space="0" w:color="auto"/>
              <w:bottom w:val="single" w:sz="4" w:space="0" w:color="auto"/>
              <w:right w:val="single" w:sz="4" w:space="0" w:color="auto"/>
            </w:tcBorders>
            <w:vAlign w:val="center"/>
            <w:hideMark/>
          </w:tcPr>
          <w:p w:rsidR="00A64028" w:rsidRPr="00422331" w:rsidRDefault="00A64028" w:rsidP="00103148">
            <w:pPr>
              <w:spacing w:after="0"/>
              <w:rPr>
                <w:rFonts w:ascii="Arial Narrow" w:hAnsi="Arial Narrow"/>
                <w:sz w:val="17"/>
                <w:szCs w:val="17"/>
              </w:rPr>
            </w:pPr>
          </w:p>
        </w:tc>
        <w:tc>
          <w:tcPr>
            <w:tcW w:w="35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ind w:left="192"/>
              <w:rPr>
                <w:rFonts w:ascii="Arial Narrow" w:hAnsi="Arial Narrow"/>
                <w:sz w:val="17"/>
                <w:szCs w:val="17"/>
              </w:rPr>
            </w:pPr>
            <w:r w:rsidRPr="00422331">
              <w:rPr>
                <w:rFonts w:ascii="Arial Narrow" w:hAnsi="Arial Narrow"/>
                <w:sz w:val="17"/>
                <w:szCs w:val="17"/>
              </w:rPr>
              <w:t>В т. ч. городское поселение рабочий поселок Коченево</w:t>
            </w:r>
          </w:p>
        </w:tc>
        <w:tc>
          <w:tcPr>
            <w:tcW w:w="850"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16768</w:t>
            </w:r>
          </w:p>
        </w:tc>
        <w:tc>
          <w:tcPr>
            <w:tcW w:w="81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0</w:t>
            </w:r>
          </w:p>
        </w:tc>
        <w:tc>
          <w:tcPr>
            <w:tcW w:w="8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0</w:t>
            </w:r>
          </w:p>
        </w:tc>
        <w:tc>
          <w:tcPr>
            <w:tcW w:w="886" w:type="dxa"/>
            <w:vMerge w:val="restart"/>
            <w:tcBorders>
              <w:top w:val="nil"/>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34</w:t>
            </w:r>
          </w:p>
        </w:tc>
        <w:tc>
          <w:tcPr>
            <w:tcW w:w="85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w:t>
            </w:r>
          </w:p>
        </w:tc>
        <w:tc>
          <w:tcPr>
            <w:tcW w:w="728"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 </w:t>
            </w:r>
          </w:p>
        </w:tc>
        <w:tc>
          <w:tcPr>
            <w:tcW w:w="1321"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 </w:t>
            </w:r>
          </w:p>
        </w:tc>
      </w:tr>
      <w:tr w:rsidR="00A64028" w:rsidRPr="00422331" w:rsidTr="00A64028">
        <w:tc>
          <w:tcPr>
            <w:tcW w:w="243" w:type="dxa"/>
            <w:vMerge/>
            <w:tcBorders>
              <w:top w:val="nil"/>
              <w:left w:val="single" w:sz="4" w:space="0" w:color="auto"/>
              <w:bottom w:val="single" w:sz="4" w:space="0" w:color="auto"/>
              <w:right w:val="single" w:sz="4" w:space="0" w:color="auto"/>
            </w:tcBorders>
            <w:vAlign w:val="center"/>
            <w:hideMark/>
          </w:tcPr>
          <w:p w:rsidR="00A64028" w:rsidRPr="00422331" w:rsidRDefault="00A64028" w:rsidP="00103148">
            <w:pPr>
              <w:spacing w:after="0"/>
              <w:rPr>
                <w:rFonts w:ascii="Arial Narrow" w:hAnsi="Arial Narrow"/>
                <w:sz w:val="17"/>
                <w:szCs w:val="17"/>
              </w:rPr>
            </w:pPr>
          </w:p>
        </w:tc>
        <w:tc>
          <w:tcPr>
            <w:tcW w:w="35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ind w:left="192"/>
              <w:rPr>
                <w:rFonts w:ascii="Arial Narrow" w:hAnsi="Arial Narrow"/>
                <w:sz w:val="17"/>
                <w:szCs w:val="17"/>
              </w:rPr>
            </w:pPr>
            <w:r w:rsidRPr="00422331">
              <w:rPr>
                <w:rFonts w:ascii="Arial Narrow" w:hAnsi="Arial Narrow"/>
                <w:sz w:val="17"/>
                <w:szCs w:val="17"/>
              </w:rPr>
              <w:t>В т. ч. городское поселение рабочий поселок Чик</w:t>
            </w:r>
          </w:p>
        </w:tc>
        <w:tc>
          <w:tcPr>
            <w:tcW w:w="850"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5149</w:t>
            </w:r>
          </w:p>
        </w:tc>
        <w:tc>
          <w:tcPr>
            <w:tcW w:w="81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0</w:t>
            </w:r>
          </w:p>
        </w:tc>
        <w:tc>
          <w:tcPr>
            <w:tcW w:w="8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0</w:t>
            </w:r>
          </w:p>
        </w:tc>
        <w:tc>
          <w:tcPr>
            <w:tcW w:w="886" w:type="dxa"/>
            <w:vMerge/>
            <w:tcBorders>
              <w:top w:val="nil"/>
              <w:left w:val="single" w:sz="4" w:space="0" w:color="auto"/>
              <w:bottom w:val="single" w:sz="4" w:space="0" w:color="auto"/>
              <w:right w:val="single" w:sz="4" w:space="0" w:color="auto"/>
            </w:tcBorders>
            <w:vAlign w:val="center"/>
            <w:hideMark/>
          </w:tcPr>
          <w:p w:rsidR="00A64028" w:rsidRPr="00422331" w:rsidRDefault="00A64028" w:rsidP="00103148">
            <w:pPr>
              <w:spacing w:after="0"/>
              <w:rPr>
                <w:rFonts w:ascii="Arial Narrow" w:hAnsi="Arial Narrow"/>
                <w:sz w:val="17"/>
                <w:szCs w:val="17"/>
              </w:rPr>
            </w:pPr>
          </w:p>
        </w:tc>
        <w:tc>
          <w:tcPr>
            <w:tcW w:w="85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w:t>
            </w:r>
          </w:p>
        </w:tc>
        <w:tc>
          <w:tcPr>
            <w:tcW w:w="728"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 </w:t>
            </w:r>
          </w:p>
        </w:tc>
        <w:tc>
          <w:tcPr>
            <w:tcW w:w="1321"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 </w:t>
            </w:r>
          </w:p>
        </w:tc>
      </w:tr>
      <w:tr w:rsidR="00A64028" w:rsidRPr="00422331" w:rsidTr="00A64028">
        <w:tc>
          <w:tcPr>
            <w:tcW w:w="243" w:type="dxa"/>
            <w:tcBorders>
              <w:top w:val="nil"/>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17</w:t>
            </w:r>
          </w:p>
        </w:tc>
        <w:tc>
          <w:tcPr>
            <w:tcW w:w="35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ind w:left="192"/>
              <w:rPr>
                <w:rFonts w:ascii="Arial Narrow" w:hAnsi="Arial Narrow"/>
                <w:b/>
                <w:bCs/>
                <w:sz w:val="17"/>
                <w:szCs w:val="17"/>
              </w:rPr>
            </w:pPr>
            <w:r w:rsidRPr="00422331">
              <w:rPr>
                <w:rFonts w:ascii="Arial Narrow" w:hAnsi="Arial Narrow"/>
                <w:b/>
                <w:bCs/>
                <w:sz w:val="17"/>
                <w:szCs w:val="17"/>
              </w:rPr>
              <w:t>Кочковский муниципальный район</w:t>
            </w:r>
          </w:p>
        </w:tc>
        <w:tc>
          <w:tcPr>
            <w:tcW w:w="850"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0</w:t>
            </w:r>
          </w:p>
        </w:tc>
        <w:tc>
          <w:tcPr>
            <w:tcW w:w="81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14310</w:t>
            </w:r>
          </w:p>
        </w:tc>
        <w:tc>
          <w:tcPr>
            <w:tcW w:w="8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14310</w:t>
            </w:r>
          </w:p>
        </w:tc>
        <w:tc>
          <w:tcPr>
            <w:tcW w:w="886"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0</w:t>
            </w:r>
          </w:p>
        </w:tc>
        <w:tc>
          <w:tcPr>
            <w:tcW w:w="85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70</w:t>
            </w:r>
          </w:p>
        </w:tc>
        <w:tc>
          <w:tcPr>
            <w:tcW w:w="728"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70</w:t>
            </w:r>
          </w:p>
        </w:tc>
        <w:tc>
          <w:tcPr>
            <w:tcW w:w="1321"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11,68</w:t>
            </w:r>
          </w:p>
        </w:tc>
      </w:tr>
      <w:tr w:rsidR="00A64028" w:rsidRPr="00422331" w:rsidTr="00A64028">
        <w:tc>
          <w:tcPr>
            <w:tcW w:w="243" w:type="dxa"/>
            <w:vMerge w:val="restart"/>
            <w:tcBorders>
              <w:top w:val="nil"/>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18</w:t>
            </w:r>
          </w:p>
        </w:tc>
        <w:tc>
          <w:tcPr>
            <w:tcW w:w="35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ind w:left="192"/>
              <w:rPr>
                <w:rFonts w:ascii="Arial Narrow" w:hAnsi="Arial Narrow"/>
                <w:b/>
                <w:bCs/>
                <w:sz w:val="17"/>
                <w:szCs w:val="17"/>
              </w:rPr>
            </w:pPr>
            <w:r w:rsidRPr="00422331">
              <w:rPr>
                <w:rFonts w:ascii="Arial Narrow" w:hAnsi="Arial Narrow"/>
                <w:b/>
                <w:bCs/>
                <w:sz w:val="17"/>
                <w:szCs w:val="17"/>
              </w:rPr>
              <w:t>Краснозерский муниципальный район</w:t>
            </w:r>
          </w:p>
        </w:tc>
        <w:tc>
          <w:tcPr>
            <w:tcW w:w="850"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9215</w:t>
            </w:r>
          </w:p>
        </w:tc>
        <w:tc>
          <w:tcPr>
            <w:tcW w:w="81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21315</w:t>
            </w:r>
          </w:p>
        </w:tc>
        <w:tc>
          <w:tcPr>
            <w:tcW w:w="8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30530</w:t>
            </w:r>
          </w:p>
        </w:tc>
        <w:tc>
          <w:tcPr>
            <w:tcW w:w="886"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21</w:t>
            </w:r>
          </w:p>
        </w:tc>
        <w:tc>
          <w:tcPr>
            <w:tcW w:w="85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49</w:t>
            </w:r>
          </w:p>
        </w:tc>
        <w:tc>
          <w:tcPr>
            <w:tcW w:w="728"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70</w:t>
            </w:r>
          </w:p>
        </w:tc>
        <w:tc>
          <w:tcPr>
            <w:tcW w:w="1321"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11,7</w:t>
            </w:r>
          </w:p>
        </w:tc>
      </w:tr>
      <w:tr w:rsidR="00A64028" w:rsidRPr="00422331" w:rsidTr="00A64028">
        <w:tc>
          <w:tcPr>
            <w:tcW w:w="243" w:type="dxa"/>
            <w:vMerge/>
            <w:tcBorders>
              <w:top w:val="nil"/>
              <w:left w:val="single" w:sz="4" w:space="0" w:color="auto"/>
              <w:bottom w:val="single" w:sz="4" w:space="0" w:color="auto"/>
              <w:right w:val="single" w:sz="4" w:space="0" w:color="auto"/>
            </w:tcBorders>
            <w:vAlign w:val="center"/>
            <w:hideMark/>
          </w:tcPr>
          <w:p w:rsidR="00A64028" w:rsidRPr="00422331" w:rsidRDefault="00A64028" w:rsidP="00103148">
            <w:pPr>
              <w:spacing w:after="0"/>
              <w:rPr>
                <w:rFonts w:ascii="Arial Narrow" w:hAnsi="Arial Narrow"/>
                <w:sz w:val="17"/>
                <w:szCs w:val="17"/>
              </w:rPr>
            </w:pPr>
          </w:p>
        </w:tc>
        <w:tc>
          <w:tcPr>
            <w:tcW w:w="35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ind w:left="192"/>
              <w:rPr>
                <w:rFonts w:ascii="Arial Narrow" w:hAnsi="Arial Narrow"/>
                <w:sz w:val="17"/>
                <w:szCs w:val="17"/>
              </w:rPr>
            </w:pPr>
            <w:r w:rsidRPr="00422331">
              <w:rPr>
                <w:rFonts w:ascii="Arial Narrow" w:hAnsi="Arial Narrow"/>
                <w:sz w:val="17"/>
                <w:szCs w:val="17"/>
              </w:rPr>
              <w:t>В т. ч. городское поселение рабочий поселок Краснозерское</w:t>
            </w:r>
          </w:p>
        </w:tc>
        <w:tc>
          <w:tcPr>
            <w:tcW w:w="850"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9215</w:t>
            </w:r>
          </w:p>
        </w:tc>
        <w:tc>
          <w:tcPr>
            <w:tcW w:w="81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0</w:t>
            </w:r>
          </w:p>
        </w:tc>
        <w:tc>
          <w:tcPr>
            <w:tcW w:w="8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0</w:t>
            </w:r>
          </w:p>
        </w:tc>
        <w:tc>
          <w:tcPr>
            <w:tcW w:w="886"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21</w:t>
            </w:r>
          </w:p>
        </w:tc>
        <w:tc>
          <w:tcPr>
            <w:tcW w:w="85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w:t>
            </w:r>
          </w:p>
        </w:tc>
        <w:tc>
          <w:tcPr>
            <w:tcW w:w="728"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 </w:t>
            </w:r>
          </w:p>
        </w:tc>
        <w:tc>
          <w:tcPr>
            <w:tcW w:w="1321"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 </w:t>
            </w:r>
          </w:p>
        </w:tc>
      </w:tr>
      <w:tr w:rsidR="00A64028" w:rsidRPr="00422331" w:rsidTr="00A64028">
        <w:tc>
          <w:tcPr>
            <w:tcW w:w="243" w:type="dxa"/>
            <w:tcBorders>
              <w:top w:val="nil"/>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19</w:t>
            </w:r>
          </w:p>
        </w:tc>
        <w:tc>
          <w:tcPr>
            <w:tcW w:w="35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ind w:left="192"/>
              <w:rPr>
                <w:rFonts w:ascii="Arial Narrow" w:hAnsi="Arial Narrow"/>
                <w:b/>
                <w:bCs/>
                <w:sz w:val="17"/>
                <w:szCs w:val="17"/>
              </w:rPr>
            </w:pPr>
            <w:r w:rsidRPr="00422331">
              <w:rPr>
                <w:rFonts w:ascii="Arial Narrow" w:hAnsi="Arial Narrow"/>
                <w:b/>
                <w:bCs/>
                <w:sz w:val="17"/>
                <w:szCs w:val="17"/>
              </w:rPr>
              <w:t>Куйбышевский муниципальный район</w:t>
            </w:r>
          </w:p>
        </w:tc>
        <w:tc>
          <w:tcPr>
            <w:tcW w:w="850"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44616</w:t>
            </w:r>
          </w:p>
        </w:tc>
        <w:tc>
          <w:tcPr>
            <w:tcW w:w="81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13730</w:t>
            </w:r>
          </w:p>
        </w:tc>
        <w:tc>
          <w:tcPr>
            <w:tcW w:w="8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58346</w:t>
            </w:r>
          </w:p>
        </w:tc>
        <w:tc>
          <w:tcPr>
            <w:tcW w:w="886"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54</w:t>
            </w:r>
          </w:p>
        </w:tc>
        <w:tc>
          <w:tcPr>
            <w:tcW w:w="85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16</w:t>
            </w:r>
          </w:p>
        </w:tc>
        <w:tc>
          <w:tcPr>
            <w:tcW w:w="728"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70</w:t>
            </w:r>
          </w:p>
        </w:tc>
        <w:tc>
          <w:tcPr>
            <w:tcW w:w="1321"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11,71</w:t>
            </w:r>
          </w:p>
        </w:tc>
      </w:tr>
      <w:tr w:rsidR="00A64028" w:rsidRPr="00422331" w:rsidTr="00A64028">
        <w:tc>
          <w:tcPr>
            <w:tcW w:w="243" w:type="dxa"/>
            <w:tcBorders>
              <w:top w:val="nil"/>
              <w:left w:val="single" w:sz="4" w:space="0" w:color="auto"/>
              <w:bottom w:val="single" w:sz="4" w:space="0" w:color="auto"/>
              <w:right w:val="single" w:sz="4" w:space="0" w:color="auto"/>
            </w:tcBorders>
            <w:vAlign w:val="center"/>
            <w:hideMark/>
          </w:tcPr>
          <w:p w:rsidR="00A64028" w:rsidRPr="00422331" w:rsidRDefault="00A64028" w:rsidP="00103148">
            <w:pPr>
              <w:spacing w:after="0" w:line="256" w:lineRule="auto"/>
              <w:rPr>
                <w:rFonts w:ascii="Calibri" w:eastAsia="Calibri" w:hAnsi="Calibri"/>
                <w:sz w:val="17"/>
                <w:szCs w:val="17"/>
              </w:rPr>
            </w:pPr>
          </w:p>
        </w:tc>
        <w:tc>
          <w:tcPr>
            <w:tcW w:w="35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ind w:left="192"/>
              <w:rPr>
                <w:rFonts w:ascii="Arial Narrow" w:hAnsi="Arial Narrow"/>
                <w:sz w:val="17"/>
                <w:szCs w:val="17"/>
              </w:rPr>
            </w:pPr>
            <w:r w:rsidRPr="00422331">
              <w:rPr>
                <w:rFonts w:ascii="Arial Narrow" w:hAnsi="Arial Narrow"/>
                <w:sz w:val="17"/>
                <w:szCs w:val="17"/>
              </w:rPr>
              <w:t>В т. ч. городское поселение город Куйбышев</w:t>
            </w:r>
          </w:p>
        </w:tc>
        <w:tc>
          <w:tcPr>
            <w:tcW w:w="850"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44616</w:t>
            </w:r>
          </w:p>
        </w:tc>
        <w:tc>
          <w:tcPr>
            <w:tcW w:w="81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0</w:t>
            </w:r>
          </w:p>
        </w:tc>
        <w:tc>
          <w:tcPr>
            <w:tcW w:w="8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0</w:t>
            </w:r>
          </w:p>
        </w:tc>
        <w:tc>
          <w:tcPr>
            <w:tcW w:w="886"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54</w:t>
            </w:r>
          </w:p>
        </w:tc>
        <w:tc>
          <w:tcPr>
            <w:tcW w:w="85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w:t>
            </w:r>
          </w:p>
        </w:tc>
        <w:tc>
          <w:tcPr>
            <w:tcW w:w="728"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 </w:t>
            </w:r>
          </w:p>
        </w:tc>
        <w:tc>
          <w:tcPr>
            <w:tcW w:w="1321"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 </w:t>
            </w:r>
          </w:p>
        </w:tc>
      </w:tr>
      <w:tr w:rsidR="00A64028" w:rsidRPr="00422331" w:rsidTr="00A64028">
        <w:tc>
          <w:tcPr>
            <w:tcW w:w="243" w:type="dxa"/>
            <w:vMerge w:val="restart"/>
            <w:tcBorders>
              <w:top w:val="nil"/>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20</w:t>
            </w:r>
          </w:p>
        </w:tc>
        <w:tc>
          <w:tcPr>
            <w:tcW w:w="35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ind w:left="192"/>
              <w:rPr>
                <w:rFonts w:ascii="Arial Narrow" w:hAnsi="Arial Narrow"/>
                <w:b/>
                <w:bCs/>
                <w:sz w:val="17"/>
                <w:szCs w:val="17"/>
              </w:rPr>
            </w:pPr>
            <w:r w:rsidRPr="00422331">
              <w:rPr>
                <w:rFonts w:ascii="Arial Narrow" w:hAnsi="Arial Narrow"/>
                <w:b/>
                <w:bCs/>
                <w:sz w:val="17"/>
                <w:szCs w:val="17"/>
              </w:rPr>
              <w:t>Купинский муниципальный район</w:t>
            </w:r>
          </w:p>
        </w:tc>
        <w:tc>
          <w:tcPr>
            <w:tcW w:w="850"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13897</w:t>
            </w:r>
          </w:p>
        </w:tc>
        <w:tc>
          <w:tcPr>
            <w:tcW w:w="81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14692</w:t>
            </w:r>
          </w:p>
        </w:tc>
        <w:tc>
          <w:tcPr>
            <w:tcW w:w="8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28589</w:t>
            </w:r>
          </w:p>
        </w:tc>
        <w:tc>
          <w:tcPr>
            <w:tcW w:w="886"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34</w:t>
            </w:r>
          </w:p>
        </w:tc>
        <w:tc>
          <w:tcPr>
            <w:tcW w:w="85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36</w:t>
            </w:r>
          </w:p>
        </w:tc>
        <w:tc>
          <w:tcPr>
            <w:tcW w:w="728"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70</w:t>
            </w:r>
          </w:p>
        </w:tc>
        <w:tc>
          <w:tcPr>
            <w:tcW w:w="1321"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11,7</w:t>
            </w:r>
          </w:p>
        </w:tc>
      </w:tr>
      <w:tr w:rsidR="00A64028" w:rsidRPr="00422331" w:rsidTr="00A64028">
        <w:tc>
          <w:tcPr>
            <w:tcW w:w="243" w:type="dxa"/>
            <w:vMerge/>
            <w:tcBorders>
              <w:top w:val="nil"/>
              <w:left w:val="single" w:sz="4" w:space="0" w:color="auto"/>
              <w:bottom w:val="single" w:sz="4" w:space="0" w:color="auto"/>
              <w:right w:val="single" w:sz="4" w:space="0" w:color="auto"/>
            </w:tcBorders>
            <w:vAlign w:val="center"/>
            <w:hideMark/>
          </w:tcPr>
          <w:p w:rsidR="00A64028" w:rsidRPr="00422331" w:rsidRDefault="00A64028" w:rsidP="00103148">
            <w:pPr>
              <w:spacing w:after="0"/>
              <w:rPr>
                <w:rFonts w:ascii="Arial Narrow" w:hAnsi="Arial Narrow"/>
                <w:sz w:val="17"/>
                <w:szCs w:val="17"/>
              </w:rPr>
            </w:pPr>
          </w:p>
        </w:tc>
        <w:tc>
          <w:tcPr>
            <w:tcW w:w="35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ind w:left="192"/>
              <w:rPr>
                <w:rFonts w:ascii="Arial Narrow" w:hAnsi="Arial Narrow"/>
                <w:sz w:val="17"/>
                <w:szCs w:val="17"/>
              </w:rPr>
            </w:pPr>
            <w:r w:rsidRPr="00422331">
              <w:rPr>
                <w:rFonts w:ascii="Arial Narrow" w:hAnsi="Arial Narrow"/>
                <w:sz w:val="17"/>
                <w:szCs w:val="17"/>
              </w:rPr>
              <w:t>В т. ч. городское поселение город Купино</w:t>
            </w:r>
          </w:p>
        </w:tc>
        <w:tc>
          <w:tcPr>
            <w:tcW w:w="850"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13897</w:t>
            </w:r>
          </w:p>
        </w:tc>
        <w:tc>
          <w:tcPr>
            <w:tcW w:w="81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0</w:t>
            </w:r>
          </w:p>
        </w:tc>
        <w:tc>
          <w:tcPr>
            <w:tcW w:w="8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0</w:t>
            </w:r>
          </w:p>
        </w:tc>
        <w:tc>
          <w:tcPr>
            <w:tcW w:w="886"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34</w:t>
            </w:r>
          </w:p>
        </w:tc>
        <w:tc>
          <w:tcPr>
            <w:tcW w:w="85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w:t>
            </w:r>
          </w:p>
        </w:tc>
        <w:tc>
          <w:tcPr>
            <w:tcW w:w="728"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 </w:t>
            </w:r>
          </w:p>
        </w:tc>
        <w:tc>
          <w:tcPr>
            <w:tcW w:w="1321"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 </w:t>
            </w:r>
          </w:p>
        </w:tc>
      </w:tr>
      <w:tr w:rsidR="00A64028" w:rsidRPr="00422331" w:rsidTr="00A64028">
        <w:tc>
          <w:tcPr>
            <w:tcW w:w="243" w:type="dxa"/>
            <w:tcBorders>
              <w:top w:val="nil"/>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21</w:t>
            </w:r>
          </w:p>
        </w:tc>
        <w:tc>
          <w:tcPr>
            <w:tcW w:w="35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ind w:left="192"/>
              <w:rPr>
                <w:rFonts w:ascii="Arial Narrow" w:hAnsi="Arial Narrow"/>
                <w:b/>
                <w:bCs/>
                <w:sz w:val="17"/>
                <w:szCs w:val="17"/>
              </w:rPr>
            </w:pPr>
            <w:r w:rsidRPr="00422331">
              <w:rPr>
                <w:rFonts w:ascii="Arial Narrow" w:hAnsi="Arial Narrow"/>
                <w:b/>
                <w:bCs/>
                <w:sz w:val="17"/>
                <w:szCs w:val="17"/>
              </w:rPr>
              <w:t>Кыштовский муниципальный район</w:t>
            </w:r>
          </w:p>
        </w:tc>
        <w:tc>
          <w:tcPr>
            <w:tcW w:w="850"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0</w:t>
            </w:r>
          </w:p>
        </w:tc>
        <w:tc>
          <w:tcPr>
            <w:tcW w:w="81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10688</w:t>
            </w:r>
          </w:p>
        </w:tc>
        <w:tc>
          <w:tcPr>
            <w:tcW w:w="8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10688</w:t>
            </w:r>
          </w:p>
        </w:tc>
        <w:tc>
          <w:tcPr>
            <w:tcW w:w="886"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0</w:t>
            </w:r>
          </w:p>
        </w:tc>
        <w:tc>
          <w:tcPr>
            <w:tcW w:w="85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70</w:t>
            </w:r>
          </w:p>
        </w:tc>
        <w:tc>
          <w:tcPr>
            <w:tcW w:w="728"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70</w:t>
            </w:r>
          </w:p>
        </w:tc>
        <w:tc>
          <w:tcPr>
            <w:tcW w:w="1321"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11,68</w:t>
            </w:r>
          </w:p>
        </w:tc>
      </w:tr>
      <w:tr w:rsidR="00A64028" w:rsidRPr="00422331" w:rsidTr="00A64028">
        <w:tc>
          <w:tcPr>
            <w:tcW w:w="243" w:type="dxa"/>
            <w:tcBorders>
              <w:top w:val="nil"/>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22</w:t>
            </w:r>
          </w:p>
        </w:tc>
        <w:tc>
          <w:tcPr>
            <w:tcW w:w="35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ind w:left="192"/>
              <w:rPr>
                <w:rFonts w:ascii="Arial Narrow" w:hAnsi="Arial Narrow"/>
                <w:sz w:val="17"/>
                <w:szCs w:val="17"/>
              </w:rPr>
            </w:pPr>
            <w:r w:rsidRPr="00422331">
              <w:rPr>
                <w:rFonts w:ascii="Arial Narrow" w:hAnsi="Arial Narrow"/>
                <w:sz w:val="17"/>
                <w:szCs w:val="17"/>
              </w:rPr>
              <w:t>Маслянинский муниципальный район</w:t>
            </w:r>
          </w:p>
        </w:tc>
        <w:tc>
          <w:tcPr>
            <w:tcW w:w="850"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12799</w:t>
            </w:r>
          </w:p>
        </w:tc>
        <w:tc>
          <w:tcPr>
            <w:tcW w:w="81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10772</w:t>
            </w:r>
          </w:p>
        </w:tc>
        <w:tc>
          <w:tcPr>
            <w:tcW w:w="8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23571</w:t>
            </w:r>
          </w:p>
        </w:tc>
        <w:tc>
          <w:tcPr>
            <w:tcW w:w="886"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38</w:t>
            </w:r>
          </w:p>
        </w:tc>
        <w:tc>
          <w:tcPr>
            <w:tcW w:w="85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32</w:t>
            </w:r>
          </w:p>
        </w:tc>
        <w:tc>
          <w:tcPr>
            <w:tcW w:w="728"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70</w:t>
            </w:r>
          </w:p>
        </w:tc>
        <w:tc>
          <w:tcPr>
            <w:tcW w:w="1321"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11,7</w:t>
            </w:r>
          </w:p>
        </w:tc>
      </w:tr>
    </w:tbl>
    <w:p w:rsidR="00372BCB" w:rsidRDefault="00372BCB"/>
    <w:p w:rsidR="00372BCB" w:rsidRPr="00372BCB" w:rsidRDefault="00372BCB" w:rsidP="00372BCB">
      <w:pPr>
        <w:spacing w:after="0" w:line="240" w:lineRule="auto"/>
        <w:jc w:val="right"/>
        <w:rPr>
          <w:rFonts w:ascii="Arial Narrow" w:hAnsi="Arial Narrow"/>
          <w:sz w:val="24"/>
          <w:szCs w:val="24"/>
        </w:rPr>
      </w:pPr>
      <w:r w:rsidRPr="00BF6DC4">
        <w:rPr>
          <w:rFonts w:ascii="Arial Narrow" w:hAnsi="Arial Narrow"/>
          <w:sz w:val="24"/>
          <w:szCs w:val="24"/>
        </w:rPr>
        <w:lastRenderedPageBreak/>
        <w:t xml:space="preserve">Продолжение Таблицы </w:t>
      </w:r>
      <w:r>
        <w:rPr>
          <w:rFonts w:ascii="Arial Narrow" w:hAnsi="Arial Narrow"/>
          <w:sz w:val="24"/>
          <w:szCs w:val="24"/>
        </w:rPr>
        <w:t>7.34</w:t>
      </w:r>
    </w:p>
    <w:tbl>
      <w:tblPr>
        <w:tblW w:w="10170" w:type="dxa"/>
        <w:tblInd w:w="-289" w:type="dxa"/>
        <w:tblLayout w:type="fixed"/>
        <w:tblCellMar>
          <w:left w:w="0" w:type="dxa"/>
          <w:right w:w="0" w:type="dxa"/>
        </w:tblCellMar>
        <w:tblLook w:val="04A0"/>
      </w:tblPr>
      <w:tblGrid>
        <w:gridCol w:w="243"/>
        <w:gridCol w:w="3582"/>
        <w:gridCol w:w="850"/>
        <w:gridCol w:w="819"/>
        <w:gridCol w:w="882"/>
        <w:gridCol w:w="886"/>
        <w:gridCol w:w="859"/>
        <w:gridCol w:w="728"/>
        <w:gridCol w:w="1321"/>
      </w:tblGrid>
      <w:tr w:rsidR="00A64028" w:rsidRPr="00422331" w:rsidTr="00372BCB">
        <w:tc>
          <w:tcPr>
            <w:tcW w:w="243" w:type="dxa"/>
            <w:tcBorders>
              <w:top w:val="single" w:sz="4" w:space="0" w:color="auto"/>
              <w:left w:val="single" w:sz="4" w:space="0" w:color="auto"/>
              <w:bottom w:val="single" w:sz="4" w:space="0" w:color="auto"/>
              <w:right w:val="single" w:sz="4" w:space="0" w:color="auto"/>
            </w:tcBorders>
            <w:vAlign w:val="center"/>
            <w:hideMark/>
          </w:tcPr>
          <w:p w:rsidR="00A64028" w:rsidRPr="00422331" w:rsidRDefault="00A64028" w:rsidP="00103148">
            <w:pPr>
              <w:spacing w:after="0"/>
              <w:rPr>
                <w:rFonts w:ascii="Arial Narrow" w:hAnsi="Arial Narrow"/>
                <w:sz w:val="17"/>
                <w:szCs w:val="17"/>
              </w:rPr>
            </w:pPr>
          </w:p>
        </w:tc>
        <w:tc>
          <w:tcPr>
            <w:tcW w:w="3582" w:type="dxa"/>
            <w:tcBorders>
              <w:top w:val="single" w:sz="4" w:space="0" w:color="auto"/>
              <w:left w:val="nil"/>
              <w:bottom w:val="single" w:sz="4" w:space="0" w:color="auto"/>
              <w:right w:val="single" w:sz="4" w:space="0" w:color="auto"/>
            </w:tcBorders>
            <w:noWrap/>
            <w:vAlign w:val="center"/>
            <w:hideMark/>
          </w:tcPr>
          <w:p w:rsidR="00A64028" w:rsidRPr="00422331" w:rsidRDefault="00A64028" w:rsidP="00103148">
            <w:pPr>
              <w:spacing w:after="0"/>
              <w:ind w:left="192"/>
              <w:rPr>
                <w:rFonts w:ascii="Arial Narrow" w:hAnsi="Arial Narrow"/>
                <w:sz w:val="17"/>
                <w:szCs w:val="17"/>
              </w:rPr>
            </w:pPr>
            <w:r w:rsidRPr="00422331">
              <w:rPr>
                <w:rFonts w:ascii="Arial Narrow" w:hAnsi="Arial Narrow"/>
                <w:sz w:val="17"/>
                <w:szCs w:val="17"/>
              </w:rPr>
              <w:t>В т. ч. городское поселение рабочий поселок Маслянино</w:t>
            </w:r>
          </w:p>
        </w:tc>
        <w:tc>
          <w:tcPr>
            <w:tcW w:w="850" w:type="dxa"/>
            <w:tcBorders>
              <w:top w:val="single" w:sz="4" w:space="0" w:color="auto"/>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12799</w:t>
            </w:r>
          </w:p>
        </w:tc>
        <w:tc>
          <w:tcPr>
            <w:tcW w:w="819" w:type="dxa"/>
            <w:tcBorders>
              <w:top w:val="single" w:sz="4" w:space="0" w:color="auto"/>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0</w:t>
            </w:r>
          </w:p>
        </w:tc>
        <w:tc>
          <w:tcPr>
            <w:tcW w:w="882" w:type="dxa"/>
            <w:tcBorders>
              <w:top w:val="single" w:sz="4" w:space="0" w:color="auto"/>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0</w:t>
            </w:r>
          </w:p>
        </w:tc>
        <w:tc>
          <w:tcPr>
            <w:tcW w:w="886" w:type="dxa"/>
            <w:tcBorders>
              <w:top w:val="single" w:sz="4" w:space="0" w:color="auto"/>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38</w:t>
            </w:r>
          </w:p>
        </w:tc>
        <w:tc>
          <w:tcPr>
            <w:tcW w:w="859" w:type="dxa"/>
            <w:tcBorders>
              <w:top w:val="single" w:sz="4" w:space="0" w:color="auto"/>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w:t>
            </w:r>
          </w:p>
        </w:tc>
        <w:tc>
          <w:tcPr>
            <w:tcW w:w="728" w:type="dxa"/>
            <w:tcBorders>
              <w:top w:val="single" w:sz="4" w:space="0" w:color="auto"/>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 </w:t>
            </w:r>
          </w:p>
        </w:tc>
        <w:tc>
          <w:tcPr>
            <w:tcW w:w="1321" w:type="dxa"/>
            <w:tcBorders>
              <w:top w:val="single" w:sz="4" w:space="0" w:color="auto"/>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 </w:t>
            </w:r>
          </w:p>
        </w:tc>
      </w:tr>
      <w:tr w:rsidR="00A64028" w:rsidRPr="00422331" w:rsidTr="00A64028">
        <w:tc>
          <w:tcPr>
            <w:tcW w:w="243" w:type="dxa"/>
            <w:vMerge w:val="restart"/>
            <w:tcBorders>
              <w:top w:val="nil"/>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23</w:t>
            </w:r>
          </w:p>
        </w:tc>
        <w:tc>
          <w:tcPr>
            <w:tcW w:w="35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ind w:left="192"/>
              <w:rPr>
                <w:rFonts w:ascii="Arial Narrow" w:hAnsi="Arial Narrow"/>
                <w:b/>
                <w:bCs/>
                <w:sz w:val="17"/>
                <w:szCs w:val="17"/>
              </w:rPr>
            </w:pPr>
            <w:r w:rsidRPr="00422331">
              <w:rPr>
                <w:rFonts w:ascii="Arial Narrow" w:hAnsi="Arial Narrow"/>
                <w:b/>
                <w:bCs/>
                <w:sz w:val="17"/>
                <w:szCs w:val="17"/>
              </w:rPr>
              <w:t>Мошковский муниципальный район</w:t>
            </w:r>
          </w:p>
        </w:tc>
        <w:tc>
          <w:tcPr>
            <w:tcW w:w="850"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15244</w:t>
            </w:r>
          </w:p>
        </w:tc>
        <w:tc>
          <w:tcPr>
            <w:tcW w:w="81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25370</w:t>
            </w:r>
          </w:p>
        </w:tc>
        <w:tc>
          <w:tcPr>
            <w:tcW w:w="8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40614</w:t>
            </w:r>
          </w:p>
        </w:tc>
        <w:tc>
          <w:tcPr>
            <w:tcW w:w="886"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26</w:t>
            </w:r>
          </w:p>
        </w:tc>
        <w:tc>
          <w:tcPr>
            <w:tcW w:w="85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44</w:t>
            </w:r>
          </w:p>
        </w:tc>
        <w:tc>
          <w:tcPr>
            <w:tcW w:w="728"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70</w:t>
            </w:r>
          </w:p>
        </w:tc>
        <w:tc>
          <w:tcPr>
            <w:tcW w:w="1321"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11,7</w:t>
            </w:r>
          </w:p>
        </w:tc>
      </w:tr>
      <w:tr w:rsidR="00A64028" w:rsidRPr="00422331" w:rsidTr="00A64028">
        <w:tc>
          <w:tcPr>
            <w:tcW w:w="243" w:type="dxa"/>
            <w:vMerge/>
            <w:tcBorders>
              <w:top w:val="nil"/>
              <w:left w:val="single" w:sz="4" w:space="0" w:color="auto"/>
              <w:bottom w:val="single" w:sz="4" w:space="0" w:color="auto"/>
              <w:right w:val="single" w:sz="4" w:space="0" w:color="auto"/>
            </w:tcBorders>
            <w:vAlign w:val="center"/>
            <w:hideMark/>
          </w:tcPr>
          <w:p w:rsidR="00A64028" w:rsidRPr="00422331" w:rsidRDefault="00A64028" w:rsidP="00103148">
            <w:pPr>
              <w:spacing w:after="0"/>
              <w:rPr>
                <w:rFonts w:ascii="Arial Narrow" w:hAnsi="Arial Narrow"/>
                <w:sz w:val="17"/>
                <w:szCs w:val="17"/>
              </w:rPr>
            </w:pPr>
          </w:p>
        </w:tc>
        <w:tc>
          <w:tcPr>
            <w:tcW w:w="35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ind w:left="192"/>
              <w:rPr>
                <w:rFonts w:ascii="Arial Narrow" w:hAnsi="Arial Narrow"/>
                <w:sz w:val="17"/>
                <w:szCs w:val="17"/>
              </w:rPr>
            </w:pPr>
            <w:r w:rsidRPr="00422331">
              <w:rPr>
                <w:rFonts w:ascii="Arial Narrow" w:hAnsi="Arial Narrow"/>
                <w:sz w:val="17"/>
                <w:szCs w:val="17"/>
              </w:rPr>
              <w:t>В т. ч. городское поселение рабочий поселок Мошково</w:t>
            </w:r>
          </w:p>
        </w:tc>
        <w:tc>
          <w:tcPr>
            <w:tcW w:w="850"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9717</w:t>
            </w:r>
          </w:p>
        </w:tc>
        <w:tc>
          <w:tcPr>
            <w:tcW w:w="81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0</w:t>
            </w:r>
          </w:p>
        </w:tc>
        <w:tc>
          <w:tcPr>
            <w:tcW w:w="8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0</w:t>
            </w:r>
          </w:p>
        </w:tc>
        <w:tc>
          <w:tcPr>
            <w:tcW w:w="886" w:type="dxa"/>
            <w:vMerge w:val="restart"/>
            <w:tcBorders>
              <w:top w:val="nil"/>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26</w:t>
            </w:r>
          </w:p>
        </w:tc>
        <w:tc>
          <w:tcPr>
            <w:tcW w:w="85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w:t>
            </w:r>
          </w:p>
        </w:tc>
        <w:tc>
          <w:tcPr>
            <w:tcW w:w="728"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 </w:t>
            </w:r>
          </w:p>
        </w:tc>
        <w:tc>
          <w:tcPr>
            <w:tcW w:w="1321"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 </w:t>
            </w:r>
          </w:p>
        </w:tc>
      </w:tr>
      <w:tr w:rsidR="00A64028" w:rsidRPr="00422331" w:rsidTr="00A64028">
        <w:tc>
          <w:tcPr>
            <w:tcW w:w="243" w:type="dxa"/>
            <w:vMerge/>
            <w:tcBorders>
              <w:top w:val="nil"/>
              <w:left w:val="single" w:sz="4" w:space="0" w:color="auto"/>
              <w:bottom w:val="single" w:sz="4" w:space="0" w:color="auto"/>
              <w:right w:val="single" w:sz="4" w:space="0" w:color="auto"/>
            </w:tcBorders>
            <w:vAlign w:val="center"/>
            <w:hideMark/>
          </w:tcPr>
          <w:p w:rsidR="00A64028" w:rsidRPr="00422331" w:rsidRDefault="00A64028" w:rsidP="00103148">
            <w:pPr>
              <w:spacing w:after="0"/>
              <w:rPr>
                <w:rFonts w:ascii="Arial Narrow" w:hAnsi="Arial Narrow"/>
                <w:sz w:val="17"/>
                <w:szCs w:val="17"/>
              </w:rPr>
            </w:pPr>
          </w:p>
        </w:tc>
        <w:tc>
          <w:tcPr>
            <w:tcW w:w="35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ind w:left="192"/>
              <w:rPr>
                <w:rFonts w:ascii="Arial Narrow" w:hAnsi="Arial Narrow"/>
                <w:sz w:val="17"/>
                <w:szCs w:val="17"/>
              </w:rPr>
            </w:pPr>
            <w:r w:rsidRPr="00422331">
              <w:rPr>
                <w:rFonts w:ascii="Arial Narrow" w:hAnsi="Arial Narrow"/>
                <w:sz w:val="17"/>
                <w:szCs w:val="17"/>
              </w:rPr>
              <w:t>В т. ч. городское поселение рабочий поселок Станционно-Ояшинский</w:t>
            </w:r>
          </w:p>
        </w:tc>
        <w:tc>
          <w:tcPr>
            <w:tcW w:w="850"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5527</w:t>
            </w:r>
          </w:p>
        </w:tc>
        <w:tc>
          <w:tcPr>
            <w:tcW w:w="81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0</w:t>
            </w:r>
          </w:p>
        </w:tc>
        <w:tc>
          <w:tcPr>
            <w:tcW w:w="8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0</w:t>
            </w:r>
          </w:p>
        </w:tc>
        <w:tc>
          <w:tcPr>
            <w:tcW w:w="886" w:type="dxa"/>
            <w:vMerge/>
            <w:tcBorders>
              <w:top w:val="nil"/>
              <w:left w:val="single" w:sz="4" w:space="0" w:color="auto"/>
              <w:bottom w:val="single" w:sz="4" w:space="0" w:color="auto"/>
              <w:right w:val="single" w:sz="4" w:space="0" w:color="auto"/>
            </w:tcBorders>
            <w:vAlign w:val="center"/>
            <w:hideMark/>
          </w:tcPr>
          <w:p w:rsidR="00A64028" w:rsidRPr="00422331" w:rsidRDefault="00A64028" w:rsidP="00103148">
            <w:pPr>
              <w:spacing w:after="0"/>
              <w:rPr>
                <w:rFonts w:ascii="Arial Narrow" w:hAnsi="Arial Narrow"/>
                <w:sz w:val="17"/>
                <w:szCs w:val="17"/>
              </w:rPr>
            </w:pPr>
          </w:p>
        </w:tc>
        <w:tc>
          <w:tcPr>
            <w:tcW w:w="85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w:t>
            </w:r>
          </w:p>
        </w:tc>
        <w:tc>
          <w:tcPr>
            <w:tcW w:w="728"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 </w:t>
            </w:r>
          </w:p>
        </w:tc>
        <w:tc>
          <w:tcPr>
            <w:tcW w:w="1321"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 </w:t>
            </w:r>
          </w:p>
        </w:tc>
      </w:tr>
      <w:tr w:rsidR="00A64028" w:rsidRPr="00422331" w:rsidTr="00A64028">
        <w:tc>
          <w:tcPr>
            <w:tcW w:w="243" w:type="dxa"/>
            <w:vMerge w:val="restart"/>
            <w:tcBorders>
              <w:top w:val="nil"/>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24</w:t>
            </w:r>
          </w:p>
        </w:tc>
        <w:tc>
          <w:tcPr>
            <w:tcW w:w="35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ind w:left="192"/>
              <w:rPr>
                <w:rFonts w:ascii="Arial Narrow" w:hAnsi="Arial Narrow"/>
                <w:b/>
                <w:bCs/>
                <w:sz w:val="17"/>
                <w:szCs w:val="17"/>
              </w:rPr>
            </w:pPr>
            <w:r w:rsidRPr="00422331">
              <w:rPr>
                <w:rFonts w:ascii="Arial Narrow" w:hAnsi="Arial Narrow"/>
                <w:b/>
                <w:bCs/>
                <w:sz w:val="17"/>
                <w:szCs w:val="17"/>
              </w:rPr>
              <w:t>Новосибирский муниципальный район</w:t>
            </w:r>
          </w:p>
        </w:tc>
        <w:tc>
          <w:tcPr>
            <w:tcW w:w="850"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22913</w:t>
            </w:r>
          </w:p>
        </w:tc>
        <w:tc>
          <w:tcPr>
            <w:tcW w:w="81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103644</w:t>
            </w:r>
          </w:p>
        </w:tc>
        <w:tc>
          <w:tcPr>
            <w:tcW w:w="8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126557</w:t>
            </w:r>
          </w:p>
        </w:tc>
        <w:tc>
          <w:tcPr>
            <w:tcW w:w="886"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13</w:t>
            </w:r>
          </w:p>
        </w:tc>
        <w:tc>
          <w:tcPr>
            <w:tcW w:w="85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57</w:t>
            </w:r>
          </w:p>
        </w:tc>
        <w:tc>
          <w:tcPr>
            <w:tcW w:w="728"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70</w:t>
            </w:r>
          </w:p>
        </w:tc>
        <w:tc>
          <w:tcPr>
            <w:tcW w:w="1321"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11,71</w:t>
            </w:r>
          </w:p>
        </w:tc>
      </w:tr>
      <w:tr w:rsidR="00A64028" w:rsidRPr="00422331" w:rsidTr="00A64028">
        <w:tc>
          <w:tcPr>
            <w:tcW w:w="243" w:type="dxa"/>
            <w:vMerge/>
            <w:tcBorders>
              <w:top w:val="nil"/>
              <w:left w:val="single" w:sz="4" w:space="0" w:color="auto"/>
              <w:bottom w:val="single" w:sz="4" w:space="0" w:color="auto"/>
              <w:right w:val="single" w:sz="4" w:space="0" w:color="auto"/>
            </w:tcBorders>
            <w:vAlign w:val="center"/>
            <w:hideMark/>
          </w:tcPr>
          <w:p w:rsidR="00A64028" w:rsidRPr="00422331" w:rsidRDefault="00A64028" w:rsidP="00103148">
            <w:pPr>
              <w:spacing w:after="0"/>
              <w:rPr>
                <w:rFonts w:ascii="Arial Narrow" w:hAnsi="Arial Narrow"/>
                <w:sz w:val="17"/>
                <w:szCs w:val="17"/>
              </w:rPr>
            </w:pPr>
          </w:p>
        </w:tc>
        <w:tc>
          <w:tcPr>
            <w:tcW w:w="35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ind w:left="192"/>
              <w:rPr>
                <w:rFonts w:ascii="Arial Narrow" w:hAnsi="Arial Narrow"/>
                <w:sz w:val="17"/>
                <w:szCs w:val="17"/>
              </w:rPr>
            </w:pPr>
            <w:r w:rsidRPr="00422331">
              <w:rPr>
                <w:rFonts w:ascii="Arial Narrow" w:hAnsi="Arial Narrow"/>
                <w:sz w:val="17"/>
                <w:szCs w:val="17"/>
              </w:rPr>
              <w:t>В т. ч. городское поселение рабочий поселок Краснообск</w:t>
            </w:r>
          </w:p>
        </w:tc>
        <w:tc>
          <w:tcPr>
            <w:tcW w:w="850"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22913</w:t>
            </w:r>
          </w:p>
        </w:tc>
        <w:tc>
          <w:tcPr>
            <w:tcW w:w="81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0</w:t>
            </w:r>
          </w:p>
        </w:tc>
        <w:tc>
          <w:tcPr>
            <w:tcW w:w="8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0</w:t>
            </w:r>
          </w:p>
        </w:tc>
        <w:tc>
          <w:tcPr>
            <w:tcW w:w="886"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13</w:t>
            </w:r>
          </w:p>
        </w:tc>
        <w:tc>
          <w:tcPr>
            <w:tcW w:w="85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w:t>
            </w:r>
          </w:p>
        </w:tc>
        <w:tc>
          <w:tcPr>
            <w:tcW w:w="728"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 </w:t>
            </w:r>
          </w:p>
        </w:tc>
        <w:tc>
          <w:tcPr>
            <w:tcW w:w="1321"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 </w:t>
            </w:r>
          </w:p>
        </w:tc>
      </w:tr>
      <w:tr w:rsidR="00A64028" w:rsidRPr="00422331" w:rsidTr="00A64028">
        <w:tc>
          <w:tcPr>
            <w:tcW w:w="243" w:type="dxa"/>
            <w:vMerge w:val="restart"/>
            <w:tcBorders>
              <w:top w:val="nil"/>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25</w:t>
            </w:r>
          </w:p>
        </w:tc>
        <w:tc>
          <w:tcPr>
            <w:tcW w:w="35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ind w:left="192"/>
              <w:rPr>
                <w:rFonts w:ascii="Arial Narrow" w:hAnsi="Arial Narrow"/>
                <w:b/>
                <w:bCs/>
                <w:sz w:val="17"/>
                <w:szCs w:val="17"/>
              </w:rPr>
            </w:pPr>
            <w:r w:rsidRPr="00422331">
              <w:rPr>
                <w:rFonts w:ascii="Arial Narrow" w:hAnsi="Arial Narrow"/>
                <w:b/>
                <w:bCs/>
                <w:sz w:val="17"/>
                <w:szCs w:val="17"/>
              </w:rPr>
              <w:t>Ордынский муниципальный район</w:t>
            </w:r>
          </w:p>
        </w:tc>
        <w:tc>
          <w:tcPr>
            <w:tcW w:w="850"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9616</w:t>
            </w:r>
          </w:p>
        </w:tc>
        <w:tc>
          <w:tcPr>
            <w:tcW w:w="81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25831</w:t>
            </w:r>
          </w:p>
        </w:tc>
        <w:tc>
          <w:tcPr>
            <w:tcW w:w="8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35447</w:t>
            </w:r>
          </w:p>
        </w:tc>
        <w:tc>
          <w:tcPr>
            <w:tcW w:w="886"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19</w:t>
            </w:r>
          </w:p>
        </w:tc>
        <w:tc>
          <w:tcPr>
            <w:tcW w:w="85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51</w:t>
            </w:r>
          </w:p>
        </w:tc>
        <w:tc>
          <w:tcPr>
            <w:tcW w:w="728"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70</w:t>
            </w:r>
          </w:p>
        </w:tc>
        <w:tc>
          <w:tcPr>
            <w:tcW w:w="1321"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11,7</w:t>
            </w:r>
          </w:p>
        </w:tc>
      </w:tr>
      <w:tr w:rsidR="00A64028" w:rsidRPr="00422331" w:rsidTr="00A64028">
        <w:tc>
          <w:tcPr>
            <w:tcW w:w="243" w:type="dxa"/>
            <w:vMerge/>
            <w:tcBorders>
              <w:top w:val="nil"/>
              <w:left w:val="single" w:sz="4" w:space="0" w:color="auto"/>
              <w:bottom w:val="single" w:sz="4" w:space="0" w:color="auto"/>
              <w:right w:val="single" w:sz="4" w:space="0" w:color="auto"/>
            </w:tcBorders>
            <w:vAlign w:val="center"/>
            <w:hideMark/>
          </w:tcPr>
          <w:p w:rsidR="00A64028" w:rsidRPr="00422331" w:rsidRDefault="00A64028" w:rsidP="00103148">
            <w:pPr>
              <w:spacing w:after="0"/>
              <w:rPr>
                <w:rFonts w:ascii="Arial Narrow" w:hAnsi="Arial Narrow"/>
                <w:sz w:val="17"/>
                <w:szCs w:val="17"/>
              </w:rPr>
            </w:pPr>
          </w:p>
        </w:tc>
        <w:tc>
          <w:tcPr>
            <w:tcW w:w="35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ind w:left="192"/>
              <w:rPr>
                <w:rFonts w:ascii="Arial Narrow" w:hAnsi="Arial Narrow"/>
                <w:sz w:val="17"/>
                <w:szCs w:val="17"/>
              </w:rPr>
            </w:pPr>
            <w:r w:rsidRPr="00422331">
              <w:rPr>
                <w:rFonts w:ascii="Arial Narrow" w:hAnsi="Arial Narrow"/>
                <w:sz w:val="17"/>
                <w:szCs w:val="17"/>
              </w:rPr>
              <w:t>В т. ч. городское поселение рабочий поселок Ордынское</w:t>
            </w:r>
          </w:p>
        </w:tc>
        <w:tc>
          <w:tcPr>
            <w:tcW w:w="850"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9616</w:t>
            </w:r>
          </w:p>
        </w:tc>
        <w:tc>
          <w:tcPr>
            <w:tcW w:w="81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0</w:t>
            </w:r>
          </w:p>
        </w:tc>
        <w:tc>
          <w:tcPr>
            <w:tcW w:w="8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0</w:t>
            </w:r>
          </w:p>
        </w:tc>
        <w:tc>
          <w:tcPr>
            <w:tcW w:w="886"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19</w:t>
            </w:r>
          </w:p>
        </w:tc>
        <w:tc>
          <w:tcPr>
            <w:tcW w:w="85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w:t>
            </w:r>
          </w:p>
        </w:tc>
        <w:tc>
          <w:tcPr>
            <w:tcW w:w="728"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 </w:t>
            </w:r>
          </w:p>
        </w:tc>
        <w:tc>
          <w:tcPr>
            <w:tcW w:w="1321"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 </w:t>
            </w:r>
          </w:p>
        </w:tc>
      </w:tr>
      <w:tr w:rsidR="00A64028" w:rsidRPr="00422331" w:rsidTr="00A64028">
        <w:tc>
          <w:tcPr>
            <w:tcW w:w="243" w:type="dxa"/>
            <w:tcBorders>
              <w:top w:val="nil"/>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26</w:t>
            </w:r>
          </w:p>
        </w:tc>
        <w:tc>
          <w:tcPr>
            <w:tcW w:w="35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ind w:left="192"/>
              <w:rPr>
                <w:rFonts w:ascii="Arial Narrow" w:hAnsi="Arial Narrow"/>
                <w:b/>
                <w:bCs/>
                <w:sz w:val="17"/>
                <w:szCs w:val="17"/>
              </w:rPr>
            </w:pPr>
            <w:r w:rsidRPr="00422331">
              <w:rPr>
                <w:rFonts w:ascii="Arial Narrow" w:hAnsi="Arial Narrow"/>
                <w:b/>
                <w:bCs/>
                <w:sz w:val="17"/>
                <w:szCs w:val="17"/>
              </w:rPr>
              <w:t>Северный муниципальный район</w:t>
            </w:r>
          </w:p>
        </w:tc>
        <w:tc>
          <w:tcPr>
            <w:tcW w:w="850"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0</w:t>
            </w:r>
          </w:p>
        </w:tc>
        <w:tc>
          <w:tcPr>
            <w:tcW w:w="81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9720</w:t>
            </w:r>
          </w:p>
        </w:tc>
        <w:tc>
          <w:tcPr>
            <w:tcW w:w="8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9720</w:t>
            </w:r>
          </w:p>
        </w:tc>
        <w:tc>
          <w:tcPr>
            <w:tcW w:w="886"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0</w:t>
            </w:r>
          </w:p>
        </w:tc>
        <w:tc>
          <w:tcPr>
            <w:tcW w:w="85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70</w:t>
            </w:r>
          </w:p>
        </w:tc>
        <w:tc>
          <w:tcPr>
            <w:tcW w:w="728"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70</w:t>
            </w:r>
          </w:p>
        </w:tc>
        <w:tc>
          <w:tcPr>
            <w:tcW w:w="1321"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11,67</w:t>
            </w:r>
          </w:p>
        </w:tc>
      </w:tr>
      <w:tr w:rsidR="00A64028" w:rsidRPr="00422331" w:rsidTr="00A64028">
        <w:tc>
          <w:tcPr>
            <w:tcW w:w="243" w:type="dxa"/>
            <w:vMerge w:val="restart"/>
            <w:tcBorders>
              <w:top w:val="nil"/>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27</w:t>
            </w:r>
          </w:p>
        </w:tc>
        <w:tc>
          <w:tcPr>
            <w:tcW w:w="35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ind w:left="192"/>
              <w:rPr>
                <w:rFonts w:ascii="Arial Narrow" w:hAnsi="Arial Narrow"/>
                <w:b/>
                <w:bCs/>
                <w:sz w:val="17"/>
                <w:szCs w:val="17"/>
              </w:rPr>
            </w:pPr>
            <w:r w:rsidRPr="00422331">
              <w:rPr>
                <w:rFonts w:ascii="Arial Narrow" w:hAnsi="Arial Narrow"/>
                <w:b/>
                <w:bCs/>
                <w:sz w:val="17"/>
                <w:szCs w:val="17"/>
              </w:rPr>
              <w:t>Сузунский муниципальный район</w:t>
            </w:r>
          </w:p>
        </w:tc>
        <w:tc>
          <w:tcPr>
            <w:tcW w:w="850"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15798</w:t>
            </w:r>
          </w:p>
        </w:tc>
        <w:tc>
          <w:tcPr>
            <w:tcW w:w="81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16526</w:t>
            </w:r>
          </w:p>
        </w:tc>
        <w:tc>
          <w:tcPr>
            <w:tcW w:w="8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32324</w:t>
            </w:r>
          </w:p>
        </w:tc>
        <w:tc>
          <w:tcPr>
            <w:tcW w:w="886"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34</w:t>
            </w:r>
          </w:p>
        </w:tc>
        <w:tc>
          <w:tcPr>
            <w:tcW w:w="85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36</w:t>
            </w:r>
          </w:p>
        </w:tc>
        <w:tc>
          <w:tcPr>
            <w:tcW w:w="728"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70</w:t>
            </w:r>
          </w:p>
        </w:tc>
        <w:tc>
          <w:tcPr>
            <w:tcW w:w="1321"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11,69</w:t>
            </w:r>
          </w:p>
        </w:tc>
      </w:tr>
      <w:tr w:rsidR="00A64028" w:rsidRPr="00422331" w:rsidTr="00A64028">
        <w:tc>
          <w:tcPr>
            <w:tcW w:w="243" w:type="dxa"/>
            <w:vMerge/>
            <w:tcBorders>
              <w:top w:val="nil"/>
              <w:left w:val="single" w:sz="4" w:space="0" w:color="auto"/>
              <w:bottom w:val="single" w:sz="4" w:space="0" w:color="auto"/>
              <w:right w:val="single" w:sz="4" w:space="0" w:color="auto"/>
            </w:tcBorders>
            <w:vAlign w:val="center"/>
            <w:hideMark/>
          </w:tcPr>
          <w:p w:rsidR="00A64028" w:rsidRPr="00422331" w:rsidRDefault="00A64028" w:rsidP="00103148">
            <w:pPr>
              <w:spacing w:after="0"/>
              <w:rPr>
                <w:rFonts w:ascii="Arial Narrow" w:hAnsi="Arial Narrow"/>
                <w:sz w:val="17"/>
                <w:szCs w:val="17"/>
              </w:rPr>
            </w:pPr>
          </w:p>
        </w:tc>
        <w:tc>
          <w:tcPr>
            <w:tcW w:w="35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ind w:left="192"/>
              <w:rPr>
                <w:rFonts w:ascii="Arial Narrow" w:hAnsi="Arial Narrow"/>
                <w:sz w:val="17"/>
                <w:szCs w:val="17"/>
              </w:rPr>
            </w:pPr>
            <w:r w:rsidRPr="00422331">
              <w:rPr>
                <w:rFonts w:ascii="Arial Narrow" w:hAnsi="Arial Narrow"/>
                <w:sz w:val="17"/>
                <w:szCs w:val="17"/>
              </w:rPr>
              <w:t>В т. ч. городское поселение рабочий поселок Сузун</w:t>
            </w:r>
          </w:p>
        </w:tc>
        <w:tc>
          <w:tcPr>
            <w:tcW w:w="850"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15798</w:t>
            </w:r>
          </w:p>
        </w:tc>
        <w:tc>
          <w:tcPr>
            <w:tcW w:w="81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0</w:t>
            </w:r>
          </w:p>
        </w:tc>
        <w:tc>
          <w:tcPr>
            <w:tcW w:w="8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0</w:t>
            </w:r>
          </w:p>
        </w:tc>
        <w:tc>
          <w:tcPr>
            <w:tcW w:w="886"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34</w:t>
            </w:r>
          </w:p>
        </w:tc>
        <w:tc>
          <w:tcPr>
            <w:tcW w:w="85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w:t>
            </w:r>
          </w:p>
        </w:tc>
        <w:tc>
          <w:tcPr>
            <w:tcW w:w="728"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 </w:t>
            </w:r>
          </w:p>
        </w:tc>
        <w:tc>
          <w:tcPr>
            <w:tcW w:w="1321"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 </w:t>
            </w:r>
          </w:p>
        </w:tc>
      </w:tr>
      <w:tr w:rsidR="00A64028" w:rsidRPr="00422331" w:rsidTr="00A64028">
        <w:tc>
          <w:tcPr>
            <w:tcW w:w="243" w:type="dxa"/>
            <w:vMerge w:val="restart"/>
            <w:tcBorders>
              <w:top w:val="nil"/>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28</w:t>
            </w:r>
          </w:p>
        </w:tc>
        <w:tc>
          <w:tcPr>
            <w:tcW w:w="35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ind w:left="192"/>
              <w:rPr>
                <w:rFonts w:ascii="Arial Narrow" w:hAnsi="Arial Narrow"/>
                <w:b/>
                <w:bCs/>
                <w:sz w:val="17"/>
                <w:szCs w:val="17"/>
              </w:rPr>
            </w:pPr>
            <w:r w:rsidRPr="00422331">
              <w:rPr>
                <w:rFonts w:ascii="Arial Narrow" w:hAnsi="Arial Narrow"/>
                <w:b/>
                <w:bCs/>
                <w:sz w:val="17"/>
                <w:szCs w:val="17"/>
              </w:rPr>
              <w:t>Татарский муниципальный район</w:t>
            </w:r>
          </w:p>
        </w:tc>
        <w:tc>
          <w:tcPr>
            <w:tcW w:w="850"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24073</w:t>
            </w:r>
          </w:p>
        </w:tc>
        <w:tc>
          <w:tcPr>
            <w:tcW w:w="81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14865</w:t>
            </w:r>
          </w:p>
        </w:tc>
        <w:tc>
          <w:tcPr>
            <w:tcW w:w="8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38938</w:t>
            </w:r>
          </w:p>
        </w:tc>
        <w:tc>
          <w:tcPr>
            <w:tcW w:w="886"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43</w:t>
            </w:r>
          </w:p>
        </w:tc>
        <w:tc>
          <w:tcPr>
            <w:tcW w:w="85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27</w:t>
            </w:r>
          </w:p>
        </w:tc>
        <w:tc>
          <w:tcPr>
            <w:tcW w:w="728"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70</w:t>
            </w:r>
          </w:p>
        </w:tc>
        <w:tc>
          <w:tcPr>
            <w:tcW w:w="1321"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11,7</w:t>
            </w:r>
          </w:p>
        </w:tc>
      </w:tr>
      <w:tr w:rsidR="00A64028" w:rsidRPr="00422331" w:rsidTr="00A64028">
        <w:tc>
          <w:tcPr>
            <w:tcW w:w="243" w:type="dxa"/>
            <w:vMerge/>
            <w:tcBorders>
              <w:top w:val="nil"/>
              <w:left w:val="single" w:sz="4" w:space="0" w:color="auto"/>
              <w:bottom w:val="single" w:sz="4" w:space="0" w:color="auto"/>
              <w:right w:val="single" w:sz="4" w:space="0" w:color="auto"/>
            </w:tcBorders>
            <w:vAlign w:val="center"/>
            <w:hideMark/>
          </w:tcPr>
          <w:p w:rsidR="00A64028" w:rsidRPr="00422331" w:rsidRDefault="00A64028" w:rsidP="00103148">
            <w:pPr>
              <w:spacing w:after="0"/>
              <w:rPr>
                <w:rFonts w:ascii="Arial Narrow" w:hAnsi="Arial Narrow"/>
                <w:sz w:val="17"/>
                <w:szCs w:val="17"/>
              </w:rPr>
            </w:pPr>
          </w:p>
        </w:tc>
        <w:tc>
          <w:tcPr>
            <w:tcW w:w="35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ind w:left="192"/>
              <w:rPr>
                <w:rFonts w:ascii="Arial Narrow" w:hAnsi="Arial Narrow"/>
                <w:sz w:val="17"/>
                <w:szCs w:val="17"/>
              </w:rPr>
            </w:pPr>
            <w:r w:rsidRPr="00422331">
              <w:rPr>
                <w:rFonts w:ascii="Arial Narrow" w:hAnsi="Arial Narrow"/>
                <w:sz w:val="17"/>
                <w:szCs w:val="17"/>
              </w:rPr>
              <w:t>В т. ч. городское поселение город Татарск</w:t>
            </w:r>
          </w:p>
        </w:tc>
        <w:tc>
          <w:tcPr>
            <w:tcW w:w="850"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24073</w:t>
            </w:r>
          </w:p>
        </w:tc>
        <w:tc>
          <w:tcPr>
            <w:tcW w:w="81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0</w:t>
            </w:r>
          </w:p>
        </w:tc>
        <w:tc>
          <w:tcPr>
            <w:tcW w:w="8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0</w:t>
            </w:r>
          </w:p>
        </w:tc>
        <w:tc>
          <w:tcPr>
            <w:tcW w:w="886"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43</w:t>
            </w:r>
          </w:p>
        </w:tc>
        <w:tc>
          <w:tcPr>
            <w:tcW w:w="85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w:t>
            </w:r>
          </w:p>
        </w:tc>
        <w:tc>
          <w:tcPr>
            <w:tcW w:w="728"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 </w:t>
            </w:r>
          </w:p>
        </w:tc>
        <w:tc>
          <w:tcPr>
            <w:tcW w:w="1321"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 </w:t>
            </w:r>
          </w:p>
        </w:tc>
      </w:tr>
      <w:tr w:rsidR="00A64028" w:rsidRPr="00422331" w:rsidTr="00A64028">
        <w:tc>
          <w:tcPr>
            <w:tcW w:w="243" w:type="dxa"/>
            <w:vMerge w:val="restart"/>
            <w:tcBorders>
              <w:top w:val="nil"/>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29</w:t>
            </w:r>
          </w:p>
        </w:tc>
        <w:tc>
          <w:tcPr>
            <w:tcW w:w="35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ind w:left="192"/>
              <w:rPr>
                <w:rFonts w:ascii="Arial Narrow" w:hAnsi="Arial Narrow"/>
                <w:b/>
                <w:bCs/>
                <w:sz w:val="17"/>
                <w:szCs w:val="17"/>
              </w:rPr>
            </w:pPr>
            <w:r w:rsidRPr="00422331">
              <w:rPr>
                <w:rFonts w:ascii="Arial Narrow" w:hAnsi="Arial Narrow"/>
                <w:b/>
                <w:bCs/>
                <w:sz w:val="17"/>
                <w:szCs w:val="17"/>
              </w:rPr>
              <w:t>Тогучинский муниципальный район</w:t>
            </w:r>
          </w:p>
        </w:tc>
        <w:tc>
          <w:tcPr>
            <w:tcW w:w="850"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30870</w:t>
            </w:r>
          </w:p>
        </w:tc>
        <w:tc>
          <w:tcPr>
            <w:tcW w:w="81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26860</w:t>
            </w:r>
          </w:p>
        </w:tc>
        <w:tc>
          <w:tcPr>
            <w:tcW w:w="8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57730</w:t>
            </w:r>
          </w:p>
        </w:tc>
        <w:tc>
          <w:tcPr>
            <w:tcW w:w="886"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37</w:t>
            </w:r>
          </w:p>
        </w:tc>
        <w:tc>
          <w:tcPr>
            <w:tcW w:w="85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33</w:t>
            </w:r>
          </w:p>
        </w:tc>
        <w:tc>
          <w:tcPr>
            <w:tcW w:w="728"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70</w:t>
            </w:r>
          </w:p>
        </w:tc>
        <w:tc>
          <w:tcPr>
            <w:tcW w:w="1321"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11,71</w:t>
            </w:r>
          </w:p>
        </w:tc>
      </w:tr>
      <w:tr w:rsidR="00A64028" w:rsidRPr="00422331" w:rsidTr="00A64028">
        <w:tc>
          <w:tcPr>
            <w:tcW w:w="243" w:type="dxa"/>
            <w:vMerge/>
            <w:tcBorders>
              <w:top w:val="nil"/>
              <w:left w:val="single" w:sz="4" w:space="0" w:color="auto"/>
              <w:bottom w:val="single" w:sz="4" w:space="0" w:color="auto"/>
              <w:right w:val="single" w:sz="4" w:space="0" w:color="auto"/>
            </w:tcBorders>
            <w:vAlign w:val="center"/>
            <w:hideMark/>
          </w:tcPr>
          <w:p w:rsidR="00A64028" w:rsidRPr="00422331" w:rsidRDefault="00A64028" w:rsidP="00103148">
            <w:pPr>
              <w:spacing w:after="0"/>
              <w:rPr>
                <w:rFonts w:ascii="Arial Narrow" w:hAnsi="Arial Narrow"/>
                <w:sz w:val="17"/>
                <w:szCs w:val="17"/>
              </w:rPr>
            </w:pPr>
          </w:p>
        </w:tc>
        <w:tc>
          <w:tcPr>
            <w:tcW w:w="35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ind w:left="192"/>
              <w:rPr>
                <w:rFonts w:ascii="Arial Narrow" w:hAnsi="Arial Narrow"/>
                <w:sz w:val="17"/>
                <w:szCs w:val="17"/>
              </w:rPr>
            </w:pPr>
            <w:r w:rsidRPr="00422331">
              <w:rPr>
                <w:rFonts w:ascii="Arial Narrow" w:hAnsi="Arial Narrow"/>
                <w:sz w:val="17"/>
                <w:szCs w:val="17"/>
              </w:rPr>
              <w:t>В т. ч. городское поселение город Тогучин</w:t>
            </w:r>
          </w:p>
        </w:tc>
        <w:tc>
          <w:tcPr>
            <w:tcW w:w="850"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21357</w:t>
            </w:r>
          </w:p>
        </w:tc>
        <w:tc>
          <w:tcPr>
            <w:tcW w:w="81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0</w:t>
            </w:r>
          </w:p>
        </w:tc>
        <w:tc>
          <w:tcPr>
            <w:tcW w:w="8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0</w:t>
            </w:r>
          </w:p>
        </w:tc>
        <w:tc>
          <w:tcPr>
            <w:tcW w:w="886" w:type="dxa"/>
            <w:vMerge w:val="restart"/>
            <w:tcBorders>
              <w:top w:val="nil"/>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37</w:t>
            </w:r>
          </w:p>
        </w:tc>
        <w:tc>
          <w:tcPr>
            <w:tcW w:w="85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w:t>
            </w:r>
          </w:p>
        </w:tc>
        <w:tc>
          <w:tcPr>
            <w:tcW w:w="728"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 </w:t>
            </w:r>
          </w:p>
        </w:tc>
        <w:tc>
          <w:tcPr>
            <w:tcW w:w="1321"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 </w:t>
            </w:r>
          </w:p>
        </w:tc>
      </w:tr>
      <w:tr w:rsidR="00A64028" w:rsidRPr="00422331" w:rsidTr="00A64028">
        <w:tc>
          <w:tcPr>
            <w:tcW w:w="243" w:type="dxa"/>
            <w:vMerge/>
            <w:tcBorders>
              <w:top w:val="nil"/>
              <w:left w:val="single" w:sz="4" w:space="0" w:color="auto"/>
              <w:bottom w:val="single" w:sz="4" w:space="0" w:color="auto"/>
              <w:right w:val="single" w:sz="4" w:space="0" w:color="auto"/>
            </w:tcBorders>
            <w:vAlign w:val="center"/>
            <w:hideMark/>
          </w:tcPr>
          <w:p w:rsidR="00A64028" w:rsidRPr="00422331" w:rsidRDefault="00A64028" w:rsidP="00103148">
            <w:pPr>
              <w:spacing w:after="0"/>
              <w:rPr>
                <w:rFonts w:ascii="Arial Narrow" w:hAnsi="Arial Narrow"/>
                <w:sz w:val="17"/>
                <w:szCs w:val="17"/>
              </w:rPr>
            </w:pPr>
          </w:p>
        </w:tc>
        <w:tc>
          <w:tcPr>
            <w:tcW w:w="35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ind w:left="192"/>
              <w:rPr>
                <w:rFonts w:ascii="Arial Narrow" w:hAnsi="Arial Narrow"/>
                <w:sz w:val="17"/>
                <w:szCs w:val="17"/>
              </w:rPr>
            </w:pPr>
            <w:r w:rsidRPr="00422331">
              <w:rPr>
                <w:rFonts w:ascii="Arial Narrow" w:hAnsi="Arial Narrow"/>
                <w:sz w:val="17"/>
                <w:szCs w:val="17"/>
              </w:rPr>
              <w:t>В т. ч. городское поселение рабочий поселок Горный</w:t>
            </w:r>
          </w:p>
        </w:tc>
        <w:tc>
          <w:tcPr>
            <w:tcW w:w="850"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9266</w:t>
            </w:r>
          </w:p>
        </w:tc>
        <w:tc>
          <w:tcPr>
            <w:tcW w:w="81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0</w:t>
            </w:r>
          </w:p>
        </w:tc>
        <w:tc>
          <w:tcPr>
            <w:tcW w:w="8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0</w:t>
            </w:r>
          </w:p>
        </w:tc>
        <w:tc>
          <w:tcPr>
            <w:tcW w:w="886" w:type="dxa"/>
            <w:vMerge/>
            <w:tcBorders>
              <w:top w:val="nil"/>
              <w:left w:val="single" w:sz="4" w:space="0" w:color="auto"/>
              <w:bottom w:val="single" w:sz="4" w:space="0" w:color="auto"/>
              <w:right w:val="single" w:sz="4" w:space="0" w:color="auto"/>
            </w:tcBorders>
            <w:vAlign w:val="center"/>
            <w:hideMark/>
          </w:tcPr>
          <w:p w:rsidR="00A64028" w:rsidRPr="00422331" w:rsidRDefault="00A64028" w:rsidP="00103148">
            <w:pPr>
              <w:spacing w:after="0"/>
              <w:rPr>
                <w:rFonts w:ascii="Arial Narrow" w:hAnsi="Arial Narrow"/>
                <w:sz w:val="17"/>
                <w:szCs w:val="17"/>
              </w:rPr>
            </w:pPr>
          </w:p>
        </w:tc>
        <w:tc>
          <w:tcPr>
            <w:tcW w:w="85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w:t>
            </w:r>
          </w:p>
        </w:tc>
        <w:tc>
          <w:tcPr>
            <w:tcW w:w="728"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 </w:t>
            </w:r>
          </w:p>
        </w:tc>
        <w:tc>
          <w:tcPr>
            <w:tcW w:w="1321"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 </w:t>
            </w:r>
          </w:p>
        </w:tc>
      </w:tr>
      <w:tr w:rsidR="00A64028" w:rsidRPr="00422331" w:rsidTr="00A64028">
        <w:tc>
          <w:tcPr>
            <w:tcW w:w="243" w:type="dxa"/>
            <w:tcBorders>
              <w:top w:val="nil"/>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30</w:t>
            </w:r>
          </w:p>
        </w:tc>
        <w:tc>
          <w:tcPr>
            <w:tcW w:w="35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ind w:left="192"/>
              <w:rPr>
                <w:rFonts w:ascii="Arial Narrow" w:hAnsi="Arial Narrow"/>
                <w:b/>
                <w:bCs/>
                <w:sz w:val="17"/>
                <w:szCs w:val="17"/>
              </w:rPr>
            </w:pPr>
            <w:r w:rsidRPr="00422331">
              <w:rPr>
                <w:rFonts w:ascii="Arial Narrow" w:hAnsi="Arial Narrow"/>
                <w:b/>
                <w:bCs/>
                <w:sz w:val="17"/>
                <w:szCs w:val="17"/>
              </w:rPr>
              <w:t>Убинский муниципальный район</w:t>
            </w:r>
          </w:p>
        </w:tc>
        <w:tc>
          <w:tcPr>
            <w:tcW w:w="850"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0</w:t>
            </w:r>
          </w:p>
        </w:tc>
        <w:tc>
          <w:tcPr>
            <w:tcW w:w="81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14907</w:t>
            </w:r>
          </w:p>
        </w:tc>
        <w:tc>
          <w:tcPr>
            <w:tcW w:w="8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14907</w:t>
            </w:r>
          </w:p>
        </w:tc>
        <w:tc>
          <w:tcPr>
            <w:tcW w:w="886"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0</w:t>
            </w:r>
          </w:p>
        </w:tc>
        <w:tc>
          <w:tcPr>
            <w:tcW w:w="85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70</w:t>
            </w:r>
          </w:p>
        </w:tc>
        <w:tc>
          <w:tcPr>
            <w:tcW w:w="728"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70</w:t>
            </w:r>
          </w:p>
        </w:tc>
        <w:tc>
          <w:tcPr>
            <w:tcW w:w="1321"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11,69</w:t>
            </w:r>
          </w:p>
        </w:tc>
      </w:tr>
      <w:tr w:rsidR="00A64028" w:rsidRPr="00422331" w:rsidTr="00A64028">
        <w:tc>
          <w:tcPr>
            <w:tcW w:w="243" w:type="dxa"/>
            <w:tcBorders>
              <w:top w:val="nil"/>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31</w:t>
            </w:r>
          </w:p>
        </w:tc>
        <w:tc>
          <w:tcPr>
            <w:tcW w:w="35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ind w:left="192"/>
              <w:rPr>
                <w:rFonts w:ascii="Arial Narrow" w:hAnsi="Arial Narrow"/>
                <w:b/>
                <w:bCs/>
                <w:sz w:val="17"/>
                <w:szCs w:val="17"/>
              </w:rPr>
            </w:pPr>
            <w:r w:rsidRPr="00422331">
              <w:rPr>
                <w:rFonts w:ascii="Arial Narrow" w:hAnsi="Arial Narrow"/>
                <w:b/>
                <w:bCs/>
                <w:sz w:val="17"/>
                <w:szCs w:val="17"/>
              </w:rPr>
              <w:t>Усть-Таркский муниципальный район</w:t>
            </w:r>
          </w:p>
        </w:tc>
        <w:tc>
          <w:tcPr>
            <w:tcW w:w="850"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0</w:t>
            </w:r>
          </w:p>
        </w:tc>
        <w:tc>
          <w:tcPr>
            <w:tcW w:w="81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11604</w:t>
            </w:r>
          </w:p>
        </w:tc>
        <w:tc>
          <w:tcPr>
            <w:tcW w:w="8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11604</w:t>
            </w:r>
          </w:p>
        </w:tc>
        <w:tc>
          <w:tcPr>
            <w:tcW w:w="886"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0</w:t>
            </w:r>
          </w:p>
        </w:tc>
        <w:tc>
          <w:tcPr>
            <w:tcW w:w="85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70</w:t>
            </w:r>
          </w:p>
        </w:tc>
        <w:tc>
          <w:tcPr>
            <w:tcW w:w="728"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70</w:t>
            </w:r>
          </w:p>
        </w:tc>
        <w:tc>
          <w:tcPr>
            <w:tcW w:w="1321"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11,68</w:t>
            </w:r>
          </w:p>
        </w:tc>
      </w:tr>
      <w:tr w:rsidR="00A64028" w:rsidRPr="00422331" w:rsidTr="00A64028">
        <w:tc>
          <w:tcPr>
            <w:tcW w:w="243" w:type="dxa"/>
            <w:vMerge w:val="restart"/>
            <w:tcBorders>
              <w:top w:val="nil"/>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32</w:t>
            </w:r>
          </w:p>
        </w:tc>
        <w:tc>
          <w:tcPr>
            <w:tcW w:w="35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ind w:left="192"/>
              <w:rPr>
                <w:rFonts w:ascii="Arial Narrow" w:hAnsi="Arial Narrow"/>
                <w:sz w:val="17"/>
                <w:szCs w:val="17"/>
              </w:rPr>
            </w:pPr>
            <w:r w:rsidRPr="00422331">
              <w:rPr>
                <w:rFonts w:ascii="Arial Narrow" w:hAnsi="Arial Narrow"/>
                <w:sz w:val="17"/>
                <w:szCs w:val="17"/>
              </w:rPr>
              <w:t>Чановский муниципальный район</w:t>
            </w:r>
          </w:p>
        </w:tc>
        <w:tc>
          <w:tcPr>
            <w:tcW w:w="850"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8693</w:t>
            </w:r>
          </w:p>
        </w:tc>
        <w:tc>
          <w:tcPr>
            <w:tcW w:w="81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15278</w:t>
            </w:r>
          </w:p>
        </w:tc>
        <w:tc>
          <w:tcPr>
            <w:tcW w:w="8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23971</w:t>
            </w:r>
          </w:p>
        </w:tc>
        <w:tc>
          <w:tcPr>
            <w:tcW w:w="886"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25</w:t>
            </w:r>
          </w:p>
        </w:tc>
        <w:tc>
          <w:tcPr>
            <w:tcW w:w="85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45</w:t>
            </w:r>
          </w:p>
        </w:tc>
        <w:tc>
          <w:tcPr>
            <w:tcW w:w="728"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70</w:t>
            </w:r>
          </w:p>
        </w:tc>
        <w:tc>
          <w:tcPr>
            <w:tcW w:w="1321"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11,7</w:t>
            </w:r>
          </w:p>
        </w:tc>
      </w:tr>
      <w:tr w:rsidR="00A64028" w:rsidRPr="00422331" w:rsidTr="00A64028">
        <w:tc>
          <w:tcPr>
            <w:tcW w:w="243" w:type="dxa"/>
            <w:vMerge/>
            <w:tcBorders>
              <w:top w:val="nil"/>
              <w:left w:val="single" w:sz="4" w:space="0" w:color="auto"/>
              <w:bottom w:val="single" w:sz="4" w:space="0" w:color="auto"/>
              <w:right w:val="single" w:sz="4" w:space="0" w:color="auto"/>
            </w:tcBorders>
            <w:vAlign w:val="center"/>
            <w:hideMark/>
          </w:tcPr>
          <w:p w:rsidR="00A64028" w:rsidRPr="00422331" w:rsidRDefault="00A64028" w:rsidP="00103148">
            <w:pPr>
              <w:spacing w:after="0"/>
              <w:rPr>
                <w:rFonts w:ascii="Arial Narrow" w:hAnsi="Arial Narrow"/>
                <w:sz w:val="17"/>
                <w:szCs w:val="17"/>
              </w:rPr>
            </w:pPr>
          </w:p>
        </w:tc>
        <w:tc>
          <w:tcPr>
            <w:tcW w:w="35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ind w:left="192"/>
              <w:rPr>
                <w:rFonts w:ascii="Arial Narrow" w:hAnsi="Arial Narrow"/>
                <w:sz w:val="17"/>
                <w:szCs w:val="17"/>
              </w:rPr>
            </w:pPr>
            <w:r w:rsidRPr="00422331">
              <w:rPr>
                <w:rFonts w:ascii="Arial Narrow" w:hAnsi="Arial Narrow"/>
                <w:sz w:val="17"/>
                <w:szCs w:val="17"/>
              </w:rPr>
              <w:t>В т. ч. городское поселение рабочий поселок Чаны</w:t>
            </w:r>
          </w:p>
        </w:tc>
        <w:tc>
          <w:tcPr>
            <w:tcW w:w="850"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8693</w:t>
            </w:r>
          </w:p>
        </w:tc>
        <w:tc>
          <w:tcPr>
            <w:tcW w:w="81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0</w:t>
            </w:r>
          </w:p>
        </w:tc>
        <w:tc>
          <w:tcPr>
            <w:tcW w:w="8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0</w:t>
            </w:r>
          </w:p>
        </w:tc>
        <w:tc>
          <w:tcPr>
            <w:tcW w:w="886"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25</w:t>
            </w:r>
          </w:p>
        </w:tc>
        <w:tc>
          <w:tcPr>
            <w:tcW w:w="85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w:t>
            </w:r>
          </w:p>
        </w:tc>
        <w:tc>
          <w:tcPr>
            <w:tcW w:w="728"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 </w:t>
            </w:r>
          </w:p>
        </w:tc>
        <w:tc>
          <w:tcPr>
            <w:tcW w:w="1321"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 </w:t>
            </w:r>
          </w:p>
        </w:tc>
      </w:tr>
      <w:tr w:rsidR="00A64028" w:rsidRPr="00422331" w:rsidTr="00A64028">
        <w:tc>
          <w:tcPr>
            <w:tcW w:w="243" w:type="dxa"/>
            <w:vMerge w:val="restart"/>
            <w:tcBorders>
              <w:top w:val="nil"/>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33</w:t>
            </w:r>
          </w:p>
        </w:tc>
        <w:tc>
          <w:tcPr>
            <w:tcW w:w="35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ind w:left="192"/>
              <w:rPr>
                <w:rFonts w:ascii="Arial Narrow" w:hAnsi="Arial Narrow"/>
                <w:b/>
                <w:bCs/>
                <w:sz w:val="17"/>
                <w:szCs w:val="17"/>
              </w:rPr>
            </w:pPr>
            <w:r w:rsidRPr="00422331">
              <w:rPr>
                <w:rFonts w:ascii="Arial Narrow" w:hAnsi="Arial Narrow"/>
                <w:b/>
                <w:bCs/>
                <w:sz w:val="17"/>
                <w:szCs w:val="17"/>
              </w:rPr>
              <w:t>Черепановский муниципальный район</w:t>
            </w:r>
          </w:p>
        </w:tc>
        <w:tc>
          <w:tcPr>
            <w:tcW w:w="850"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28254</w:t>
            </w:r>
          </w:p>
        </w:tc>
        <w:tc>
          <w:tcPr>
            <w:tcW w:w="81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19456</w:t>
            </w:r>
          </w:p>
        </w:tc>
        <w:tc>
          <w:tcPr>
            <w:tcW w:w="8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47710</w:t>
            </w:r>
          </w:p>
        </w:tc>
        <w:tc>
          <w:tcPr>
            <w:tcW w:w="886"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41</w:t>
            </w:r>
          </w:p>
        </w:tc>
        <w:tc>
          <w:tcPr>
            <w:tcW w:w="85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29</w:t>
            </w:r>
          </w:p>
        </w:tc>
        <w:tc>
          <w:tcPr>
            <w:tcW w:w="728"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70</w:t>
            </w:r>
          </w:p>
        </w:tc>
        <w:tc>
          <w:tcPr>
            <w:tcW w:w="1321"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11,7</w:t>
            </w:r>
          </w:p>
        </w:tc>
      </w:tr>
      <w:tr w:rsidR="00A64028" w:rsidRPr="00422331" w:rsidTr="00A64028">
        <w:tc>
          <w:tcPr>
            <w:tcW w:w="243" w:type="dxa"/>
            <w:vMerge/>
            <w:tcBorders>
              <w:top w:val="nil"/>
              <w:left w:val="single" w:sz="4" w:space="0" w:color="auto"/>
              <w:bottom w:val="single" w:sz="4" w:space="0" w:color="auto"/>
              <w:right w:val="single" w:sz="4" w:space="0" w:color="auto"/>
            </w:tcBorders>
            <w:vAlign w:val="center"/>
            <w:hideMark/>
          </w:tcPr>
          <w:p w:rsidR="00A64028" w:rsidRPr="00422331" w:rsidRDefault="00A64028" w:rsidP="00103148">
            <w:pPr>
              <w:spacing w:after="0"/>
              <w:rPr>
                <w:rFonts w:ascii="Arial Narrow" w:hAnsi="Arial Narrow"/>
                <w:sz w:val="17"/>
                <w:szCs w:val="17"/>
              </w:rPr>
            </w:pPr>
          </w:p>
        </w:tc>
        <w:tc>
          <w:tcPr>
            <w:tcW w:w="35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ind w:left="192"/>
              <w:rPr>
                <w:rFonts w:ascii="Arial Narrow" w:hAnsi="Arial Narrow"/>
                <w:sz w:val="17"/>
                <w:szCs w:val="17"/>
              </w:rPr>
            </w:pPr>
            <w:r w:rsidRPr="00422331">
              <w:rPr>
                <w:rFonts w:ascii="Arial Narrow" w:hAnsi="Arial Narrow"/>
                <w:sz w:val="17"/>
                <w:szCs w:val="17"/>
              </w:rPr>
              <w:t>В т. ч. городское поселение город Черепаново</w:t>
            </w:r>
          </w:p>
        </w:tc>
        <w:tc>
          <w:tcPr>
            <w:tcW w:w="850"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19570</w:t>
            </w:r>
          </w:p>
        </w:tc>
        <w:tc>
          <w:tcPr>
            <w:tcW w:w="81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0</w:t>
            </w:r>
          </w:p>
        </w:tc>
        <w:tc>
          <w:tcPr>
            <w:tcW w:w="8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0</w:t>
            </w:r>
          </w:p>
        </w:tc>
        <w:tc>
          <w:tcPr>
            <w:tcW w:w="886" w:type="dxa"/>
            <w:vMerge w:val="restart"/>
            <w:tcBorders>
              <w:top w:val="nil"/>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41</w:t>
            </w:r>
          </w:p>
        </w:tc>
        <w:tc>
          <w:tcPr>
            <w:tcW w:w="85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w:t>
            </w:r>
          </w:p>
        </w:tc>
        <w:tc>
          <w:tcPr>
            <w:tcW w:w="728"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 </w:t>
            </w:r>
          </w:p>
        </w:tc>
        <w:tc>
          <w:tcPr>
            <w:tcW w:w="1321"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 </w:t>
            </w:r>
          </w:p>
        </w:tc>
      </w:tr>
      <w:tr w:rsidR="00A64028" w:rsidRPr="00422331" w:rsidTr="00A64028">
        <w:tc>
          <w:tcPr>
            <w:tcW w:w="243" w:type="dxa"/>
            <w:vMerge/>
            <w:tcBorders>
              <w:top w:val="nil"/>
              <w:left w:val="single" w:sz="4" w:space="0" w:color="auto"/>
              <w:bottom w:val="single" w:sz="4" w:space="0" w:color="auto"/>
              <w:right w:val="single" w:sz="4" w:space="0" w:color="auto"/>
            </w:tcBorders>
            <w:vAlign w:val="center"/>
            <w:hideMark/>
          </w:tcPr>
          <w:p w:rsidR="00A64028" w:rsidRPr="00422331" w:rsidRDefault="00A64028" w:rsidP="00103148">
            <w:pPr>
              <w:spacing w:after="0"/>
              <w:rPr>
                <w:rFonts w:ascii="Arial Narrow" w:hAnsi="Arial Narrow"/>
                <w:sz w:val="17"/>
                <w:szCs w:val="17"/>
              </w:rPr>
            </w:pPr>
          </w:p>
        </w:tc>
        <w:tc>
          <w:tcPr>
            <w:tcW w:w="35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ind w:left="192"/>
              <w:rPr>
                <w:rFonts w:ascii="Arial Narrow" w:hAnsi="Arial Narrow"/>
                <w:sz w:val="17"/>
                <w:szCs w:val="17"/>
              </w:rPr>
            </w:pPr>
            <w:r w:rsidRPr="00422331">
              <w:rPr>
                <w:rFonts w:ascii="Arial Narrow" w:hAnsi="Arial Narrow"/>
                <w:sz w:val="17"/>
                <w:szCs w:val="17"/>
              </w:rPr>
              <w:t>В т. ч. городское поселение рабочий поселок Дорогино</w:t>
            </w:r>
          </w:p>
        </w:tc>
        <w:tc>
          <w:tcPr>
            <w:tcW w:w="850"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3876</w:t>
            </w:r>
          </w:p>
        </w:tc>
        <w:tc>
          <w:tcPr>
            <w:tcW w:w="81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0</w:t>
            </w:r>
          </w:p>
        </w:tc>
        <w:tc>
          <w:tcPr>
            <w:tcW w:w="8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0</w:t>
            </w:r>
          </w:p>
        </w:tc>
        <w:tc>
          <w:tcPr>
            <w:tcW w:w="886" w:type="dxa"/>
            <w:vMerge/>
            <w:tcBorders>
              <w:top w:val="nil"/>
              <w:left w:val="single" w:sz="4" w:space="0" w:color="auto"/>
              <w:bottom w:val="single" w:sz="4" w:space="0" w:color="auto"/>
              <w:right w:val="single" w:sz="4" w:space="0" w:color="auto"/>
            </w:tcBorders>
            <w:vAlign w:val="center"/>
            <w:hideMark/>
          </w:tcPr>
          <w:p w:rsidR="00A64028" w:rsidRPr="00422331" w:rsidRDefault="00A64028" w:rsidP="00103148">
            <w:pPr>
              <w:spacing w:after="0"/>
              <w:rPr>
                <w:rFonts w:ascii="Arial Narrow" w:hAnsi="Arial Narrow"/>
                <w:sz w:val="17"/>
                <w:szCs w:val="17"/>
              </w:rPr>
            </w:pPr>
          </w:p>
        </w:tc>
        <w:tc>
          <w:tcPr>
            <w:tcW w:w="85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w:t>
            </w:r>
          </w:p>
        </w:tc>
        <w:tc>
          <w:tcPr>
            <w:tcW w:w="728"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 </w:t>
            </w:r>
          </w:p>
        </w:tc>
        <w:tc>
          <w:tcPr>
            <w:tcW w:w="1321"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 </w:t>
            </w:r>
          </w:p>
        </w:tc>
      </w:tr>
      <w:tr w:rsidR="00A64028" w:rsidRPr="00422331" w:rsidTr="00A64028">
        <w:tc>
          <w:tcPr>
            <w:tcW w:w="243" w:type="dxa"/>
            <w:vMerge/>
            <w:tcBorders>
              <w:top w:val="nil"/>
              <w:left w:val="single" w:sz="4" w:space="0" w:color="auto"/>
              <w:bottom w:val="single" w:sz="4" w:space="0" w:color="auto"/>
              <w:right w:val="single" w:sz="4" w:space="0" w:color="auto"/>
            </w:tcBorders>
            <w:vAlign w:val="center"/>
            <w:hideMark/>
          </w:tcPr>
          <w:p w:rsidR="00A64028" w:rsidRPr="00422331" w:rsidRDefault="00A64028" w:rsidP="00103148">
            <w:pPr>
              <w:spacing w:after="0"/>
              <w:rPr>
                <w:rFonts w:ascii="Arial Narrow" w:hAnsi="Arial Narrow"/>
                <w:sz w:val="17"/>
                <w:szCs w:val="17"/>
              </w:rPr>
            </w:pPr>
          </w:p>
        </w:tc>
        <w:tc>
          <w:tcPr>
            <w:tcW w:w="35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ind w:left="192"/>
              <w:rPr>
                <w:rFonts w:ascii="Arial Narrow" w:hAnsi="Arial Narrow"/>
                <w:sz w:val="17"/>
                <w:szCs w:val="17"/>
              </w:rPr>
            </w:pPr>
            <w:r w:rsidRPr="00422331">
              <w:rPr>
                <w:rFonts w:ascii="Arial Narrow" w:hAnsi="Arial Narrow"/>
                <w:sz w:val="17"/>
                <w:szCs w:val="17"/>
              </w:rPr>
              <w:t>В т. ч. городское поселение рабочий поселок Посевная</w:t>
            </w:r>
          </w:p>
        </w:tc>
        <w:tc>
          <w:tcPr>
            <w:tcW w:w="850"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4808</w:t>
            </w:r>
          </w:p>
        </w:tc>
        <w:tc>
          <w:tcPr>
            <w:tcW w:w="81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0</w:t>
            </w:r>
          </w:p>
        </w:tc>
        <w:tc>
          <w:tcPr>
            <w:tcW w:w="8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0</w:t>
            </w:r>
          </w:p>
        </w:tc>
        <w:tc>
          <w:tcPr>
            <w:tcW w:w="886" w:type="dxa"/>
            <w:vMerge/>
            <w:tcBorders>
              <w:top w:val="nil"/>
              <w:left w:val="single" w:sz="4" w:space="0" w:color="auto"/>
              <w:bottom w:val="single" w:sz="4" w:space="0" w:color="auto"/>
              <w:right w:val="single" w:sz="4" w:space="0" w:color="auto"/>
            </w:tcBorders>
            <w:vAlign w:val="center"/>
            <w:hideMark/>
          </w:tcPr>
          <w:p w:rsidR="00A64028" w:rsidRPr="00422331" w:rsidRDefault="00A64028" w:rsidP="00103148">
            <w:pPr>
              <w:spacing w:after="0"/>
              <w:rPr>
                <w:rFonts w:ascii="Arial Narrow" w:hAnsi="Arial Narrow"/>
                <w:sz w:val="17"/>
                <w:szCs w:val="17"/>
              </w:rPr>
            </w:pPr>
          </w:p>
        </w:tc>
        <w:tc>
          <w:tcPr>
            <w:tcW w:w="85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w:t>
            </w:r>
          </w:p>
        </w:tc>
        <w:tc>
          <w:tcPr>
            <w:tcW w:w="728"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 </w:t>
            </w:r>
          </w:p>
        </w:tc>
        <w:tc>
          <w:tcPr>
            <w:tcW w:w="1321"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 </w:t>
            </w:r>
          </w:p>
        </w:tc>
      </w:tr>
      <w:tr w:rsidR="00A64028" w:rsidRPr="00422331" w:rsidTr="00A64028">
        <w:tc>
          <w:tcPr>
            <w:tcW w:w="243" w:type="dxa"/>
            <w:vMerge w:val="restart"/>
            <w:tcBorders>
              <w:top w:val="nil"/>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34</w:t>
            </w:r>
          </w:p>
        </w:tc>
        <w:tc>
          <w:tcPr>
            <w:tcW w:w="35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ind w:left="192"/>
              <w:rPr>
                <w:rFonts w:ascii="Arial Narrow" w:hAnsi="Arial Narrow"/>
                <w:b/>
                <w:bCs/>
                <w:sz w:val="17"/>
                <w:szCs w:val="17"/>
              </w:rPr>
            </w:pPr>
            <w:r w:rsidRPr="00422331">
              <w:rPr>
                <w:rFonts w:ascii="Arial Narrow" w:hAnsi="Arial Narrow"/>
                <w:b/>
                <w:bCs/>
                <w:sz w:val="17"/>
                <w:szCs w:val="17"/>
              </w:rPr>
              <w:t>Чистоозерный муниципальный район</w:t>
            </w:r>
          </w:p>
        </w:tc>
        <w:tc>
          <w:tcPr>
            <w:tcW w:w="850"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6964</w:t>
            </w:r>
          </w:p>
        </w:tc>
        <w:tc>
          <w:tcPr>
            <w:tcW w:w="81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10919</w:t>
            </w:r>
          </w:p>
        </w:tc>
        <w:tc>
          <w:tcPr>
            <w:tcW w:w="8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17883</w:t>
            </w:r>
          </w:p>
        </w:tc>
        <w:tc>
          <w:tcPr>
            <w:tcW w:w="886"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27</w:t>
            </w:r>
          </w:p>
        </w:tc>
        <w:tc>
          <w:tcPr>
            <w:tcW w:w="85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43</w:t>
            </w:r>
          </w:p>
        </w:tc>
        <w:tc>
          <w:tcPr>
            <w:tcW w:w="728"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70</w:t>
            </w:r>
          </w:p>
        </w:tc>
        <w:tc>
          <w:tcPr>
            <w:tcW w:w="1321"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11,69</w:t>
            </w:r>
          </w:p>
        </w:tc>
      </w:tr>
      <w:tr w:rsidR="00A64028" w:rsidRPr="00422331" w:rsidTr="00A64028">
        <w:tc>
          <w:tcPr>
            <w:tcW w:w="243" w:type="dxa"/>
            <w:vMerge/>
            <w:tcBorders>
              <w:top w:val="nil"/>
              <w:left w:val="single" w:sz="4" w:space="0" w:color="auto"/>
              <w:bottom w:val="single" w:sz="4" w:space="0" w:color="auto"/>
              <w:right w:val="single" w:sz="4" w:space="0" w:color="auto"/>
            </w:tcBorders>
            <w:vAlign w:val="center"/>
            <w:hideMark/>
          </w:tcPr>
          <w:p w:rsidR="00A64028" w:rsidRPr="00422331" w:rsidRDefault="00A64028" w:rsidP="00103148">
            <w:pPr>
              <w:spacing w:after="0"/>
              <w:rPr>
                <w:rFonts w:ascii="Arial Narrow" w:hAnsi="Arial Narrow"/>
                <w:sz w:val="17"/>
                <w:szCs w:val="17"/>
              </w:rPr>
            </w:pPr>
          </w:p>
        </w:tc>
        <w:tc>
          <w:tcPr>
            <w:tcW w:w="35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ind w:left="192"/>
              <w:rPr>
                <w:rFonts w:ascii="Arial Narrow" w:hAnsi="Arial Narrow"/>
                <w:sz w:val="17"/>
                <w:szCs w:val="17"/>
              </w:rPr>
            </w:pPr>
            <w:r w:rsidRPr="00422331">
              <w:rPr>
                <w:rFonts w:ascii="Arial Narrow" w:hAnsi="Arial Narrow"/>
                <w:sz w:val="17"/>
                <w:szCs w:val="17"/>
              </w:rPr>
              <w:t>В т. ч. городское поселение рабочий поселок Чистоозерное</w:t>
            </w:r>
          </w:p>
        </w:tc>
        <w:tc>
          <w:tcPr>
            <w:tcW w:w="850"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6964</w:t>
            </w:r>
          </w:p>
        </w:tc>
        <w:tc>
          <w:tcPr>
            <w:tcW w:w="81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0</w:t>
            </w:r>
          </w:p>
        </w:tc>
        <w:tc>
          <w:tcPr>
            <w:tcW w:w="8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0</w:t>
            </w:r>
          </w:p>
        </w:tc>
        <w:tc>
          <w:tcPr>
            <w:tcW w:w="886"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27</w:t>
            </w:r>
          </w:p>
        </w:tc>
        <w:tc>
          <w:tcPr>
            <w:tcW w:w="85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w:t>
            </w:r>
          </w:p>
        </w:tc>
        <w:tc>
          <w:tcPr>
            <w:tcW w:w="728"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 </w:t>
            </w:r>
          </w:p>
        </w:tc>
        <w:tc>
          <w:tcPr>
            <w:tcW w:w="1321"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 </w:t>
            </w:r>
          </w:p>
        </w:tc>
      </w:tr>
      <w:tr w:rsidR="00A64028" w:rsidRPr="00422331" w:rsidTr="00A64028">
        <w:tc>
          <w:tcPr>
            <w:tcW w:w="243" w:type="dxa"/>
            <w:vMerge w:val="restart"/>
            <w:tcBorders>
              <w:top w:val="nil"/>
              <w:left w:val="single" w:sz="4" w:space="0" w:color="auto"/>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35</w:t>
            </w:r>
          </w:p>
        </w:tc>
        <w:tc>
          <w:tcPr>
            <w:tcW w:w="35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ind w:left="192"/>
              <w:rPr>
                <w:rFonts w:ascii="Arial Narrow" w:hAnsi="Arial Narrow"/>
                <w:b/>
                <w:bCs/>
                <w:sz w:val="17"/>
                <w:szCs w:val="17"/>
              </w:rPr>
            </w:pPr>
            <w:r w:rsidRPr="00422331">
              <w:rPr>
                <w:rFonts w:ascii="Arial Narrow" w:hAnsi="Arial Narrow"/>
                <w:b/>
                <w:bCs/>
                <w:sz w:val="17"/>
                <w:szCs w:val="17"/>
              </w:rPr>
              <w:t>Чулымский муниципальный район</w:t>
            </w:r>
          </w:p>
        </w:tc>
        <w:tc>
          <w:tcPr>
            <w:tcW w:w="850"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11312</w:t>
            </w:r>
          </w:p>
        </w:tc>
        <w:tc>
          <w:tcPr>
            <w:tcW w:w="81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11145</w:t>
            </w:r>
          </w:p>
        </w:tc>
        <w:tc>
          <w:tcPr>
            <w:tcW w:w="8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22457</w:t>
            </w:r>
          </w:p>
        </w:tc>
        <w:tc>
          <w:tcPr>
            <w:tcW w:w="886"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35</w:t>
            </w:r>
          </w:p>
        </w:tc>
        <w:tc>
          <w:tcPr>
            <w:tcW w:w="85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35</w:t>
            </w:r>
          </w:p>
        </w:tc>
        <w:tc>
          <w:tcPr>
            <w:tcW w:w="728"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70</w:t>
            </w:r>
          </w:p>
        </w:tc>
        <w:tc>
          <w:tcPr>
            <w:tcW w:w="1321"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b/>
                <w:bCs/>
                <w:sz w:val="17"/>
                <w:szCs w:val="17"/>
              </w:rPr>
            </w:pPr>
            <w:r w:rsidRPr="00422331">
              <w:rPr>
                <w:rFonts w:ascii="Arial Narrow" w:hAnsi="Arial Narrow"/>
                <w:b/>
                <w:bCs/>
                <w:sz w:val="17"/>
                <w:szCs w:val="17"/>
              </w:rPr>
              <w:t>11,7</w:t>
            </w:r>
          </w:p>
        </w:tc>
      </w:tr>
      <w:tr w:rsidR="00A64028" w:rsidRPr="00422331" w:rsidTr="00A64028">
        <w:tc>
          <w:tcPr>
            <w:tcW w:w="243" w:type="dxa"/>
            <w:vMerge/>
            <w:tcBorders>
              <w:top w:val="nil"/>
              <w:left w:val="single" w:sz="4" w:space="0" w:color="auto"/>
              <w:bottom w:val="single" w:sz="4" w:space="0" w:color="auto"/>
              <w:right w:val="single" w:sz="4" w:space="0" w:color="auto"/>
            </w:tcBorders>
            <w:vAlign w:val="center"/>
            <w:hideMark/>
          </w:tcPr>
          <w:p w:rsidR="00A64028" w:rsidRPr="00422331" w:rsidRDefault="00A64028" w:rsidP="00103148">
            <w:pPr>
              <w:spacing w:after="0"/>
              <w:rPr>
                <w:rFonts w:ascii="Arial Narrow" w:hAnsi="Arial Narrow"/>
                <w:sz w:val="17"/>
                <w:szCs w:val="17"/>
              </w:rPr>
            </w:pPr>
          </w:p>
        </w:tc>
        <w:tc>
          <w:tcPr>
            <w:tcW w:w="35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ind w:left="192"/>
              <w:rPr>
                <w:rFonts w:ascii="Arial Narrow" w:hAnsi="Arial Narrow"/>
                <w:sz w:val="17"/>
                <w:szCs w:val="17"/>
              </w:rPr>
            </w:pPr>
            <w:r w:rsidRPr="00422331">
              <w:rPr>
                <w:rFonts w:ascii="Arial Narrow" w:hAnsi="Arial Narrow"/>
                <w:sz w:val="17"/>
                <w:szCs w:val="17"/>
              </w:rPr>
              <w:t>В т. ч. городское поселение город Чулым</w:t>
            </w:r>
          </w:p>
        </w:tc>
        <w:tc>
          <w:tcPr>
            <w:tcW w:w="850"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11312</w:t>
            </w:r>
          </w:p>
        </w:tc>
        <w:tc>
          <w:tcPr>
            <w:tcW w:w="81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0</w:t>
            </w:r>
          </w:p>
        </w:tc>
        <w:tc>
          <w:tcPr>
            <w:tcW w:w="8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0</w:t>
            </w:r>
          </w:p>
        </w:tc>
        <w:tc>
          <w:tcPr>
            <w:tcW w:w="886"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35</w:t>
            </w:r>
          </w:p>
        </w:tc>
        <w:tc>
          <w:tcPr>
            <w:tcW w:w="85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w:t>
            </w:r>
          </w:p>
        </w:tc>
        <w:tc>
          <w:tcPr>
            <w:tcW w:w="728"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 </w:t>
            </w:r>
          </w:p>
        </w:tc>
        <w:tc>
          <w:tcPr>
            <w:tcW w:w="1321"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 </w:t>
            </w:r>
          </w:p>
        </w:tc>
      </w:tr>
      <w:tr w:rsidR="00A64028" w:rsidRPr="00422331" w:rsidTr="00A64028">
        <w:tc>
          <w:tcPr>
            <w:tcW w:w="3825" w:type="dxa"/>
            <w:gridSpan w:val="2"/>
            <w:tcBorders>
              <w:top w:val="single" w:sz="4" w:space="0" w:color="auto"/>
              <w:left w:val="single" w:sz="4" w:space="0" w:color="auto"/>
              <w:bottom w:val="single" w:sz="4" w:space="0" w:color="auto"/>
              <w:right w:val="single" w:sz="4" w:space="0" w:color="auto"/>
            </w:tcBorders>
            <w:noWrap/>
            <w:vAlign w:val="center"/>
            <w:hideMark/>
          </w:tcPr>
          <w:p w:rsidR="00A64028" w:rsidRPr="00422331" w:rsidRDefault="00A64028" w:rsidP="00103148">
            <w:pPr>
              <w:spacing w:after="0"/>
              <w:rPr>
                <w:rFonts w:ascii="Arial Narrow" w:hAnsi="Arial Narrow"/>
                <w:sz w:val="17"/>
                <w:szCs w:val="17"/>
              </w:rPr>
            </w:pPr>
            <w:r w:rsidRPr="00422331">
              <w:rPr>
                <w:rFonts w:ascii="Arial Narrow" w:hAnsi="Arial Narrow"/>
                <w:sz w:val="17"/>
                <w:szCs w:val="17"/>
              </w:rPr>
              <w:t>ВСЕГО</w:t>
            </w:r>
          </w:p>
        </w:tc>
        <w:tc>
          <w:tcPr>
            <w:tcW w:w="850"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2179386</w:t>
            </w:r>
          </w:p>
        </w:tc>
        <w:tc>
          <w:tcPr>
            <w:tcW w:w="81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582851</w:t>
            </w:r>
          </w:p>
        </w:tc>
        <w:tc>
          <w:tcPr>
            <w:tcW w:w="882"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2762237</w:t>
            </w:r>
          </w:p>
        </w:tc>
        <w:tc>
          <w:tcPr>
            <w:tcW w:w="886"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1144</w:t>
            </w:r>
          </w:p>
        </w:tc>
        <w:tc>
          <w:tcPr>
            <w:tcW w:w="85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1386</w:t>
            </w:r>
          </w:p>
        </w:tc>
        <w:tc>
          <w:tcPr>
            <w:tcW w:w="728"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2530</w:t>
            </w:r>
          </w:p>
        </w:tc>
        <w:tc>
          <w:tcPr>
            <w:tcW w:w="1321"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1,95</w:t>
            </w:r>
          </w:p>
        </w:tc>
      </w:tr>
    </w:tbl>
    <w:p w:rsidR="00A64028" w:rsidRPr="00FC15A8" w:rsidRDefault="00A64028" w:rsidP="00103148">
      <w:pPr>
        <w:spacing w:after="0"/>
        <w:rPr>
          <w:rFonts w:ascii="Arial Narrow" w:hAnsi="Arial Narrow"/>
          <w:bCs/>
          <w:iCs/>
          <w:sz w:val="20"/>
          <w:szCs w:val="20"/>
          <w:lang w:bidi="ru-RU"/>
        </w:rPr>
      </w:pPr>
    </w:p>
    <w:p w:rsidR="00A64028" w:rsidRPr="00FC15A8" w:rsidRDefault="00A64028" w:rsidP="00103148">
      <w:pPr>
        <w:spacing w:after="0" w:line="360" w:lineRule="auto"/>
        <w:ind w:firstLine="284"/>
        <w:jc w:val="both"/>
        <w:rPr>
          <w:rFonts w:ascii="Arial Narrow" w:hAnsi="Arial Narrow"/>
          <w:sz w:val="24"/>
          <w:szCs w:val="24"/>
        </w:rPr>
      </w:pPr>
      <w:r w:rsidRPr="00FC15A8">
        <w:rPr>
          <w:rFonts w:ascii="Arial Narrow" w:hAnsi="Arial Narrow"/>
          <w:sz w:val="24"/>
          <w:szCs w:val="24"/>
        </w:rPr>
        <w:t>Доля опрошенных от общего числа потребителей исследуемых рынков колеблется от 0,005 % до 0,09 % населения, в зависимости от специфики рынков.</w:t>
      </w:r>
    </w:p>
    <w:p w:rsidR="00372BCB" w:rsidRDefault="00372BCB" w:rsidP="00103148">
      <w:pPr>
        <w:spacing w:after="0"/>
        <w:rPr>
          <w:rFonts w:ascii="Arial Narrow" w:hAnsi="Arial Narrow"/>
        </w:rPr>
      </w:pPr>
    </w:p>
    <w:p w:rsidR="00A64028" w:rsidRPr="00372BCB" w:rsidRDefault="00A64028" w:rsidP="00103148">
      <w:pPr>
        <w:spacing w:after="0"/>
        <w:rPr>
          <w:rFonts w:ascii="Arial Narrow" w:hAnsi="Arial Narrow"/>
          <w:bCs/>
          <w:iCs/>
          <w:sz w:val="24"/>
          <w:szCs w:val="24"/>
          <w:lang w:bidi="ru-RU"/>
        </w:rPr>
      </w:pPr>
      <w:r w:rsidRPr="00372BCB">
        <w:rPr>
          <w:rFonts w:ascii="Arial Narrow" w:hAnsi="Arial Narrow"/>
          <w:sz w:val="24"/>
          <w:szCs w:val="24"/>
        </w:rPr>
        <w:t xml:space="preserve">Таблица </w:t>
      </w:r>
      <w:r w:rsidR="00262F71" w:rsidRPr="00372BCB">
        <w:rPr>
          <w:rFonts w:ascii="Arial Narrow" w:hAnsi="Arial Narrow"/>
          <w:sz w:val="24"/>
          <w:szCs w:val="24"/>
        </w:rPr>
        <w:t>7.35.</w:t>
      </w:r>
      <w:r w:rsidRPr="00372BCB">
        <w:rPr>
          <w:rFonts w:ascii="Arial Narrow" w:hAnsi="Arial Narrow"/>
          <w:bCs/>
          <w:iCs/>
          <w:sz w:val="24"/>
          <w:szCs w:val="24"/>
          <w:lang w:bidi="ru-RU"/>
        </w:rPr>
        <w:t xml:space="preserve">- </w:t>
      </w:r>
      <w:r w:rsidRPr="00372BCB">
        <w:rPr>
          <w:rFonts w:ascii="Arial Narrow" w:hAnsi="Arial Narrow"/>
          <w:b/>
          <w:bCs/>
          <w:iCs/>
          <w:sz w:val="24"/>
          <w:szCs w:val="24"/>
          <w:lang w:bidi="ru-RU"/>
        </w:rPr>
        <w:t>Распределение населения региона по группам для обеспечения максимально возможного уровня репрезентативности в выборке</w:t>
      </w:r>
    </w:p>
    <w:tbl>
      <w:tblPr>
        <w:tblW w:w="9894" w:type="dxa"/>
        <w:tblInd w:w="-5" w:type="dxa"/>
        <w:tblLook w:val="04A0"/>
      </w:tblPr>
      <w:tblGrid>
        <w:gridCol w:w="5925"/>
        <w:gridCol w:w="1348"/>
        <w:gridCol w:w="2621"/>
      </w:tblGrid>
      <w:tr w:rsidR="00A64028" w:rsidRPr="00086001" w:rsidTr="00086001">
        <w:tc>
          <w:tcPr>
            <w:tcW w:w="5925"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A64028" w:rsidRPr="00086001" w:rsidRDefault="00A64028" w:rsidP="00103148">
            <w:pPr>
              <w:spacing w:after="0"/>
              <w:rPr>
                <w:rFonts w:ascii="Arial Narrow" w:hAnsi="Arial Narrow"/>
                <w:sz w:val="20"/>
                <w:szCs w:val="20"/>
              </w:rPr>
            </w:pPr>
            <w:r w:rsidRPr="00086001">
              <w:rPr>
                <w:rFonts w:ascii="Arial Narrow" w:hAnsi="Arial Narrow"/>
                <w:sz w:val="20"/>
                <w:szCs w:val="20"/>
              </w:rPr>
              <w:t> </w:t>
            </w:r>
          </w:p>
        </w:tc>
        <w:tc>
          <w:tcPr>
            <w:tcW w:w="1348" w:type="dxa"/>
            <w:tcBorders>
              <w:top w:val="single" w:sz="4" w:space="0" w:color="auto"/>
              <w:left w:val="nil"/>
              <w:bottom w:val="single" w:sz="4" w:space="0" w:color="auto"/>
              <w:right w:val="single" w:sz="4" w:space="0" w:color="auto"/>
            </w:tcBorders>
            <w:shd w:val="clear" w:color="auto" w:fill="auto"/>
            <w:noWrap/>
            <w:vAlign w:val="bottom"/>
            <w:hideMark/>
          </w:tcPr>
          <w:p w:rsidR="00A64028" w:rsidRPr="00086001" w:rsidRDefault="00A64028" w:rsidP="00103148">
            <w:pPr>
              <w:spacing w:after="0"/>
              <w:jc w:val="center"/>
              <w:rPr>
                <w:rFonts w:ascii="Arial Narrow" w:hAnsi="Arial Narrow"/>
                <w:sz w:val="20"/>
                <w:szCs w:val="20"/>
              </w:rPr>
            </w:pPr>
            <w:r w:rsidRPr="00086001">
              <w:rPr>
                <w:rFonts w:ascii="Arial Narrow" w:hAnsi="Arial Narrow"/>
                <w:sz w:val="20"/>
                <w:szCs w:val="20"/>
              </w:rPr>
              <w:t>Доля потребителей рынка от опрошенного населения, %</w:t>
            </w:r>
          </w:p>
        </w:tc>
        <w:tc>
          <w:tcPr>
            <w:tcW w:w="2621" w:type="dxa"/>
            <w:tcBorders>
              <w:top w:val="single" w:sz="4" w:space="0" w:color="auto"/>
              <w:left w:val="nil"/>
              <w:bottom w:val="single" w:sz="4" w:space="0" w:color="auto"/>
              <w:right w:val="single" w:sz="4" w:space="0" w:color="auto"/>
            </w:tcBorders>
            <w:shd w:val="clear" w:color="auto" w:fill="auto"/>
            <w:noWrap/>
            <w:vAlign w:val="bottom"/>
            <w:hideMark/>
          </w:tcPr>
          <w:p w:rsidR="00A64028" w:rsidRPr="00086001" w:rsidRDefault="00A64028" w:rsidP="00103148">
            <w:pPr>
              <w:spacing w:after="0"/>
              <w:jc w:val="center"/>
              <w:rPr>
                <w:rFonts w:ascii="Arial Narrow" w:hAnsi="Arial Narrow"/>
                <w:sz w:val="20"/>
                <w:szCs w:val="20"/>
              </w:rPr>
            </w:pPr>
            <w:r w:rsidRPr="00086001">
              <w:rPr>
                <w:rFonts w:ascii="Arial Narrow" w:hAnsi="Arial Narrow"/>
                <w:sz w:val="20"/>
                <w:szCs w:val="20"/>
              </w:rPr>
              <w:t>Доля потребителей товаров, работ и услуг, на основании оценок которых проводился мониторинг, в общей численности населения Новосибирской области, %</w:t>
            </w:r>
          </w:p>
        </w:tc>
      </w:tr>
      <w:tr w:rsidR="00A64028" w:rsidRPr="00086001" w:rsidTr="00086001">
        <w:tc>
          <w:tcPr>
            <w:tcW w:w="5925" w:type="dxa"/>
            <w:tcBorders>
              <w:top w:val="nil"/>
              <w:left w:val="single" w:sz="4" w:space="0" w:color="auto"/>
              <w:bottom w:val="single" w:sz="4" w:space="0" w:color="auto"/>
              <w:right w:val="single" w:sz="4" w:space="0" w:color="auto"/>
            </w:tcBorders>
            <w:shd w:val="clear" w:color="auto" w:fill="auto"/>
            <w:hideMark/>
          </w:tcPr>
          <w:p w:rsidR="00A64028" w:rsidRPr="00086001" w:rsidRDefault="00A64028" w:rsidP="00103148">
            <w:pPr>
              <w:spacing w:after="0"/>
              <w:rPr>
                <w:rFonts w:ascii="Arial Narrow" w:hAnsi="Arial Narrow"/>
                <w:sz w:val="20"/>
                <w:szCs w:val="20"/>
              </w:rPr>
            </w:pPr>
            <w:r w:rsidRPr="00086001">
              <w:rPr>
                <w:rFonts w:ascii="Arial Narrow" w:hAnsi="Arial Narrow"/>
                <w:sz w:val="20"/>
                <w:szCs w:val="20"/>
              </w:rPr>
              <w:t>Рынок услуг дошкольного образования (коммерческие детские сады и учреждения пребывания неполного дня)</w:t>
            </w:r>
          </w:p>
        </w:tc>
        <w:tc>
          <w:tcPr>
            <w:tcW w:w="1348" w:type="dxa"/>
            <w:tcBorders>
              <w:top w:val="nil"/>
              <w:left w:val="nil"/>
              <w:bottom w:val="single" w:sz="4" w:space="0" w:color="auto"/>
              <w:right w:val="single" w:sz="4" w:space="0" w:color="auto"/>
            </w:tcBorders>
            <w:shd w:val="clear" w:color="auto" w:fill="auto"/>
            <w:noWrap/>
            <w:vAlign w:val="bottom"/>
            <w:hideMark/>
          </w:tcPr>
          <w:p w:rsidR="00A64028" w:rsidRPr="00086001" w:rsidRDefault="00A64028" w:rsidP="00103148">
            <w:pPr>
              <w:spacing w:after="0"/>
              <w:jc w:val="center"/>
              <w:rPr>
                <w:rFonts w:ascii="Arial Narrow" w:hAnsi="Arial Narrow"/>
                <w:sz w:val="20"/>
                <w:szCs w:val="20"/>
              </w:rPr>
            </w:pPr>
            <w:r w:rsidRPr="00086001">
              <w:rPr>
                <w:rFonts w:ascii="Arial Narrow" w:hAnsi="Arial Narrow"/>
                <w:sz w:val="20"/>
                <w:szCs w:val="20"/>
              </w:rPr>
              <w:t>63,7%</w:t>
            </w:r>
          </w:p>
        </w:tc>
        <w:tc>
          <w:tcPr>
            <w:tcW w:w="2621" w:type="dxa"/>
            <w:tcBorders>
              <w:top w:val="nil"/>
              <w:left w:val="nil"/>
              <w:bottom w:val="single" w:sz="4" w:space="0" w:color="auto"/>
              <w:right w:val="single" w:sz="4" w:space="0" w:color="auto"/>
            </w:tcBorders>
            <w:shd w:val="clear" w:color="auto" w:fill="auto"/>
            <w:noWrap/>
            <w:vAlign w:val="bottom"/>
            <w:hideMark/>
          </w:tcPr>
          <w:p w:rsidR="00A64028" w:rsidRPr="00086001" w:rsidRDefault="00A64028" w:rsidP="00103148">
            <w:pPr>
              <w:spacing w:after="0"/>
              <w:jc w:val="center"/>
              <w:rPr>
                <w:rFonts w:ascii="Arial Narrow" w:hAnsi="Arial Narrow"/>
                <w:sz w:val="20"/>
                <w:szCs w:val="20"/>
              </w:rPr>
            </w:pPr>
            <w:r w:rsidRPr="00086001">
              <w:rPr>
                <w:rFonts w:ascii="Arial Narrow" w:hAnsi="Arial Narrow"/>
                <w:sz w:val="20"/>
                <w:szCs w:val="20"/>
              </w:rPr>
              <w:t>0,06%</w:t>
            </w:r>
          </w:p>
        </w:tc>
      </w:tr>
      <w:tr w:rsidR="00A64028" w:rsidRPr="00086001" w:rsidTr="00086001">
        <w:tc>
          <w:tcPr>
            <w:tcW w:w="5925" w:type="dxa"/>
            <w:tcBorders>
              <w:top w:val="nil"/>
              <w:left w:val="single" w:sz="4" w:space="0" w:color="auto"/>
              <w:bottom w:val="single" w:sz="4" w:space="0" w:color="auto"/>
              <w:right w:val="single" w:sz="4" w:space="0" w:color="auto"/>
            </w:tcBorders>
            <w:shd w:val="clear" w:color="auto" w:fill="auto"/>
            <w:hideMark/>
          </w:tcPr>
          <w:p w:rsidR="00A64028" w:rsidRPr="00086001" w:rsidRDefault="00A64028" w:rsidP="00103148">
            <w:pPr>
              <w:spacing w:after="0"/>
              <w:rPr>
                <w:rFonts w:ascii="Arial Narrow" w:hAnsi="Arial Narrow"/>
                <w:sz w:val="20"/>
                <w:szCs w:val="20"/>
              </w:rPr>
            </w:pPr>
            <w:r w:rsidRPr="00086001">
              <w:rPr>
                <w:rFonts w:ascii="Arial Narrow" w:hAnsi="Arial Narrow"/>
                <w:sz w:val="20"/>
                <w:szCs w:val="20"/>
              </w:rPr>
              <w:t>Рынок услуг детского отдыха и оздоровления</w:t>
            </w:r>
          </w:p>
        </w:tc>
        <w:tc>
          <w:tcPr>
            <w:tcW w:w="1348" w:type="dxa"/>
            <w:tcBorders>
              <w:top w:val="nil"/>
              <w:left w:val="nil"/>
              <w:bottom w:val="single" w:sz="4" w:space="0" w:color="auto"/>
              <w:right w:val="single" w:sz="4" w:space="0" w:color="auto"/>
            </w:tcBorders>
            <w:shd w:val="clear" w:color="auto" w:fill="auto"/>
            <w:noWrap/>
            <w:vAlign w:val="bottom"/>
            <w:hideMark/>
          </w:tcPr>
          <w:p w:rsidR="00A64028" w:rsidRPr="00086001" w:rsidRDefault="00A64028" w:rsidP="00103148">
            <w:pPr>
              <w:spacing w:after="0"/>
              <w:jc w:val="center"/>
              <w:rPr>
                <w:rFonts w:ascii="Arial Narrow" w:hAnsi="Arial Narrow"/>
                <w:sz w:val="20"/>
                <w:szCs w:val="20"/>
              </w:rPr>
            </w:pPr>
            <w:r w:rsidRPr="00086001">
              <w:rPr>
                <w:rFonts w:ascii="Arial Narrow" w:hAnsi="Arial Narrow"/>
                <w:sz w:val="20"/>
                <w:szCs w:val="20"/>
              </w:rPr>
              <w:t>61,9%</w:t>
            </w:r>
          </w:p>
        </w:tc>
        <w:tc>
          <w:tcPr>
            <w:tcW w:w="2621" w:type="dxa"/>
            <w:tcBorders>
              <w:top w:val="nil"/>
              <w:left w:val="nil"/>
              <w:bottom w:val="single" w:sz="4" w:space="0" w:color="auto"/>
              <w:right w:val="single" w:sz="4" w:space="0" w:color="auto"/>
            </w:tcBorders>
            <w:shd w:val="clear" w:color="auto" w:fill="auto"/>
            <w:noWrap/>
            <w:vAlign w:val="bottom"/>
            <w:hideMark/>
          </w:tcPr>
          <w:p w:rsidR="00A64028" w:rsidRPr="00086001" w:rsidRDefault="00A64028" w:rsidP="00103148">
            <w:pPr>
              <w:spacing w:after="0"/>
              <w:jc w:val="center"/>
              <w:rPr>
                <w:rFonts w:ascii="Arial Narrow" w:hAnsi="Arial Narrow"/>
                <w:sz w:val="20"/>
                <w:szCs w:val="20"/>
              </w:rPr>
            </w:pPr>
            <w:r w:rsidRPr="00086001">
              <w:rPr>
                <w:rFonts w:ascii="Arial Narrow" w:hAnsi="Arial Narrow"/>
                <w:sz w:val="20"/>
                <w:szCs w:val="20"/>
              </w:rPr>
              <w:t>0,06%</w:t>
            </w:r>
          </w:p>
        </w:tc>
      </w:tr>
      <w:tr w:rsidR="00A64028" w:rsidRPr="00086001" w:rsidTr="00086001">
        <w:tc>
          <w:tcPr>
            <w:tcW w:w="5925" w:type="dxa"/>
            <w:tcBorders>
              <w:top w:val="nil"/>
              <w:left w:val="single" w:sz="4" w:space="0" w:color="auto"/>
              <w:bottom w:val="single" w:sz="4" w:space="0" w:color="auto"/>
              <w:right w:val="single" w:sz="4" w:space="0" w:color="auto"/>
            </w:tcBorders>
            <w:shd w:val="clear" w:color="auto" w:fill="auto"/>
            <w:hideMark/>
          </w:tcPr>
          <w:p w:rsidR="00A64028" w:rsidRPr="00086001" w:rsidRDefault="00A64028" w:rsidP="00103148">
            <w:pPr>
              <w:spacing w:after="0"/>
              <w:rPr>
                <w:rFonts w:ascii="Arial Narrow" w:hAnsi="Arial Narrow"/>
                <w:sz w:val="20"/>
                <w:szCs w:val="20"/>
              </w:rPr>
            </w:pPr>
            <w:r w:rsidRPr="00086001">
              <w:rPr>
                <w:rFonts w:ascii="Arial Narrow" w:hAnsi="Arial Narrow"/>
                <w:sz w:val="20"/>
                <w:szCs w:val="20"/>
              </w:rPr>
              <w:t>Рынок дополнительного образования детей</w:t>
            </w:r>
          </w:p>
        </w:tc>
        <w:tc>
          <w:tcPr>
            <w:tcW w:w="1348" w:type="dxa"/>
            <w:tcBorders>
              <w:top w:val="nil"/>
              <w:left w:val="nil"/>
              <w:bottom w:val="single" w:sz="4" w:space="0" w:color="auto"/>
              <w:right w:val="single" w:sz="4" w:space="0" w:color="auto"/>
            </w:tcBorders>
            <w:shd w:val="clear" w:color="auto" w:fill="auto"/>
            <w:noWrap/>
            <w:vAlign w:val="bottom"/>
            <w:hideMark/>
          </w:tcPr>
          <w:p w:rsidR="00A64028" w:rsidRPr="00086001" w:rsidRDefault="00A64028" w:rsidP="00103148">
            <w:pPr>
              <w:spacing w:after="0"/>
              <w:jc w:val="center"/>
              <w:rPr>
                <w:rFonts w:ascii="Arial Narrow" w:hAnsi="Arial Narrow"/>
                <w:sz w:val="20"/>
                <w:szCs w:val="20"/>
              </w:rPr>
            </w:pPr>
            <w:r w:rsidRPr="00086001">
              <w:rPr>
                <w:rFonts w:ascii="Arial Narrow" w:hAnsi="Arial Narrow"/>
                <w:sz w:val="20"/>
                <w:szCs w:val="20"/>
              </w:rPr>
              <w:t>65,2%</w:t>
            </w:r>
          </w:p>
        </w:tc>
        <w:tc>
          <w:tcPr>
            <w:tcW w:w="2621" w:type="dxa"/>
            <w:tcBorders>
              <w:top w:val="nil"/>
              <w:left w:val="nil"/>
              <w:bottom w:val="single" w:sz="4" w:space="0" w:color="auto"/>
              <w:right w:val="single" w:sz="4" w:space="0" w:color="auto"/>
            </w:tcBorders>
            <w:shd w:val="clear" w:color="auto" w:fill="auto"/>
            <w:noWrap/>
            <w:vAlign w:val="bottom"/>
            <w:hideMark/>
          </w:tcPr>
          <w:p w:rsidR="00A64028" w:rsidRPr="00086001" w:rsidRDefault="00A64028" w:rsidP="00103148">
            <w:pPr>
              <w:spacing w:after="0"/>
              <w:jc w:val="center"/>
              <w:rPr>
                <w:rFonts w:ascii="Arial Narrow" w:hAnsi="Arial Narrow"/>
                <w:sz w:val="20"/>
                <w:szCs w:val="20"/>
              </w:rPr>
            </w:pPr>
            <w:r w:rsidRPr="00086001">
              <w:rPr>
                <w:rFonts w:ascii="Arial Narrow" w:hAnsi="Arial Narrow"/>
                <w:sz w:val="20"/>
                <w:szCs w:val="20"/>
              </w:rPr>
              <w:t>0,06%</w:t>
            </w:r>
          </w:p>
        </w:tc>
      </w:tr>
      <w:tr w:rsidR="00A64028" w:rsidRPr="00086001" w:rsidTr="00086001">
        <w:tc>
          <w:tcPr>
            <w:tcW w:w="5925" w:type="dxa"/>
            <w:tcBorders>
              <w:top w:val="nil"/>
              <w:left w:val="single" w:sz="4" w:space="0" w:color="auto"/>
              <w:bottom w:val="single" w:sz="4" w:space="0" w:color="auto"/>
              <w:right w:val="single" w:sz="4" w:space="0" w:color="auto"/>
            </w:tcBorders>
            <w:shd w:val="clear" w:color="auto" w:fill="auto"/>
            <w:hideMark/>
          </w:tcPr>
          <w:p w:rsidR="00A64028" w:rsidRPr="00086001" w:rsidRDefault="00A64028" w:rsidP="00103148">
            <w:pPr>
              <w:spacing w:after="0"/>
              <w:rPr>
                <w:rFonts w:ascii="Arial Narrow" w:hAnsi="Arial Narrow"/>
                <w:sz w:val="20"/>
                <w:szCs w:val="20"/>
              </w:rPr>
            </w:pPr>
            <w:r w:rsidRPr="00086001">
              <w:rPr>
                <w:rFonts w:ascii="Arial Narrow" w:hAnsi="Arial Narrow"/>
                <w:sz w:val="20"/>
                <w:szCs w:val="20"/>
              </w:rPr>
              <w:t>Рынок медицинских услуг</w:t>
            </w:r>
          </w:p>
        </w:tc>
        <w:tc>
          <w:tcPr>
            <w:tcW w:w="1348" w:type="dxa"/>
            <w:tcBorders>
              <w:top w:val="nil"/>
              <w:left w:val="nil"/>
              <w:bottom w:val="single" w:sz="4" w:space="0" w:color="auto"/>
              <w:right w:val="single" w:sz="4" w:space="0" w:color="auto"/>
            </w:tcBorders>
            <w:shd w:val="clear" w:color="auto" w:fill="auto"/>
            <w:noWrap/>
            <w:vAlign w:val="bottom"/>
            <w:hideMark/>
          </w:tcPr>
          <w:p w:rsidR="00A64028" w:rsidRPr="00086001" w:rsidRDefault="00A64028" w:rsidP="00103148">
            <w:pPr>
              <w:spacing w:after="0"/>
              <w:jc w:val="center"/>
              <w:rPr>
                <w:rFonts w:ascii="Arial Narrow" w:hAnsi="Arial Narrow"/>
                <w:sz w:val="20"/>
                <w:szCs w:val="20"/>
              </w:rPr>
            </w:pPr>
            <w:r w:rsidRPr="00086001">
              <w:rPr>
                <w:rFonts w:ascii="Arial Narrow" w:hAnsi="Arial Narrow"/>
                <w:sz w:val="20"/>
                <w:szCs w:val="20"/>
              </w:rPr>
              <w:t>93,5%</w:t>
            </w:r>
          </w:p>
        </w:tc>
        <w:tc>
          <w:tcPr>
            <w:tcW w:w="2621" w:type="dxa"/>
            <w:tcBorders>
              <w:top w:val="nil"/>
              <w:left w:val="nil"/>
              <w:bottom w:val="single" w:sz="4" w:space="0" w:color="auto"/>
              <w:right w:val="single" w:sz="4" w:space="0" w:color="auto"/>
            </w:tcBorders>
            <w:shd w:val="clear" w:color="auto" w:fill="auto"/>
            <w:noWrap/>
            <w:vAlign w:val="bottom"/>
            <w:hideMark/>
          </w:tcPr>
          <w:p w:rsidR="00A64028" w:rsidRPr="00086001" w:rsidRDefault="00A64028" w:rsidP="00103148">
            <w:pPr>
              <w:spacing w:after="0"/>
              <w:jc w:val="center"/>
              <w:rPr>
                <w:rFonts w:ascii="Arial Narrow" w:hAnsi="Arial Narrow"/>
                <w:sz w:val="20"/>
                <w:szCs w:val="20"/>
              </w:rPr>
            </w:pPr>
            <w:r w:rsidRPr="00086001">
              <w:rPr>
                <w:rFonts w:ascii="Arial Narrow" w:hAnsi="Arial Narrow"/>
                <w:sz w:val="20"/>
                <w:szCs w:val="20"/>
              </w:rPr>
              <w:t>0,09%</w:t>
            </w:r>
          </w:p>
        </w:tc>
      </w:tr>
      <w:tr w:rsidR="00A64028" w:rsidRPr="00086001" w:rsidTr="00086001">
        <w:tc>
          <w:tcPr>
            <w:tcW w:w="5925" w:type="dxa"/>
            <w:tcBorders>
              <w:top w:val="nil"/>
              <w:left w:val="single" w:sz="4" w:space="0" w:color="auto"/>
              <w:bottom w:val="single" w:sz="4" w:space="0" w:color="auto"/>
              <w:right w:val="single" w:sz="4" w:space="0" w:color="auto"/>
            </w:tcBorders>
            <w:shd w:val="clear" w:color="auto" w:fill="auto"/>
            <w:hideMark/>
          </w:tcPr>
          <w:p w:rsidR="00A64028" w:rsidRPr="00086001" w:rsidRDefault="00A64028" w:rsidP="00103148">
            <w:pPr>
              <w:spacing w:after="0"/>
              <w:rPr>
                <w:rFonts w:ascii="Arial Narrow" w:hAnsi="Arial Narrow"/>
                <w:sz w:val="20"/>
                <w:szCs w:val="20"/>
              </w:rPr>
            </w:pPr>
            <w:r w:rsidRPr="00086001">
              <w:rPr>
                <w:rFonts w:ascii="Arial Narrow" w:hAnsi="Arial Narrow"/>
                <w:sz w:val="20"/>
                <w:szCs w:val="20"/>
              </w:rPr>
              <w:t>Рынок услуг психолого-педагогического сопровождения детей с ограниченными возможностями здоровья</w:t>
            </w:r>
          </w:p>
        </w:tc>
        <w:tc>
          <w:tcPr>
            <w:tcW w:w="1348" w:type="dxa"/>
            <w:tcBorders>
              <w:top w:val="nil"/>
              <w:left w:val="nil"/>
              <w:bottom w:val="single" w:sz="4" w:space="0" w:color="auto"/>
              <w:right w:val="single" w:sz="4" w:space="0" w:color="auto"/>
            </w:tcBorders>
            <w:shd w:val="clear" w:color="auto" w:fill="auto"/>
            <w:noWrap/>
            <w:vAlign w:val="bottom"/>
            <w:hideMark/>
          </w:tcPr>
          <w:p w:rsidR="00A64028" w:rsidRPr="00086001" w:rsidRDefault="00A64028" w:rsidP="00103148">
            <w:pPr>
              <w:spacing w:after="0"/>
              <w:jc w:val="center"/>
              <w:rPr>
                <w:rFonts w:ascii="Arial Narrow" w:hAnsi="Arial Narrow"/>
                <w:sz w:val="20"/>
                <w:szCs w:val="20"/>
              </w:rPr>
            </w:pPr>
            <w:r w:rsidRPr="00086001">
              <w:rPr>
                <w:rFonts w:ascii="Arial Narrow" w:hAnsi="Arial Narrow"/>
                <w:sz w:val="20"/>
                <w:szCs w:val="20"/>
              </w:rPr>
              <w:t>5,4%</w:t>
            </w:r>
          </w:p>
        </w:tc>
        <w:tc>
          <w:tcPr>
            <w:tcW w:w="2621" w:type="dxa"/>
            <w:tcBorders>
              <w:top w:val="nil"/>
              <w:left w:val="nil"/>
              <w:bottom w:val="single" w:sz="4" w:space="0" w:color="auto"/>
              <w:right w:val="single" w:sz="4" w:space="0" w:color="auto"/>
            </w:tcBorders>
            <w:shd w:val="clear" w:color="auto" w:fill="auto"/>
            <w:noWrap/>
            <w:vAlign w:val="bottom"/>
            <w:hideMark/>
          </w:tcPr>
          <w:p w:rsidR="00A64028" w:rsidRPr="00086001" w:rsidRDefault="00A64028" w:rsidP="00103148">
            <w:pPr>
              <w:spacing w:after="0"/>
              <w:jc w:val="center"/>
              <w:rPr>
                <w:rFonts w:ascii="Arial Narrow" w:hAnsi="Arial Narrow"/>
                <w:sz w:val="20"/>
                <w:szCs w:val="20"/>
              </w:rPr>
            </w:pPr>
            <w:r w:rsidRPr="00086001">
              <w:rPr>
                <w:rFonts w:ascii="Arial Narrow" w:hAnsi="Arial Narrow"/>
                <w:sz w:val="20"/>
                <w:szCs w:val="20"/>
              </w:rPr>
              <w:t>0,005%</w:t>
            </w:r>
          </w:p>
        </w:tc>
      </w:tr>
      <w:tr w:rsidR="00A64028" w:rsidRPr="00086001" w:rsidTr="00086001">
        <w:tc>
          <w:tcPr>
            <w:tcW w:w="5925" w:type="dxa"/>
            <w:tcBorders>
              <w:top w:val="nil"/>
              <w:left w:val="single" w:sz="4" w:space="0" w:color="auto"/>
              <w:bottom w:val="single" w:sz="4" w:space="0" w:color="auto"/>
              <w:right w:val="single" w:sz="4" w:space="0" w:color="auto"/>
            </w:tcBorders>
            <w:shd w:val="clear" w:color="auto" w:fill="auto"/>
            <w:hideMark/>
          </w:tcPr>
          <w:p w:rsidR="00A64028" w:rsidRPr="00086001" w:rsidRDefault="00A64028" w:rsidP="00103148">
            <w:pPr>
              <w:spacing w:after="0"/>
              <w:rPr>
                <w:rFonts w:ascii="Arial Narrow" w:hAnsi="Arial Narrow"/>
                <w:sz w:val="20"/>
                <w:szCs w:val="20"/>
              </w:rPr>
            </w:pPr>
            <w:r w:rsidRPr="00086001">
              <w:rPr>
                <w:rFonts w:ascii="Arial Narrow" w:hAnsi="Arial Narrow"/>
                <w:sz w:val="20"/>
                <w:szCs w:val="20"/>
              </w:rPr>
              <w:t>Рынок услуг в сфере культуры</w:t>
            </w:r>
          </w:p>
        </w:tc>
        <w:tc>
          <w:tcPr>
            <w:tcW w:w="1348" w:type="dxa"/>
            <w:tcBorders>
              <w:top w:val="nil"/>
              <w:left w:val="nil"/>
              <w:bottom w:val="single" w:sz="4" w:space="0" w:color="auto"/>
              <w:right w:val="single" w:sz="4" w:space="0" w:color="auto"/>
            </w:tcBorders>
            <w:shd w:val="clear" w:color="auto" w:fill="auto"/>
            <w:noWrap/>
            <w:vAlign w:val="bottom"/>
            <w:hideMark/>
          </w:tcPr>
          <w:p w:rsidR="00A64028" w:rsidRPr="00086001" w:rsidRDefault="00A64028" w:rsidP="00103148">
            <w:pPr>
              <w:spacing w:after="0"/>
              <w:jc w:val="center"/>
              <w:rPr>
                <w:rFonts w:ascii="Arial Narrow" w:hAnsi="Arial Narrow"/>
                <w:sz w:val="20"/>
                <w:szCs w:val="20"/>
              </w:rPr>
            </w:pPr>
            <w:r w:rsidRPr="00086001">
              <w:rPr>
                <w:rFonts w:ascii="Arial Narrow" w:hAnsi="Arial Narrow"/>
                <w:sz w:val="20"/>
                <w:szCs w:val="20"/>
              </w:rPr>
              <w:t>90,1%</w:t>
            </w:r>
          </w:p>
        </w:tc>
        <w:tc>
          <w:tcPr>
            <w:tcW w:w="2621" w:type="dxa"/>
            <w:tcBorders>
              <w:top w:val="nil"/>
              <w:left w:val="nil"/>
              <w:bottom w:val="single" w:sz="4" w:space="0" w:color="auto"/>
              <w:right w:val="single" w:sz="4" w:space="0" w:color="auto"/>
            </w:tcBorders>
            <w:shd w:val="clear" w:color="auto" w:fill="auto"/>
            <w:noWrap/>
            <w:vAlign w:val="bottom"/>
            <w:hideMark/>
          </w:tcPr>
          <w:p w:rsidR="00A64028" w:rsidRPr="00086001" w:rsidRDefault="00A64028" w:rsidP="00103148">
            <w:pPr>
              <w:spacing w:after="0"/>
              <w:jc w:val="center"/>
              <w:rPr>
                <w:rFonts w:ascii="Arial Narrow" w:hAnsi="Arial Narrow"/>
                <w:sz w:val="20"/>
                <w:szCs w:val="20"/>
              </w:rPr>
            </w:pPr>
            <w:r w:rsidRPr="00086001">
              <w:rPr>
                <w:rFonts w:ascii="Arial Narrow" w:hAnsi="Arial Narrow"/>
                <w:sz w:val="20"/>
                <w:szCs w:val="20"/>
              </w:rPr>
              <w:t>0,08%</w:t>
            </w:r>
          </w:p>
        </w:tc>
      </w:tr>
      <w:tr w:rsidR="00A64028" w:rsidRPr="00086001" w:rsidTr="00086001">
        <w:tc>
          <w:tcPr>
            <w:tcW w:w="5925" w:type="dxa"/>
            <w:tcBorders>
              <w:top w:val="nil"/>
              <w:left w:val="single" w:sz="4" w:space="0" w:color="auto"/>
              <w:bottom w:val="single" w:sz="4" w:space="0" w:color="auto"/>
              <w:right w:val="single" w:sz="4" w:space="0" w:color="auto"/>
            </w:tcBorders>
            <w:shd w:val="clear" w:color="auto" w:fill="auto"/>
            <w:hideMark/>
          </w:tcPr>
          <w:p w:rsidR="00A64028" w:rsidRPr="00086001" w:rsidRDefault="00A64028" w:rsidP="00103148">
            <w:pPr>
              <w:spacing w:after="0"/>
              <w:rPr>
                <w:rFonts w:ascii="Arial Narrow" w:hAnsi="Arial Narrow"/>
                <w:sz w:val="20"/>
                <w:szCs w:val="20"/>
              </w:rPr>
            </w:pPr>
            <w:r w:rsidRPr="00086001">
              <w:rPr>
                <w:rFonts w:ascii="Arial Narrow" w:hAnsi="Arial Narrow"/>
                <w:sz w:val="20"/>
                <w:szCs w:val="20"/>
              </w:rPr>
              <w:t>Рынок услуг жилищно-коммунального хозяйства (управляющие компании)</w:t>
            </w:r>
          </w:p>
        </w:tc>
        <w:tc>
          <w:tcPr>
            <w:tcW w:w="1348" w:type="dxa"/>
            <w:tcBorders>
              <w:top w:val="nil"/>
              <w:left w:val="nil"/>
              <w:bottom w:val="single" w:sz="4" w:space="0" w:color="auto"/>
              <w:right w:val="single" w:sz="4" w:space="0" w:color="auto"/>
            </w:tcBorders>
            <w:shd w:val="clear" w:color="auto" w:fill="auto"/>
            <w:noWrap/>
            <w:vAlign w:val="bottom"/>
            <w:hideMark/>
          </w:tcPr>
          <w:p w:rsidR="00A64028" w:rsidRPr="00086001" w:rsidRDefault="00A64028" w:rsidP="00103148">
            <w:pPr>
              <w:spacing w:after="0"/>
              <w:jc w:val="center"/>
              <w:rPr>
                <w:rFonts w:ascii="Arial Narrow" w:hAnsi="Arial Narrow"/>
                <w:sz w:val="20"/>
                <w:szCs w:val="20"/>
              </w:rPr>
            </w:pPr>
            <w:r w:rsidRPr="00086001">
              <w:rPr>
                <w:rFonts w:ascii="Arial Narrow" w:hAnsi="Arial Narrow"/>
                <w:sz w:val="20"/>
                <w:szCs w:val="20"/>
              </w:rPr>
              <w:t>85,2%</w:t>
            </w:r>
          </w:p>
        </w:tc>
        <w:tc>
          <w:tcPr>
            <w:tcW w:w="2621" w:type="dxa"/>
            <w:tcBorders>
              <w:top w:val="nil"/>
              <w:left w:val="nil"/>
              <w:bottom w:val="single" w:sz="4" w:space="0" w:color="auto"/>
              <w:right w:val="single" w:sz="4" w:space="0" w:color="auto"/>
            </w:tcBorders>
            <w:shd w:val="clear" w:color="auto" w:fill="auto"/>
            <w:noWrap/>
            <w:vAlign w:val="bottom"/>
            <w:hideMark/>
          </w:tcPr>
          <w:p w:rsidR="00A64028" w:rsidRPr="00086001" w:rsidRDefault="00A64028" w:rsidP="00103148">
            <w:pPr>
              <w:spacing w:after="0"/>
              <w:jc w:val="center"/>
              <w:rPr>
                <w:rFonts w:ascii="Arial Narrow" w:hAnsi="Arial Narrow"/>
                <w:sz w:val="20"/>
                <w:szCs w:val="20"/>
              </w:rPr>
            </w:pPr>
            <w:r w:rsidRPr="00086001">
              <w:rPr>
                <w:rFonts w:ascii="Arial Narrow" w:hAnsi="Arial Narrow"/>
                <w:sz w:val="20"/>
                <w:szCs w:val="20"/>
              </w:rPr>
              <w:t>0,08%</w:t>
            </w:r>
          </w:p>
        </w:tc>
      </w:tr>
    </w:tbl>
    <w:p w:rsidR="00086001" w:rsidRPr="00086001" w:rsidRDefault="00086001" w:rsidP="00086001">
      <w:pPr>
        <w:spacing w:after="0" w:line="240" w:lineRule="auto"/>
        <w:jc w:val="right"/>
        <w:rPr>
          <w:rFonts w:ascii="Arial Narrow" w:hAnsi="Arial Narrow"/>
          <w:sz w:val="24"/>
          <w:szCs w:val="24"/>
        </w:rPr>
      </w:pPr>
      <w:r w:rsidRPr="00BF6DC4">
        <w:rPr>
          <w:rFonts w:ascii="Arial Narrow" w:hAnsi="Arial Narrow"/>
          <w:sz w:val="24"/>
          <w:szCs w:val="24"/>
        </w:rPr>
        <w:lastRenderedPageBreak/>
        <w:t xml:space="preserve">Продолжение Таблицы </w:t>
      </w:r>
      <w:r>
        <w:rPr>
          <w:rFonts w:ascii="Arial Narrow" w:hAnsi="Arial Narrow"/>
          <w:sz w:val="24"/>
          <w:szCs w:val="24"/>
        </w:rPr>
        <w:t>7.35</w:t>
      </w:r>
    </w:p>
    <w:tbl>
      <w:tblPr>
        <w:tblW w:w="9894" w:type="dxa"/>
        <w:tblInd w:w="-5" w:type="dxa"/>
        <w:tblLook w:val="04A0"/>
      </w:tblPr>
      <w:tblGrid>
        <w:gridCol w:w="5925"/>
        <w:gridCol w:w="1348"/>
        <w:gridCol w:w="2621"/>
      </w:tblGrid>
      <w:tr w:rsidR="00A64028" w:rsidRPr="00086001" w:rsidTr="00086001">
        <w:tc>
          <w:tcPr>
            <w:tcW w:w="5925" w:type="dxa"/>
            <w:tcBorders>
              <w:top w:val="single" w:sz="4" w:space="0" w:color="auto"/>
              <w:left w:val="single" w:sz="4" w:space="0" w:color="auto"/>
              <w:bottom w:val="single" w:sz="4" w:space="0" w:color="auto"/>
              <w:right w:val="single" w:sz="4" w:space="0" w:color="auto"/>
            </w:tcBorders>
            <w:shd w:val="clear" w:color="auto" w:fill="auto"/>
            <w:hideMark/>
          </w:tcPr>
          <w:p w:rsidR="00A64028" w:rsidRPr="00086001" w:rsidRDefault="00A64028" w:rsidP="00103148">
            <w:pPr>
              <w:spacing w:after="0"/>
              <w:rPr>
                <w:rFonts w:ascii="Arial Narrow" w:hAnsi="Arial Narrow"/>
                <w:sz w:val="20"/>
                <w:szCs w:val="20"/>
              </w:rPr>
            </w:pPr>
            <w:r w:rsidRPr="00086001">
              <w:rPr>
                <w:rFonts w:ascii="Arial Narrow" w:hAnsi="Arial Narrow"/>
                <w:sz w:val="20"/>
                <w:szCs w:val="20"/>
              </w:rPr>
              <w:t>Розничная торговля (продажа продуктов питания и непродовольственных товаров)</w:t>
            </w:r>
          </w:p>
        </w:tc>
        <w:tc>
          <w:tcPr>
            <w:tcW w:w="1348" w:type="dxa"/>
            <w:tcBorders>
              <w:top w:val="single" w:sz="4" w:space="0" w:color="auto"/>
              <w:left w:val="nil"/>
              <w:bottom w:val="single" w:sz="4" w:space="0" w:color="auto"/>
              <w:right w:val="single" w:sz="4" w:space="0" w:color="auto"/>
            </w:tcBorders>
            <w:shd w:val="clear" w:color="auto" w:fill="auto"/>
            <w:noWrap/>
            <w:vAlign w:val="bottom"/>
            <w:hideMark/>
          </w:tcPr>
          <w:p w:rsidR="00A64028" w:rsidRPr="00086001" w:rsidRDefault="00A64028" w:rsidP="00103148">
            <w:pPr>
              <w:spacing w:after="0"/>
              <w:jc w:val="center"/>
              <w:rPr>
                <w:rFonts w:ascii="Arial Narrow" w:hAnsi="Arial Narrow"/>
                <w:sz w:val="20"/>
                <w:szCs w:val="20"/>
              </w:rPr>
            </w:pPr>
            <w:r w:rsidRPr="00086001">
              <w:rPr>
                <w:rFonts w:ascii="Arial Narrow" w:hAnsi="Arial Narrow"/>
                <w:sz w:val="20"/>
                <w:szCs w:val="20"/>
              </w:rPr>
              <w:t>95,9%</w:t>
            </w:r>
          </w:p>
        </w:tc>
        <w:tc>
          <w:tcPr>
            <w:tcW w:w="2621" w:type="dxa"/>
            <w:tcBorders>
              <w:top w:val="single" w:sz="4" w:space="0" w:color="auto"/>
              <w:left w:val="nil"/>
              <w:bottom w:val="single" w:sz="4" w:space="0" w:color="auto"/>
              <w:right w:val="single" w:sz="4" w:space="0" w:color="auto"/>
            </w:tcBorders>
            <w:shd w:val="clear" w:color="auto" w:fill="auto"/>
            <w:noWrap/>
            <w:vAlign w:val="bottom"/>
            <w:hideMark/>
          </w:tcPr>
          <w:p w:rsidR="00A64028" w:rsidRPr="00086001" w:rsidRDefault="00A64028" w:rsidP="00103148">
            <w:pPr>
              <w:spacing w:after="0"/>
              <w:jc w:val="center"/>
              <w:rPr>
                <w:rFonts w:ascii="Arial Narrow" w:hAnsi="Arial Narrow"/>
                <w:sz w:val="20"/>
                <w:szCs w:val="20"/>
              </w:rPr>
            </w:pPr>
            <w:r w:rsidRPr="00086001">
              <w:rPr>
                <w:rFonts w:ascii="Arial Narrow" w:hAnsi="Arial Narrow"/>
                <w:sz w:val="20"/>
                <w:szCs w:val="20"/>
              </w:rPr>
              <w:t>0,09%</w:t>
            </w:r>
          </w:p>
        </w:tc>
      </w:tr>
      <w:tr w:rsidR="00A64028" w:rsidRPr="00086001" w:rsidTr="00086001">
        <w:tc>
          <w:tcPr>
            <w:tcW w:w="5925" w:type="dxa"/>
            <w:tcBorders>
              <w:top w:val="nil"/>
              <w:left w:val="single" w:sz="4" w:space="0" w:color="auto"/>
              <w:bottom w:val="single" w:sz="4" w:space="0" w:color="auto"/>
              <w:right w:val="single" w:sz="4" w:space="0" w:color="auto"/>
            </w:tcBorders>
            <w:shd w:val="clear" w:color="auto" w:fill="auto"/>
            <w:hideMark/>
          </w:tcPr>
          <w:p w:rsidR="00A64028" w:rsidRPr="00086001" w:rsidRDefault="00A64028" w:rsidP="00103148">
            <w:pPr>
              <w:spacing w:after="0"/>
              <w:rPr>
                <w:rFonts w:ascii="Arial Narrow" w:hAnsi="Arial Narrow"/>
                <w:sz w:val="20"/>
                <w:szCs w:val="20"/>
              </w:rPr>
            </w:pPr>
            <w:r w:rsidRPr="00086001">
              <w:rPr>
                <w:rFonts w:ascii="Arial Narrow" w:hAnsi="Arial Narrow"/>
                <w:sz w:val="20"/>
                <w:szCs w:val="20"/>
              </w:rPr>
              <w:t>Рынок услуг перевозок пассажиров наземным транспортом (автобусные перевозки и такси)</w:t>
            </w:r>
          </w:p>
        </w:tc>
        <w:tc>
          <w:tcPr>
            <w:tcW w:w="1348" w:type="dxa"/>
            <w:tcBorders>
              <w:top w:val="nil"/>
              <w:left w:val="nil"/>
              <w:bottom w:val="single" w:sz="4" w:space="0" w:color="auto"/>
              <w:right w:val="single" w:sz="4" w:space="0" w:color="auto"/>
            </w:tcBorders>
            <w:shd w:val="clear" w:color="auto" w:fill="auto"/>
            <w:noWrap/>
            <w:vAlign w:val="bottom"/>
            <w:hideMark/>
          </w:tcPr>
          <w:p w:rsidR="00A64028" w:rsidRPr="00086001" w:rsidRDefault="00A64028" w:rsidP="00103148">
            <w:pPr>
              <w:spacing w:after="0"/>
              <w:jc w:val="center"/>
              <w:rPr>
                <w:rFonts w:ascii="Arial Narrow" w:hAnsi="Arial Narrow"/>
                <w:sz w:val="20"/>
                <w:szCs w:val="20"/>
              </w:rPr>
            </w:pPr>
            <w:r w:rsidRPr="00086001">
              <w:rPr>
                <w:rFonts w:ascii="Arial Narrow" w:hAnsi="Arial Narrow"/>
                <w:sz w:val="20"/>
                <w:szCs w:val="20"/>
              </w:rPr>
              <w:t>94,5%</w:t>
            </w:r>
          </w:p>
        </w:tc>
        <w:tc>
          <w:tcPr>
            <w:tcW w:w="2621" w:type="dxa"/>
            <w:tcBorders>
              <w:top w:val="nil"/>
              <w:left w:val="nil"/>
              <w:bottom w:val="single" w:sz="4" w:space="0" w:color="auto"/>
              <w:right w:val="single" w:sz="4" w:space="0" w:color="auto"/>
            </w:tcBorders>
            <w:shd w:val="clear" w:color="auto" w:fill="auto"/>
            <w:noWrap/>
            <w:vAlign w:val="bottom"/>
            <w:hideMark/>
          </w:tcPr>
          <w:p w:rsidR="00A64028" w:rsidRPr="00086001" w:rsidRDefault="00A64028" w:rsidP="00103148">
            <w:pPr>
              <w:spacing w:after="0"/>
              <w:jc w:val="center"/>
              <w:rPr>
                <w:rFonts w:ascii="Arial Narrow" w:hAnsi="Arial Narrow"/>
                <w:sz w:val="20"/>
                <w:szCs w:val="20"/>
              </w:rPr>
            </w:pPr>
            <w:r w:rsidRPr="00086001">
              <w:rPr>
                <w:rFonts w:ascii="Arial Narrow" w:hAnsi="Arial Narrow"/>
                <w:sz w:val="20"/>
                <w:szCs w:val="20"/>
              </w:rPr>
              <w:t>0,09%</w:t>
            </w:r>
          </w:p>
        </w:tc>
      </w:tr>
      <w:tr w:rsidR="00A64028" w:rsidRPr="00086001" w:rsidTr="00086001">
        <w:tc>
          <w:tcPr>
            <w:tcW w:w="5925" w:type="dxa"/>
            <w:tcBorders>
              <w:top w:val="nil"/>
              <w:left w:val="single" w:sz="4" w:space="0" w:color="auto"/>
              <w:bottom w:val="single" w:sz="4" w:space="0" w:color="auto"/>
              <w:right w:val="single" w:sz="4" w:space="0" w:color="auto"/>
            </w:tcBorders>
            <w:shd w:val="clear" w:color="auto" w:fill="auto"/>
            <w:hideMark/>
          </w:tcPr>
          <w:p w:rsidR="00A64028" w:rsidRPr="00086001" w:rsidRDefault="00A64028" w:rsidP="00103148">
            <w:pPr>
              <w:spacing w:after="0"/>
              <w:rPr>
                <w:rFonts w:ascii="Arial Narrow" w:hAnsi="Arial Narrow"/>
                <w:sz w:val="20"/>
                <w:szCs w:val="20"/>
              </w:rPr>
            </w:pPr>
            <w:r w:rsidRPr="00086001">
              <w:rPr>
                <w:rFonts w:ascii="Arial Narrow" w:hAnsi="Arial Narrow"/>
                <w:sz w:val="20"/>
                <w:szCs w:val="20"/>
              </w:rPr>
              <w:t>Рынок услуг связи</w:t>
            </w:r>
          </w:p>
        </w:tc>
        <w:tc>
          <w:tcPr>
            <w:tcW w:w="1348" w:type="dxa"/>
            <w:tcBorders>
              <w:top w:val="nil"/>
              <w:left w:val="nil"/>
              <w:bottom w:val="single" w:sz="4" w:space="0" w:color="auto"/>
              <w:right w:val="single" w:sz="4" w:space="0" w:color="auto"/>
            </w:tcBorders>
            <w:shd w:val="clear" w:color="auto" w:fill="auto"/>
            <w:noWrap/>
            <w:vAlign w:val="bottom"/>
            <w:hideMark/>
          </w:tcPr>
          <w:p w:rsidR="00A64028" w:rsidRPr="00086001" w:rsidRDefault="00A64028" w:rsidP="00103148">
            <w:pPr>
              <w:spacing w:after="0"/>
              <w:jc w:val="center"/>
              <w:rPr>
                <w:rFonts w:ascii="Arial Narrow" w:hAnsi="Arial Narrow"/>
                <w:sz w:val="20"/>
                <w:szCs w:val="20"/>
              </w:rPr>
            </w:pPr>
            <w:r w:rsidRPr="00086001">
              <w:rPr>
                <w:rFonts w:ascii="Arial Narrow" w:hAnsi="Arial Narrow"/>
                <w:sz w:val="20"/>
                <w:szCs w:val="20"/>
              </w:rPr>
              <w:t>97,1%</w:t>
            </w:r>
          </w:p>
        </w:tc>
        <w:tc>
          <w:tcPr>
            <w:tcW w:w="2621" w:type="dxa"/>
            <w:tcBorders>
              <w:top w:val="nil"/>
              <w:left w:val="nil"/>
              <w:bottom w:val="single" w:sz="4" w:space="0" w:color="auto"/>
              <w:right w:val="single" w:sz="4" w:space="0" w:color="auto"/>
            </w:tcBorders>
            <w:shd w:val="clear" w:color="auto" w:fill="auto"/>
            <w:noWrap/>
            <w:vAlign w:val="bottom"/>
            <w:hideMark/>
          </w:tcPr>
          <w:p w:rsidR="00A64028" w:rsidRPr="00086001" w:rsidRDefault="00A64028" w:rsidP="00103148">
            <w:pPr>
              <w:spacing w:after="0"/>
              <w:jc w:val="center"/>
              <w:rPr>
                <w:rFonts w:ascii="Arial Narrow" w:hAnsi="Arial Narrow"/>
                <w:sz w:val="20"/>
                <w:szCs w:val="20"/>
              </w:rPr>
            </w:pPr>
            <w:r w:rsidRPr="00086001">
              <w:rPr>
                <w:rFonts w:ascii="Arial Narrow" w:hAnsi="Arial Narrow"/>
                <w:sz w:val="20"/>
                <w:szCs w:val="20"/>
              </w:rPr>
              <w:t>0,09%</w:t>
            </w:r>
          </w:p>
        </w:tc>
      </w:tr>
      <w:tr w:rsidR="00A64028" w:rsidRPr="00422331" w:rsidTr="00086001">
        <w:tc>
          <w:tcPr>
            <w:tcW w:w="5925" w:type="dxa"/>
            <w:tcBorders>
              <w:top w:val="single" w:sz="4" w:space="0" w:color="auto"/>
              <w:left w:val="single" w:sz="4" w:space="0" w:color="auto"/>
              <w:bottom w:val="single" w:sz="4" w:space="0" w:color="auto"/>
              <w:right w:val="single" w:sz="4" w:space="0" w:color="auto"/>
            </w:tcBorders>
            <w:shd w:val="clear" w:color="auto" w:fill="auto"/>
            <w:hideMark/>
          </w:tcPr>
          <w:p w:rsidR="00A64028" w:rsidRPr="00422331" w:rsidRDefault="00A64028" w:rsidP="00103148">
            <w:pPr>
              <w:spacing w:after="0"/>
              <w:rPr>
                <w:rFonts w:ascii="Arial Narrow" w:hAnsi="Arial Narrow"/>
                <w:sz w:val="17"/>
                <w:szCs w:val="17"/>
              </w:rPr>
            </w:pPr>
            <w:r w:rsidRPr="00422331">
              <w:rPr>
                <w:rFonts w:ascii="Arial Narrow" w:hAnsi="Arial Narrow"/>
                <w:sz w:val="17"/>
                <w:szCs w:val="17"/>
              </w:rPr>
              <w:t>Рынок услуг социального обслуживания населения</w:t>
            </w:r>
          </w:p>
        </w:tc>
        <w:tc>
          <w:tcPr>
            <w:tcW w:w="1348" w:type="dxa"/>
            <w:tcBorders>
              <w:top w:val="single" w:sz="4" w:space="0" w:color="auto"/>
              <w:left w:val="nil"/>
              <w:bottom w:val="single" w:sz="4" w:space="0" w:color="auto"/>
              <w:right w:val="single" w:sz="4" w:space="0" w:color="auto"/>
            </w:tcBorders>
            <w:shd w:val="clear" w:color="auto" w:fill="auto"/>
            <w:noWrap/>
            <w:vAlign w:val="bottom"/>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45,1%</w:t>
            </w:r>
          </w:p>
        </w:tc>
        <w:tc>
          <w:tcPr>
            <w:tcW w:w="2621" w:type="dxa"/>
            <w:tcBorders>
              <w:top w:val="single" w:sz="4" w:space="0" w:color="auto"/>
              <w:left w:val="nil"/>
              <w:bottom w:val="single" w:sz="4" w:space="0" w:color="auto"/>
              <w:right w:val="single" w:sz="4" w:space="0" w:color="auto"/>
            </w:tcBorders>
            <w:shd w:val="clear" w:color="auto" w:fill="auto"/>
            <w:noWrap/>
            <w:vAlign w:val="bottom"/>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0,04%</w:t>
            </w:r>
          </w:p>
        </w:tc>
      </w:tr>
      <w:tr w:rsidR="00A64028" w:rsidRPr="00422331" w:rsidTr="00086001">
        <w:tc>
          <w:tcPr>
            <w:tcW w:w="5925" w:type="dxa"/>
            <w:tcBorders>
              <w:top w:val="nil"/>
              <w:left w:val="single" w:sz="4" w:space="0" w:color="auto"/>
              <w:bottom w:val="single" w:sz="4" w:space="0" w:color="auto"/>
              <w:right w:val="single" w:sz="4" w:space="0" w:color="auto"/>
            </w:tcBorders>
            <w:shd w:val="clear" w:color="auto" w:fill="auto"/>
            <w:hideMark/>
          </w:tcPr>
          <w:p w:rsidR="00A64028" w:rsidRPr="00422331" w:rsidRDefault="00A64028" w:rsidP="00103148">
            <w:pPr>
              <w:spacing w:after="0"/>
              <w:rPr>
                <w:rFonts w:ascii="Arial Narrow" w:hAnsi="Arial Narrow"/>
                <w:sz w:val="17"/>
                <w:szCs w:val="17"/>
              </w:rPr>
            </w:pPr>
            <w:r w:rsidRPr="00422331">
              <w:rPr>
                <w:rFonts w:ascii="Arial Narrow" w:hAnsi="Arial Narrow"/>
                <w:sz w:val="17"/>
                <w:szCs w:val="17"/>
              </w:rPr>
              <w:t>Рынок развития, производства, переработки и хранения сельскохозяйственной продукции</w:t>
            </w:r>
          </w:p>
        </w:tc>
        <w:tc>
          <w:tcPr>
            <w:tcW w:w="1348" w:type="dxa"/>
            <w:tcBorders>
              <w:top w:val="nil"/>
              <w:left w:val="nil"/>
              <w:bottom w:val="single" w:sz="4" w:space="0" w:color="auto"/>
              <w:right w:val="single" w:sz="4" w:space="0" w:color="auto"/>
            </w:tcBorders>
            <w:shd w:val="clear" w:color="auto" w:fill="auto"/>
            <w:noWrap/>
            <w:vAlign w:val="bottom"/>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94,5%</w:t>
            </w:r>
          </w:p>
        </w:tc>
        <w:tc>
          <w:tcPr>
            <w:tcW w:w="2621" w:type="dxa"/>
            <w:tcBorders>
              <w:top w:val="nil"/>
              <w:left w:val="nil"/>
              <w:bottom w:val="single" w:sz="4" w:space="0" w:color="auto"/>
              <w:right w:val="single" w:sz="4" w:space="0" w:color="auto"/>
            </w:tcBorders>
            <w:shd w:val="clear" w:color="auto" w:fill="auto"/>
            <w:noWrap/>
            <w:vAlign w:val="bottom"/>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0,09%</w:t>
            </w:r>
          </w:p>
        </w:tc>
      </w:tr>
      <w:tr w:rsidR="00A64028" w:rsidRPr="00422331" w:rsidTr="00086001">
        <w:tc>
          <w:tcPr>
            <w:tcW w:w="5925" w:type="dxa"/>
            <w:tcBorders>
              <w:top w:val="nil"/>
              <w:left w:val="single" w:sz="4" w:space="0" w:color="auto"/>
              <w:bottom w:val="single" w:sz="4" w:space="0" w:color="auto"/>
              <w:right w:val="single" w:sz="4" w:space="0" w:color="auto"/>
            </w:tcBorders>
            <w:shd w:val="clear" w:color="auto" w:fill="auto"/>
            <w:hideMark/>
          </w:tcPr>
          <w:p w:rsidR="00A64028" w:rsidRPr="00422331" w:rsidRDefault="00A64028" w:rsidP="00103148">
            <w:pPr>
              <w:spacing w:after="0"/>
              <w:rPr>
                <w:rFonts w:ascii="Arial Narrow" w:hAnsi="Arial Narrow"/>
                <w:sz w:val="17"/>
                <w:szCs w:val="17"/>
              </w:rPr>
            </w:pPr>
            <w:r w:rsidRPr="00422331">
              <w:rPr>
                <w:rFonts w:ascii="Arial Narrow" w:hAnsi="Arial Narrow"/>
                <w:sz w:val="17"/>
                <w:szCs w:val="17"/>
              </w:rPr>
              <w:t>Рынок услуг по сбору, сортировке и переработке твердых коммунальных (бытовых) отходов</w:t>
            </w:r>
          </w:p>
        </w:tc>
        <w:tc>
          <w:tcPr>
            <w:tcW w:w="1348" w:type="dxa"/>
            <w:tcBorders>
              <w:top w:val="nil"/>
              <w:left w:val="nil"/>
              <w:bottom w:val="single" w:sz="4" w:space="0" w:color="auto"/>
              <w:right w:val="single" w:sz="4" w:space="0" w:color="auto"/>
            </w:tcBorders>
            <w:shd w:val="clear" w:color="auto" w:fill="auto"/>
            <w:noWrap/>
            <w:vAlign w:val="bottom"/>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93,4%</w:t>
            </w:r>
          </w:p>
        </w:tc>
        <w:tc>
          <w:tcPr>
            <w:tcW w:w="2621" w:type="dxa"/>
            <w:tcBorders>
              <w:top w:val="nil"/>
              <w:left w:val="nil"/>
              <w:bottom w:val="single" w:sz="4" w:space="0" w:color="auto"/>
              <w:right w:val="single" w:sz="4" w:space="0" w:color="auto"/>
            </w:tcBorders>
            <w:shd w:val="clear" w:color="auto" w:fill="auto"/>
            <w:noWrap/>
            <w:vAlign w:val="bottom"/>
            <w:hideMark/>
          </w:tcPr>
          <w:p w:rsidR="00A64028" w:rsidRPr="00422331" w:rsidRDefault="00A64028" w:rsidP="00103148">
            <w:pPr>
              <w:spacing w:after="0"/>
              <w:jc w:val="center"/>
              <w:rPr>
                <w:rFonts w:ascii="Arial Narrow" w:hAnsi="Arial Narrow"/>
                <w:sz w:val="17"/>
                <w:szCs w:val="17"/>
              </w:rPr>
            </w:pPr>
            <w:r w:rsidRPr="00422331">
              <w:rPr>
                <w:rFonts w:ascii="Arial Narrow" w:hAnsi="Arial Narrow"/>
                <w:sz w:val="17"/>
                <w:szCs w:val="17"/>
              </w:rPr>
              <w:t>0,09%</w:t>
            </w:r>
          </w:p>
        </w:tc>
      </w:tr>
    </w:tbl>
    <w:p w:rsidR="00A64028" w:rsidRPr="0030560B" w:rsidRDefault="00A64028" w:rsidP="00103148">
      <w:pPr>
        <w:spacing w:after="0"/>
        <w:rPr>
          <w:rFonts w:ascii="Arial Narrow" w:hAnsi="Arial Narrow"/>
          <w:bCs/>
          <w:iCs/>
          <w:sz w:val="20"/>
          <w:szCs w:val="20"/>
          <w:lang w:bidi="ru-RU"/>
        </w:rPr>
      </w:pPr>
    </w:p>
    <w:p w:rsidR="00A64028" w:rsidRPr="0030560B" w:rsidRDefault="00A64028" w:rsidP="00103148">
      <w:pPr>
        <w:spacing w:after="0"/>
        <w:rPr>
          <w:rFonts w:ascii="Arial Narrow" w:hAnsi="Arial Narrow"/>
        </w:rPr>
      </w:pPr>
    </w:p>
    <w:p w:rsidR="00A64028" w:rsidRPr="00B71ACD" w:rsidRDefault="00A64028" w:rsidP="00372BCB">
      <w:pPr>
        <w:pStyle w:val="3"/>
        <w:jc w:val="both"/>
        <w:rPr>
          <w:rFonts w:ascii="Arial Narrow" w:hAnsi="Arial Narrow"/>
          <w:i/>
          <w:iCs/>
          <w:sz w:val="28"/>
          <w:szCs w:val="28"/>
        </w:rPr>
      </w:pPr>
      <w:bookmarkStart w:id="92" w:name="_Toc469663932"/>
      <w:bookmarkStart w:id="93" w:name="_Toc473725874"/>
      <w:r>
        <w:rPr>
          <w:rFonts w:ascii="Arial Narrow" w:hAnsi="Arial Narrow"/>
          <w:i/>
          <w:iCs/>
          <w:sz w:val="28"/>
          <w:szCs w:val="28"/>
        </w:rPr>
        <w:t>3</w:t>
      </w:r>
      <w:r w:rsidRPr="00B71ACD">
        <w:rPr>
          <w:rFonts w:ascii="Arial Narrow" w:hAnsi="Arial Narrow"/>
          <w:i/>
          <w:iCs/>
          <w:sz w:val="28"/>
          <w:szCs w:val="28"/>
        </w:rPr>
        <w:t>.2. Структура (выделение групп) потребителей товаров, работ и услуг, на основании оценок которых проводился мониторинг</w:t>
      </w:r>
      <w:bookmarkEnd w:id="92"/>
      <w:bookmarkEnd w:id="93"/>
    </w:p>
    <w:p w:rsidR="00A64028" w:rsidRPr="0030560B" w:rsidRDefault="00A64028" w:rsidP="00103148">
      <w:pPr>
        <w:spacing w:after="0"/>
        <w:rPr>
          <w:rFonts w:ascii="Arial Narrow" w:hAnsi="Arial Narrow"/>
        </w:rPr>
      </w:pPr>
    </w:p>
    <w:p w:rsidR="00A64028" w:rsidRDefault="00A64028" w:rsidP="00372BCB">
      <w:pPr>
        <w:spacing w:after="0" w:line="360" w:lineRule="auto"/>
        <w:ind w:firstLine="284"/>
        <w:jc w:val="both"/>
        <w:rPr>
          <w:rFonts w:ascii="Arial Narrow" w:hAnsi="Arial Narrow"/>
          <w:sz w:val="24"/>
          <w:szCs w:val="24"/>
        </w:rPr>
      </w:pPr>
      <w:r w:rsidRPr="0030560B">
        <w:rPr>
          <w:rFonts w:ascii="Arial Narrow" w:hAnsi="Arial Narrow"/>
          <w:sz w:val="24"/>
          <w:szCs w:val="24"/>
        </w:rPr>
        <w:t xml:space="preserve">Социально-демографическая структура потребителей товаров и услуг социально значимых и приоритетных рынков представлены в </w:t>
      </w:r>
      <w:r>
        <w:rPr>
          <w:rFonts w:ascii="Arial Narrow" w:hAnsi="Arial Narrow"/>
          <w:sz w:val="24"/>
          <w:szCs w:val="24"/>
        </w:rPr>
        <w:t>таблице ниже</w:t>
      </w:r>
      <w:r w:rsidRPr="0030560B">
        <w:rPr>
          <w:rFonts w:ascii="Arial Narrow" w:hAnsi="Arial Narrow"/>
          <w:sz w:val="24"/>
          <w:szCs w:val="24"/>
        </w:rPr>
        <w:t>.</w:t>
      </w:r>
      <w:r w:rsidRPr="000D5501">
        <w:rPr>
          <w:rFonts w:ascii="Arial Narrow" w:hAnsi="Arial Narrow"/>
          <w:sz w:val="24"/>
          <w:szCs w:val="24"/>
        </w:rPr>
        <w:t xml:space="preserve"> Респонденты представлены по группам в соответствии с социальным статусом: пол, возраст, социальный статус (работающие, учащиеся, пенсионеры, безработные), группы по наличию детей, образованию, среднемесячному доходу на 1 члена семьи (руб.), типу населенного пункта и муниципальным образованиям.</w:t>
      </w:r>
    </w:p>
    <w:p w:rsidR="00372BCB" w:rsidRDefault="00372BCB" w:rsidP="00103148">
      <w:pPr>
        <w:spacing w:after="0"/>
        <w:rPr>
          <w:rFonts w:ascii="Arial Narrow" w:hAnsi="Arial Narrow"/>
        </w:rPr>
      </w:pPr>
    </w:p>
    <w:p w:rsidR="00A64028" w:rsidRPr="00372BCB" w:rsidRDefault="00A64028" w:rsidP="00103148">
      <w:pPr>
        <w:spacing w:after="0"/>
        <w:rPr>
          <w:rFonts w:ascii="Arial Narrow" w:hAnsi="Arial Narrow"/>
          <w:b/>
          <w:sz w:val="24"/>
          <w:szCs w:val="24"/>
        </w:rPr>
      </w:pPr>
      <w:r w:rsidRPr="00372BCB">
        <w:rPr>
          <w:rFonts w:ascii="Arial Narrow" w:hAnsi="Arial Narrow"/>
          <w:sz w:val="24"/>
          <w:szCs w:val="24"/>
        </w:rPr>
        <w:t xml:space="preserve">Таблица </w:t>
      </w:r>
      <w:r w:rsidR="00262F71" w:rsidRPr="00372BCB">
        <w:rPr>
          <w:rFonts w:ascii="Arial Narrow" w:hAnsi="Arial Narrow"/>
          <w:sz w:val="24"/>
          <w:szCs w:val="24"/>
        </w:rPr>
        <w:t>7.36.-</w:t>
      </w:r>
      <w:r w:rsidRPr="00372BCB">
        <w:rPr>
          <w:rFonts w:ascii="Arial Narrow" w:hAnsi="Arial Narrow"/>
          <w:sz w:val="24"/>
          <w:szCs w:val="24"/>
        </w:rPr>
        <w:t xml:space="preserve"> </w:t>
      </w:r>
      <w:r w:rsidRPr="00372BCB">
        <w:rPr>
          <w:rFonts w:ascii="Arial Narrow" w:hAnsi="Arial Narrow"/>
          <w:b/>
          <w:sz w:val="24"/>
          <w:szCs w:val="24"/>
        </w:rPr>
        <w:t>Социально-демографические характеристики респондентов, % от числа опрошенных</w:t>
      </w:r>
    </w:p>
    <w:tbl>
      <w:tblPr>
        <w:tblW w:w="9766"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2426"/>
        <w:gridCol w:w="2426"/>
        <w:gridCol w:w="2363"/>
        <w:gridCol w:w="2551"/>
      </w:tblGrid>
      <w:tr w:rsidR="00A64028" w:rsidRPr="00086001" w:rsidTr="00086001">
        <w:trPr>
          <w:cantSplit/>
          <w:tblHeader/>
        </w:trPr>
        <w:tc>
          <w:tcPr>
            <w:tcW w:w="4852" w:type="dxa"/>
            <w:gridSpan w:val="2"/>
            <w:shd w:val="clear" w:color="auto" w:fill="FFFFFF"/>
          </w:tcPr>
          <w:p w:rsidR="00A64028" w:rsidRPr="00086001" w:rsidRDefault="00A64028" w:rsidP="00372BCB">
            <w:pPr>
              <w:pStyle w:val="a5"/>
              <w:jc w:val="center"/>
              <w:rPr>
                <w:rFonts w:ascii="Arial Narrow" w:hAnsi="Arial Narrow"/>
                <w:color w:val="auto"/>
                <w:sz w:val="20"/>
                <w:szCs w:val="20"/>
              </w:rPr>
            </w:pPr>
          </w:p>
        </w:tc>
        <w:tc>
          <w:tcPr>
            <w:tcW w:w="2363" w:type="dxa"/>
            <w:shd w:val="clear" w:color="auto" w:fill="FFFFFF"/>
          </w:tcPr>
          <w:p w:rsidR="00A64028" w:rsidRPr="00086001" w:rsidRDefault="00A64028" w:rsidP="00372BCB">
            <w:pPr>
              <w:pStyle w:val="a5"/>
              <w:jc w:val="center"/>
              <w:rPr>
                <w:rFonts w:ascii="Arial Narrow" w:hAnsi="Arial Narrow"/>
                <w:sz w:val="20"/>
                <w:szCs w:val="20"/>
              </w:rPr>
            </w:pPr>
            <w:r w:rsidRPr="00086001">
              <w:rPr>
                <w:rFonts w:ascii="Arial Narrow" w:hAnsi="Arial Narrow"/>
                <w:sz w:val="20"/>
                <w:szCs w:val="20"/>
              </w:rPr>
              <w:t>Частоты</w:t>
            </w:r>
          </w:p>
        </w:tc>
        <w:tc>
          <w:tcPr>
            <w:tcW w:w="2551" w:type="dxa"/>
            <w:shd w:val="clear" w:color="auto" w:fill="FFFFFF"/>
          </w:tcPr>
          <w:p w:rsidR="00A64028" w:rsidRPr="00086001" w:rsidRDefault="00A64028" w:rsidP="00372BCB">
            <w:pPr>
              <w:pStyle w:val="a5"/>
              <w:jc w:val="center"/>
              <w:rPr>
                <w:rFonts w:ascii="Arial Narrow" w:hAnsi="Arial Narrow"/>
                <w:sz w:val="20"/>
                <w:szCs w:val="20"/>
              </w:rPr>
            </w:pPr>
            <w:r w:rsidRPr="00086001">
              <w:rPr>
                <w:rFonts w:ascii="Arial Narrow" w:hAnsi="Arial Narrow"/>
                <w:sz w:val="20"/>
                <w:szCs w:val="20"/>
              </w:rPr>
              <w:t>% по таблице</w:t>
            </w:r>
          </w:p>
        </w:tc>
      </w:tr>
      <w:tr w:rsidR="00A64028" w:rsidRPr="00086001" w:rsidTr="00086001">
        <w:trPr>
          <w:cantSplit/>
        </w:trPr>
        <w:tc>
          <w:tcPr>
            <w:tcW w:w="2426" w:type="dxa"/>
            <w:vMerge w:val="restart"/>
            <w:shd w:val="clear" w:color="auto" w:fill="FFFFFF"/>
            <w:vAlign w:val="center"/>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Муниципальное образование</w:t>
            </w:r>
          </w:p>
        </w:tc>
        <w:tc>
          <w:tcPr>
            <w:tcW w:w="2426" w:type="dxa"/>
            <w:shd w:val="clear" w:color="auto" w:fill="FFFFFF"/>
            <w:vAlign w:val="bottom"/>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Баганский МР</w:t>
            </w:r>
          </w:p>
        </w:tc>
        <w:tc>
          <w:tcPr>
            <w:tcW w:w="2363"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70</w:t>
            </w:r>
          </w:p>
        </w:tc>
        <w:tc>
          <w:tcPr>
            <w:tcW w:w="2551"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2,8%</w:t>
            </w:r>
          </w:p>
        </w:tc>
      </w:tr>
      <w:tr w:rsidR="00A64028" w:rsidRPr="00086001" w:rsidTr="00086001">
        <w:trPr>
          <w:cantSplit/>
        </w:trPr>
        <w:tc>
          <w:tcPr>
            <w:tcW w:w="2426" w:type="dxa"/>
            <w:vMerge/>
            <w:shd w:val="clear" w:color="auto" w:fill="FFFFFF"/>
            <w:vAlign w:val="center"/>
          </w:tcPr>
          <w:p w:rsidR="00A64028" w:rsidRPr="00086001" w:rsidRDefault="00A64028" w:rsidP="00086001">
            <w:pPr>
              <w:pStyle w:val="a5"/>
              <w:ind w:left="127"/>
              <w:rPr>
                <w:rFonts w:ascii="Arial Narrow" w:hAnsi="Arial Narrow"/>
                <w:sz w:val="20"/>
                <w:szCs w:val="20"/>
              </w:rPr>
            </w:pPr>
          </w:p>
        </w:tc>
        <w:tc>
          <w:tcPr>
            <w:tcW w:w="2426" w:type="dxa"/>
            <w:shd w:val="clear" w:color="auto" w:fill="FFFFFF"/>
            <w:vAlign w:val="bottom"/>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Барабинский МР</w:t>
            </w:r>
          </w:p>
        </w:tc>
        <w:tc>
          <w:tcPr>
            <w:tcW w:w="2363"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70</w:t>
            </w:r>
          </w:p>
        </w:tc>
        <w:tc>
          <w:tcPr>
            <w:tcW w:w="2551"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2,8%</w:t>
            </w:r>
          </w:p>
        </w:tc>
      </w:tr>
      <w:tr w:rsidR="00A64028" w:rsidRPr="00086001" w:rsidTr="00086001">
        <w:trPr>
          <w:cantSplit/>
        </w:trPr>
        <w:tc>
          <w:tcPr>
            <w:tcW w:w="2426" w:type="dxa"/>
            <w:vMerge/>
            <w:shd w:val="clear" w:color="auto" w:fill="FFFFFF"/>
            <w:vAlign w:val="center"/>
          </w:tcPr>
          <w:p w:rsidR="00A64028" w:rsidRPr="00086001" w:rsidRDefault="00A64028" w:rsidP="00086001">
            <w:pPr>
              <w:pStyle w:val="a5"/>
              <w:ind w:left="127"/>
              <w:rPr>
                <w:rFonts w:ascii="Arial Narrow" w:hAnsi="Arial Narrow"/>
                <w:sz w:val="20"/>
                <w:szCs w:val="20"/>
              </w:rPr>
            </w:pPr>
          </w:p>
        </w:tc>
        <w:tc>
          <w:tcPr>
            <w:tcW w:w="2426" w:type="dxa"/>
            <w:shd w:val="clear" w:color="auto" w:fill="FFFFFF"/>
            <w:vAlign w:val="bottom"/>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Болотнинский МР</w:t>
            </w:r>
          </w:p>
        </w:tc>
        <w:tc>
          <w:tcPr>
            <w:tcW w:w="2363"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70</w:t>
            </w:r>
          </w:p>
        </w:tc>
        <w:tc>
          <w:tcPr>
            <w:tcW w:w="2551"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2,8%</w:t>
            </w:r>
          </w:p>
        </w:tc>
      </w:tr>
      <w:tr w:rsidR="00A64028" w:rsidRPr="00086001" w:rsidTr="00086001">
        <w:trPr>
          <w:cantSplit/>
        </w:trPr>
        <w:tc>
          <w:tcPr>
            <w:tcW w:w="2426" w:type="dxa"/>
            <w:vMerge/>
            <w:shd w:val="clear" w:color="auto" w:fill="FFFFFF"/>
            <w:vAlign w:val="center"/>
          </w:tcPr>
          <w:p w:rsidR="00A64028" w:rsidRPr="00086001" w:rsidRDefault="00A64028" w:rsidP="00086001">
            <w:pPr>
              <w:pStyle w:val="a5"/>
              <w:ind w:left="127"/>
              <w:rPr>
                <w:rFonts w:ascii="Arial Narrow" w:hAnsi="Arial Narrow"/>
                <w:sz w:val="20"/>
                <w:szCs w:val="20"/>
              </w:rPr>
            </w:pPr>
          </w:p>
        </w:tc>
        <w:tc>
          <w:tcPr>
            <w:tcW w:w="2426" w:type="dxa"/>
            <w:shd w:val="clear" w:color="auto" w:fill="FFFFFF"/>
            <w:vAlign w:val="bottom"/>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Венгеровский МР</w:t>
            </w:r>
          </w:p>
        </w:tc>
        <w:tc>
          <w:tcPr>
            <w:tcW w:w="2363"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70</w:t>
            </w:r>
          </w:p>
        </w:tc>
        <w:tc>
          <w:tcPr>
            <w:tcW w:w="2551"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2,8%</w:t>
            </w:r>
          </w:p>
        </w:tc>
      </w:tr>
      <w:tr w:rsidR="00A64028" w:rsidRPr="00086001" w:rsidTr="00086001">
        <w:trPr>
          <w:cantSplit/>
        </w:trPr>
        <w:tc>
          <w:tcPr>
            <w:tcW w:w="2426" w:type="dxa"/>
            <w:vMerge/>
            <w:shd w:val="clear" w:color="auto" w:fill="FFFFFF"/>
            <w:vAlign w:val="center"/>
          </w:tcPr>
          <w:p w:rsidR="00A64028" w:rsidRPr="00086001" w:rsidRDefault="00A64028" w:rsidP="00086001">
            <w:pPr>
              <w:pStyle w:val="a5"/>
              <w:ind w:left="127"/>
              <w:rPr>
                <w:rFonts w:ascii="Arial Narrow" w:hAnsi="Arial Narrow"/>
                <w:sz w:val="20"/>
                <w:szCs w:val="20"/>
              </w:rPr>
            </w:pPr>
          </w:p>
        </w:tc>
        <w:tc>
          <w:tcPr>
            <w:tcW w:w="2426" w:type="dxa"/>
            <w:shd w:val="clear" w:color="auto" w:fill="FFFFFF"/>
            <w:vAlign w:val="bottom"/>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г. Бердск</w:t>
            </w:r>
          </w:p>
        </w:tc>
        <w:tc>
          <w:tcPr>
            <w:tcW w:w="2363"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73</w:t>
            </w:r>
          </w:p>
        </w:tc>
        <w:tc>
          <w:tcPr>
            <w:tcW w:w="2551"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2,9%</w:t>
            </w:r>
          </w:p>
        </w:tc>
      </w:tr>
      <w:tr w:rsidR="00A64028" w:rsidRPr="00086001" w:rsidTr="00086001">
        <w:trPr>
          <w:cantSplit/>
        </w:trPr>
        <w:tc>
          <w:tcPr>
            <w:tcW w:w="2426" w:type="dxa"/>
            <w:vMerge/>
            <w:shd w:val="clear" w:color="auto" w:fill="FFFFFF"/>
            <w:vAlign w:val="center"/>
          </w:tcPr>
          <w:p w:rsidR="00A64028" w:rsidRPr="00086001" w:rsidRDefault="00A64028" w:rsidP="00086001">
            <w:pPr>
              <w:pStyle w:val="a5"/>
              <w:ind w:left="127"/>
              <w:rPr>
                <w:rFonts w:ascii="Arial Narrow" w:hAnsi="Arial Narrow"/>
                <w:sz w:val="20"/>
                <w:szCs w:val="20"/>
              </w:rPr>
            </w:pPr>
          </w:p>
        </w:tc>
        <w:tc>
          <w:tcPr>
            <w:tcW w:w="2426" w:type="dxa"/>
            <w:shd w:val="clear" w:color="auto" w:fill="FFFFFF"/>
            <w:vAlign w:val="bottom"/>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г. Искитим</w:t>
            </w:r>
          </w:p>
        </w:tc>
        <w:tc>
          <w:tcPr>
            <w:tcW w:w="2363"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70</w:t>
            </w:r>
          </w:p>
        </w:tc>
        <w:tc>
          <w:tcPr>
            <w:tcW w:w="2551"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2,8%</w:t>
            </w:r>
          </w:p>
        </w:tc>
      </w:tr>
      <w:tr w:rsidR="00A64028" w:rsidRPr="00086001" w:rsidTr="00086001">
        <w:trPr>
          <w:cantSplit/>
        </w:trPr>
        <w:tc>
          <w:tcPr>
            <w:tcW w:w="2426" w:type="dxa"/>
            <w:vMerge/>
            <w:shd w:val="clear" w:color="auto" w:fill="FFFFFF"/>
            <w:vAlign w:val="center"/>
          </w:tcPr>
          <w:p w:rsidR="00A64028" w:rsidRPr="00086001" w:rsidRDefault="00A64028" w:rsidP="00086001">
            <w:pPr>
              <w:pStyle w:val="a5"/>
              <w:ind w:left="127"/>
              <w:rPr>
                <w:rFonts w:ascii="Arial Narrow" w:hAnsi="Arial Narrow"/>
                <w:sz w:val="20"/>
                <w:szCs w:val="20"/>
              </w:rPr>
            </w:pPr>
          </w:p>
        </w:tc>
        <w:tc>
          <w:tcPr>
            <w:tcW w:w="2426" w:type="dxa"/>
            <w:shd w:val="clear" w:color="auto" w:fill="FFFFFF"/>
            <w:vAlign w:val="bottom"/>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г. Новосибирск</w:t>
            </w:r>
          </w:p>
        </w:tc>
        <w:tc>
          <w:tcPr>
            <w:tcW w:w="2363"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150</w:t>
            </w:r>
          </w:p>
        </w:tc>
        <w:tc>
          <w:tcPr>
            <w:tcW w:w="2551"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5,9%</w:t>
            </w:r>
          </w:p>
        </w:tc>
      </w:tr>
      <w:tr w:rsidR="00A64028" w:rsidRPr="00086001" w:rsidTr="00086001">
        <w:trPr>
          <w:cantSplit/>
        </w:trPr>
        <w:tc>
          <w:tcPr>
            <w:tcW w:w="2426" w:type="dxa"/>
            <w:vMerge/>
            <w:shd w:val="clear" w:color="auto" w:fill="FFFFFF"/>
            <w:vAlign w:val="center"/>
          </w:tcPr>
          <w:p w:rsidR="00A64028" w:rsidRPr="00086001" w:rsidRDefault="00A64028" w:rsidP="00086001">
            <w:pPr>
              <w:pStyle w:val="a5"/>
              <w:ind w:left="127"/>
              <w:rPr>
                <w:rFonts w:ascii="Arial Narrow" w:hAnsi="Arial Narrow"/>
                <w:sz w:val="20"/>
                <w:szCs w:val="20"/>
              </w:rPr>
            </w:pPr>
          </w:p>
        </w:tc>
        <w:tc>
          <w:tcPr>
            <w:tcW w:w="2426" w:type="dxa"/>
            <w:shd w:val="clear" w:color="auto" w:fill="FFFFFF"/>
            <w:vAlign w:val="bottom"/>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г. Обь</w:t>
            </w:r>
          </w:p>
        </w:tc>
        <w:tc>
          <w:tcPr>
            <w:tcW w:w="2363"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71</w:t>
            </w:r>
          </w:p>
        </w:tc>
        <w:tc>
          <w:tcPr>
            <w:tcW w:w="2551"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2,8%</w:t>
            </w:r>
          </w:p>
        </w:tc>
      </w:tr>
      <w:tr w:rsidR="00A64028" w:rsidRPr="00086001" w:rsidTr="00086001">
        <w:trPr>
          <w:cantSplit/>
        </w:trPr>
        <w:tc>
          <w:tcPr>
            <w:tcW w:w="2426" w:type="dxa"/>
            <w:vMerge/>
            <w:shd w:val="clear" w:color="auto" w:fill="FFFFFF"/>
            <w:vAlign w:val="center"/>
          </w:tcPr>
          <w:p w:rsidR="00A64028" w:rsidRPr="00086001" w:rsidRDefault="00A64028" w:rsidP="00086001">
            <w:pPr>
              <w:pStyle w:val="a5"/>
              <w:ind w:left="127"/>
              <w:rPr>
                <w:rFonts w:ascii="Arial Narrow" w:hAnsi="Arial Narrow"/>
                <w:sz w:val="20"/>
                <w:szCs w:val="20"/>
              </w:rPr>
            </w:pPr>
          </w:p>
        </w:tc>
        <w:tc>
          <w:tcPr>
            <w:tcW w:w="2426" w:type="dxa"/>
            <w:shd w:val="clear" w:color="auto" w:fill="FFFFFF"/>
            <w:vAlign w:val="bottom"/>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Доволенский МР</w:t>
            </w:r>
          </w:p>
        </w:tc>
        <w:tc>
          <w:tcPr>
            <w:tcW w:w="2363"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71</w:t>
            </w:r>
          </w:p>
        </w:tc>
        <w:tc>
          <w:tcPr>
            <w:tcW w:w="2551"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2,8%</w:t>
            </w:r>
          </w:p>
        </w:tc>
      </w:tr>
      <w:tr w:rsidR="00A64028" w:rsidRPr="00086001" w:rsidTr="00086001">
        <w:trPr>
          <w:cantSplit/>
        </w:trPr>
        <w:tc>
          <w:tcPr>
            <w:tcW w:w="2426" w:type="dxa"/>
            <w:vMerge/>
            <w:shd w:val="clear" w:color="auto" w:fill="FFFFFF"/>
            <w:vAlign w:val="center"/>
          </w:tcPr>
          <w:p w:rsidR="00A64028" w:rsidRPr="00086001" w:rsidRDefault="00A64028" w:rsidP="00086001">
            <w:pPr>
              <w:pStyle w:val="a5"/>
              <w:ind w:left="127"/>
              <w:rPr>
                <w:rFonts w:ascii="Arial Narrow" w:hAnsi="Arial Narrow"/>
                <w:sz w:val="20"/>
                <w:szCs w:val="20"/>
              </w:rPr>
            </w:pPr>
          </w:p>
        </w:tc>
        <w:tc>
          <w:tcPr>
            <w:tcW w:w="2426" w:type="dxa"/>
            <w:shd w:val="clear" w:color="auto" w:fill="FFFFFF"/>
            <w:vAlign w:val="bottom"/>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Здвинский МР</w:t>
            </w:r>
          </w:p>
        </w:tc>
        <w:tc>
          <w:tcPr>
            <w:tcW w:w="2363"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70</w:t>
            </w:r>
          </w:p>
        </w:tc>
        <w:tc>
          <w:tcPr>
            <w:tcW w:w="2551"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2,8%</w:t>
            </w:r>
          </w:p>
        </w:tc>
      </w:tr>
      <w:tr w:rsidR="00A64028" w:rsidRPr="00086001" w:rsidTr="00086001">
        <w:trPr>
          <w:cantSplit/>
        </w:trPr>
        <w:tc>
          <w:tcPr>
            <w:tcW w:w="2426" w:type="dxa"/>
            <w:vMerge/>
            <w:shd w:val="clear" w:color="auto" w:fill="FFFFFF"/>
            <w:vAlign w:val="center"/>
          </w:tcPr>
          <w:p w:rsidR="00A64028" w:rsidRPr="00086001" w:rsidRDefault="00A64028" w:rsidP="00086001">
            <w:pPr>
              <w:pStyle w:val="a5"/>
              <w:ind w:left="127"/>
              <w:rPr>
                <w:rFonts w:ascii="Arial Narrow" w:hAnsi="Arial Narrow"/>
                <w:sz w:val="20"/>
                <w:szCs w:val="20"/>
              </w:rPr>
            </w:pPr>
          </w:p>
        </w:tc>
        <w:tc>
          <w:tcPr>
            <w:tcW w:w="2426" w:type="dxa"/>
            <w:shd w:val="clear" w:color="auto" w:fill="FFFFFF"/>
            <w:vAlign w:val="bottom"/>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Искитимский МР</w:t>
            </w:r>
          </w:p>
        </w:tc>
        <w:tc>
          <w:tcPr>
            <w:tcW w:w="2363"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70</w:t>
            </w:r>
          </w:p>
        </w:tc>
        <w:tc>
          <w:tcPr>
            <w:tcW w:w="2551"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2,8%</w:t>
            </w:r>
          </w:p>
        </w:tc>
      </w:tr>
      <w:tr w:rsidR="00A64028" w:rsidRPr="00086001" w:rsidTr="00086001">
        <w:trPr>
          <w:cantSplit/>
        </w:trPr>
        <w:tc>
          <w:tcPr>
            <w:tcW w:w="2426" w:type="dxa"/>
            <w:vMerge/>
            <w:shd w:val="clear" w:color="auto" w:fill="FFFFFF"/>
            <w:vAlign w:val="center"/>
          </w:tcPr>
          <w:p w:rsidR="00A64028" w:rsidRPr="00086001" w:rsidRDefault="00A64028" w:rsidP="00086001">
            <w:pPr>
              <w:pStyle w:val="a5"/>
              <w:ind w:left="127"/>
              <w:rPr>
                <w:rFonts w:ascii="Arial Narrow" w:hAnsi="Arial Narrow"/>
                <w:sz w:val="20"/>
                <w:szCs w:val="20"/>
              </w:rPr>
            </w:pPr>
          </w:p>
        </w:tc>
        <w:tc>
          <w:tcPr>
            <w:tcW w:w="2426" w:type="dxa"/>
            <w:shd w:val="clear" w:color="auto" w:fill="FFFFFF"/>
            <w:vAlign w:val="bottom"/>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Карасукский МР</w:t>
            </w:r>
          </w:p>
        </w:tc>
        <w:tc>
          <w:tcPr>
            <w:tcW w:w="2363"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70</w:t>
            </w:r>
          </w:p>
        </w:tc>
        <w:tc>
          <w:tcPr>
            <w:tcW w:w="2551"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2,8%</w:t>
            </w:r>
          </w:p>
        </w:tc>
      </w:tr>
      <w:tr w:rsidR="00A64028" w:rsidRPr="00086001" w:rsidTr="00086001">
        <w:trPr>
          <w:cantSplit/>
        </w:trPr>
        <w:tc>
          <w:tcPr>
            <w:tcW w:w="2426" w:type="dxa"/>
            <w:vMerge/>
            <w:shd w:val="clear" w:color="auto" w:fill="FFFFFF"/>
            <w:vAlign w:val="center"/>
          </w:tcPr>
          <w:p w:rsidR="00A64028" w:rsidRPr="00086001" w:rsidRDefault="00A64028" w:rsidP="00086001">
            <w:pPr>
              <w:pStyle w:val="a5"/>
              <w:ind w:left="127"/>
              <w:rPr>
                <w:rFonts w:ascii="Arial Narrow" w:hAnsi="Arial Narrow"/>
                <w:sz w:val="20"/>
                <w:szCs w:val="20"/>
              </w:rPr>
            </w:pPr>
          </w:p>
        </w:tc>
        <w:tc>
          <w:tcPr>
            <w:tcW w:w="2426" w:type="dxa"/>
            <w:shd w:val="clear" w:color="auto" w:fill="FFFFFF"/>
            <w:vAlign w:val="bottom"/>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Каргатский МР</w:t>
            </w:r>
          </w:p>
        </w:tc>
        <w:tc>
          <w:tcPr>
            <w:tcW w:w="2363"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70</w:t>
            </w:r>
          </w:p>
        </w:tc>
        <w:tc>
          <w:tcPr>
            <w:tcW w:w="2551"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2,8%</w:t>
            </w:r>
          </w:p>
        </w:tc>
      </w:tr>
      <w:tr w:rsidR="00A64028" w:rsidRPr="00086001" w:rsidTr="00086001">
        <w:trPr>
          <w:cantSplit/>
        </w:trPr>
        <w:tc>
          <w:tcPr>
            <w:tcW w:w="2426" w:type="dxa"/>
            <w:vMerge/>
            <w:shd w:val="clear" w:color="auto" w:fill="FFFFFF"/>
            <w:vAlign w:val="center"/>
          </w:tcPr>
          <w:p w:rsidR="00A64028" w:rsidRPr="00086001" w:rsidRDefault="00A64028" w:rsidP="00086001">
            <w:pPr>
              <w:pStyle w:val="a5"/>
              <w:ind w:left="127"/>
              <w:rPr>
                <w:rFonts w:ascii="Arial Narrow" w:hAnsi="Arial Narrow"/>
                <w:sz w:val="20"/>
                <w:szCs w:val="20"/>
              </w:rPr>
            </w:pPr>
          </w:p>
        </w:tc>
        <w:tc>
          <w:tcPr>
            <w:tcW w:w="2426" w:type="dxa"/>
            <w:shd w:val="clear" w:color="auto" w:fill="FFFFFF"/>
            <w:vAlign w:val="bottom"/>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Колыванский МР</w:t>
            </w:r>
          </w:p>
        </w:tc>
        <w:tc>
          <w:tcPr>
            <w:tcW w:w="2363"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70</w:t>
            </w:r>
          </w:p>
        </w:tc>
        <w:tc>
          <w:tcPr>
            <w:tcW w:w="2551"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2,8%</w:t>
            </w:r>
          </w:p>
        </w:tc>
      </w:tr>
      <w:tr w:rsidR="00A64028" w:rsidRPr="00086001" w:rsidTr="00086001">
        <w:trPr>
          <w:cantSplit/>
        </w:trPr>
        <w:tc>
          <w:tcPr>
            <w:tcW w:w="2426" w:type="dxa"/>
            <w:vMerge/>
            <w:shd w:val="clear" w:color="auto" w:fill="FFFFFF"/>
            <w:vAlign w:val="center"/>
          </w:tcPr>
          <w:p w:rsidR="00A64028" w:rsidRPr="00086001" w:rsidRDefault="00A64028" w:rsidP="00086001">
            <w:pPr>
              <w:pStyle w:val="a5"/>
              <w:ind w:left="127"/>
              <w:rPr>
                <w:rFonts w:ascii="Arial Narrow" w:hAnsi="Arial Narrow"/>
                <w:sz w:val="20"/>
                <w:szCs w:val="20"/>
              </w:rPr>
            </w:pPr>
          </w:p>
        </w:tc>
        <w:tc>
          <w:tcPr>
            <w:tcW w:w="2426" w:type="dxa"/>
            <w:shd w:val="clear" w:color="auto" w:fill="FFFFFF"/>
            <w:vAlign w:val="bottom"/>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Коченевский МР</w:t>
            </w:r>
          </w:p>
        </w:tc>
        <w:tc>
          <w:tcPr>
            <w:tcW w:w="2363"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70</w:t>
            </w:r>
          </w:p>
        </w:tc>
        <w:tc>
          <w:tcPr>
            <w:tcW w:w="2551"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2,8%</w:t>
            </w:r>
          </w:p>
        </w:tc>
      </w:tr>
      <w:tr w:rsidR="00A64028" w:rsidRPr="00086001" w:rsidTr="00086001">
        <w:trPr>
          <w:cantSplit/>
        </w:trPr>
        <w:tc>
          <w:tcPr>
            <w:tcW w:w="2426" w:type="dxa"/>
            <w:vMerge/>
            <w:shd w:val="clear" w:color="auto" w:fill="FFFFFF"/>
            <w:vAlign w:val="center"/>
          </w:tcPr>
          <w:p w:rsidR="00A64028" w:rsidRPr="00086001" w:rsidRDefault="00A64028" w:rsidP="00086001">
            <w:pPr>
              <w:pStyle w:val="a5"/>
              <w:ind w:left="127"/>
              <w:rPr>
                <w:rFonts w:ascii="Arial Narrow" w:hAnsi="Arial Narrow"/>
                <w:sz w:val="20"/>
                <w:szCs w:val="20"/>
              </w:rPr>
            </w:pPr>
          </w:p>
        </w:tc>
        <w:tc>
          <w:tcPr>
            <w:tcW w:w="2426" w:type="dxa"/>
            <w:shd w:val="clear" w:color="auto" w:fill="FFFFFF"/>
            <w:vAlign w:val="bottom"/>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Кочковский МР</w:t>
            </w:r>
          </w:p>
        </w:tc>
        <w:tc>
          <w:tcPr>
            <w:tcW w:w="2363"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70</w:t>
            </w:r>
          </w:p>
        </w:tc>
        <w:tc>
          <w:tcPr>
            <w:tcW w:w="2551"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2,8%</w:t>
            </w:r>
          </w:p>
        </w:tc>
      </w:tr>
      <w:tr w:rsidR="00A64028" w:rsidRPr="00086001" w:rsidTr="00086001">
        <w:trPr>
          <w:cantSplit/>
        </w:trPr>
        <w:tc>
          <w:tcPr>
            <w:tcW w:w="2426" w:type="dxa"/>
            <w:vMerge/>
            <w:shd w:val="clear" w:color="auto" w:fill="FFFFFF"/>
            <w:vAlign w:val="center"/>
          </w:tcPr>
          <w:p w:rsidR="00A64028" w:rsidRPr="00086001" w:rsidRDefault="00A64028" w:rsidP="00086001">
            <w:pPr>
              <w:pStyle w:val="a5"/>
              <w:ind w:left="127"/>
              <w:rPr>
                <w:rFonts w:ascii="Arial Narrow" w:hAnsi="Arial Narrow"/>
                <w:sz w:val="20"/>
                <w:szCs w:val="20"/>
              </w:rPr>
            </w:pPr>
          </w:p>
        </w:tc>
        <w:tc>
          <w:tcPr>
            <w:tcW w:w="2426" w:type="dxa"/>
            <w:shd w:val="clear" w:color="auto" w:fill="FFFFFF"/>
            <w:vAlign w:val="bottom"/>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Краснозерский МР</w:t>
            </w:r>
          </w:p>
        </w:tc>
        <w:tc>
          <w:tcPr>
            <w:tcW w:w="2363"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70</w:t>
            </w:r>
          </w:p>
        </w:tc>
        <w:tc>
          <w:tcPr>
            <w:tcW w:w="2551"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2,8%</w:t>
            </w:r>
          </w:p>
        </w:tc>
      </w:tr>
      <w:tr w:rsidR="00A64028" w:rsidRPr="00086001" w:rsidTr="00086001">
        <w:trPr>
          <w:cantSplit/>
        </w:trPr>
        <w:tc>
          <w:tcPr>
            <w:tcW w:w="2426" w:type="dxa"/>
            <w:vMerge/>
            <w:shd w:val="clear" w:color="auto" w:fill="FFFFFF"/>
            <w:vAlign w:val="center"/>
          </w:tcPr>
          <w:p w:rsidR="00A64028" w:rsidRPr="00086001" w:rsidRDefault="00A64028" w:rsidP="00086001">
            <w:pPr>
              <w:pStyle w:val="a5"/>
              <w:ind w:left="127"/>
              <w:rPr>
                <w:rFonts w:ascii="Arial Narrow" w:hAnsi="Arial Narrow"/>
                <w:sz w:val="20"/>
                <w:szCs w:val="20"/>
              </w:rPr>
            </w:pPr>
          </w:p>
        </w:tc>
        <w:tc>
          <w:tcPr>
            <w:tcW w:w="2426" w:type="dxa"/>
            <w:shd w:val="clear" w:color="auto" w:fill="FFFFFF"/>
            <w:vAlign w:val="bottom"/>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Куйбышевский МР</w:t>
            </w:r>
          </w:p>
        </w:tc>
        <w:tc>
          <w:tcPr>
            <w:tcW w:w="2363"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70</w:t>
            </w:r>
          </w:p>
        </w:tc>
        <w:tc>
          <w:tcPr>
            <w:tcW w:w="2551"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2,8%</w:t>
            </w:r>
          </w:p>
        </w:tc>
      </w:tr>
      <w:tr w:rsidR="00A64028" w:rsidRPr="00086001" w:rsidTr="00086001">
        <w:trPr>
          <w:cantSplit/>
        </w:trPr>
        <w:tc>
          <w:tcPr>
            <w:tcW w:w="2426" w:type="dxa"/>
            <w:vMerge/>
            <w:shd w:val="clear" w:color="auto" w:fill="FFFFFF"/>
            <w:vAlign w:val="center"/>
          </w:tcPr>
          <w:p w:rsidR="00A64028" w:rsidRPr="00086001" w:rsidRDefault="00A64028" w:rsidP="00086001">
            <w:pPr>
              <w:pStyle w:val="a5"/>
              <w:ind w:left="127"/>
              <w:rPr>
                <w:rFonts w:ascii="Arial Narrow" w:hAnsi="Arial Narrow"/>
                <w:sz w:val="20"/>
                <w:szCs w:val="20"/>
              </w:rPr>
            </w:pPr>
          </w:p>
        </w:tc>
        <w:tc>
          <w:tcPr>
            <w:tcW w:w="2426" w:type="dxa"/>
            <w:shd w:val="clear" w:color="auto" w:fill="FFFFFF"/>
            <w:vAlign w:val="bottom"/>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Купинский МР</w:t>
            </w:r>
          </w:p>
        </w:tc>
        <w:tc>
          <w:tcPr>
            <w:tcW w:w="2363"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72</w:t>
            </w:r>
          </w:p>
        </w:tc>
        <w:tc>
          <w:tcPr>
            <w:tcW w:w="2551"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2,8%</w:t>
            </w:r>
          </w:p>
        </w:tc>
      </w:tr>
      <w:tr w:rsidR="00A64028" w:rsidRPr="00086001" w:rsidTr="00086001">
        <w:trPr>
          <w:cantSplit/>
        </w:trPr>
        <w:tc>
          <w:tcPr>
            <w:tcW w:w="2426" w:type="dxa"/>
            <w:vMerge/>
            <w:shd w:val="clear" w:color="auto" w:fill="FFFFFF"/>
            <w:vAlign w:val="center"/>
          </w:tcPr>
          <w:p w:rsidR="00A64028" w:rsidRPr="00086001" w:rsidRDefault="00A64028" w:rsidP="00086001">
            <w:pPr>
              <w:pStyle w:val="a5"/>
              <w:ind w:left="127"/>
              <w:rPr>
                <w:rFonts w:ascii="Arial Narrow" w:hAnsi="Arial Narrow"/>
                <w:sz w:val="20"/>
                <w:szCs w:val="20"/>
              </w:rPr>
            </w:pPr>
          </w:p>
        </w:tc>
        <w:tc>
          <w:tcPr>
            <w:tcW w:w="2426" w:type="dxa"/>
            <w:shd w:val="clear" w:color="auto" w:fill="FFFFFF"/>
            <w:vAlign w:val="bottom"/>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Кыштовский МР</w:t>
            </w:r>
          </w:p>
        </w:tc>
        <w:tc>
          <w:tcPr>
            <w:tcW w:w="2363"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70</w:t>
            </w:r>
          </w:p>
        </w:tc>
        <w:tc>
          <w:tcPr>
            <w:tcW w:w="2551"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2,8%</w:t>
            </w:r>
          </w:p>
        </w:tc>
      </w:tr>
      <w:tr w:rsidR="00A64028" w:rsidRPr="00086001" w:rsidTr="00086001">
        <w:trPr>
          <w:cantSplit/>
        </w:trPr>
        <w:tc>
          <w:tcPr>
            <w:tcW w:w="2426" w:type="dxa"/>
            <w:vMerge/>
            <w:shd w:val="clear" w:color="auto" w:fill="FFFFFF"/>
            <w:vAlign w:val="center"/>
          </w:tcPr>
          <w:p w:rsidR="00A64028" w:rsidRPr="00086001" w:rsidRDefault="00A64028" w:rsidP="00086001">
            <w:pPr>
              <w:pStyle w:val="a5"/>
              <w:ind w:left="127"/>
              <w:rPr>
                <w:rFonts w:ascii="Arial Narrow" w:hAnsi="Arial Narrow"/>
                <w:sz w:val="20"/>
                <w:szCs w:val="20"/>
              </w:rPr>
            </w:pPr>
          </w:p>
        </w:tc>
        <w:tc>
          <w:tcPr>
            <w:tcW w:w="2426" w:type="dxa"/>
            <w:shd w:val="clear" w:color="auto" w:fill="FFFFFF"/>
            <w:vAlign w:val="bottom"/>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Маслянинский МР</w:t>
            </w:r>
          </w:p>
        </w:tc>
        <w:tc>
          <w:tcPr>
            <w:tcW w:w="2363"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70</w:t>
            </w:r>
          </w:p>
        </w:tc>
        <w:tc>
          <w:tcPr>
            <w:tcW w:w="2551"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2,8%</w:t>
            </w:r>
          </w:p>
        </w:tc>
      </w:tr>
      <w:tr w:rsidR="00A64028" w:rsidRPr="00086001" w:rsidTr="00086001">
        <w:trPr>
          <w:cantSplit/>
        </w:trPr>
        <w:tc>
          <w:tcPr>
            <w:tcW w:w="2426" w:type="dxa"/>
            <w:vMerge/>
            <w:shd w:val="clear" w:color="auto" w:fill="FFFFFF"/>
            <w:vAlign w:val="center"/>
          </w:tcPr>
          <w:p w:rsidR="00A64028" w:rsidRPr="00086001" w:rsidRDefault="00A64028" w:rsidP="00086001">
            <w:pPr>
              <w:pStyle w:val="a5"/>
              <w:ind w:left="127"/>
              <w:rPr>
                <w:rFonts w:ascii="Arial Narrow" w:hAnsi="Arial Narrow"/>
                <w:sz w:val="20"/>
                <w:szCs w:val="20"/>
              </w:rPr>
            </w:pPr>
          </w:p>
        </w:tc>
        <w:tc>
          <w:tcPr>
            <w:tcW w:w="2426" w:type="dxa"/>
            <w:shd w:val="clear" w:color="auto" w:fill="FFFFFF"/>
            <w:vAlign w:val="bottom"/>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Мошковский МР</w:t>
            </w:r>
          </w:p>
        </w:tc>
        <w:tc>
          <w:tcPr>
            <w:tcW w:w="2363"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71</w:t>
            </w:r>
          </w:p>
        </w:tc>
        <w:tc>
          <w:tcPr>
            <w:tcW w:w="2551"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2,8%</w:t>
            </w:r>
          </w:p>
        </w:tc>
      </w:tr>
      <w:tr w:rsidR="00A64028" w:rsidRPr="00086001" w:rsidTr="00086001">
        <w:trPr>
          <w:cantSplit/>
        </w:trPr>
        <w:tc>
          <w:tcPr>
            <w:tcW w:w="2426" w:type="dxa"/>
            <w:vMerge/>
            <w:shd w:val="clear" w:color="auto" w:fill="FFFFFF"/>
            <w:vAlign w:val="center"/>
          </w:tcPr>
          <w:p w:rsidR="00A64028" w:rsidRPr="00086001" w:rsidRDefault="00A64028" w:rsidP="00086001">
            <w:pPr>
              <w:pStyle w:val="a5"/>
              <w:ind w:left="127"/>
              <w:rPr>
                <w:rFonts w:ascii="Arial Narrow" w:hAnsi="Arial Narrow"/>
                <w:sz w:val="20"/>
                <w:szCs w:val="20"/>
              </w:rPr>
            </w:pPr>
          </w:p>
        </w:tc>
        <w:tc>
          <w:tcPr>
            <w:tcW w:w="2426" w:type="dxa"/>
            <w:shd w:val="clear" w:color="auto" w:fill="FFFFFF"/>
            <w:vAlign w:val="bottom"/>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Новосибирский МР</w:t>
            </w:r>
          </w:p>
        </w:tc>
        <w:tc>
          <w:tcPr>
            <w:tcW w:w="2363"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70</w:t>
            </w:r>
          </w:p>
        </w:tc>
        <w:tc>
          <w:tcPr>
            <w:tcW w:w="2551"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2,8%</w:t>
            </w:r>
          </w:p>
        </w:tc>
      </w:tr>
      <w:tr w:rsidR="00A64028" w:rsidRPr="00086001" w:rsidTr="00086001">
        <w:trPr>
          <w:cantSplit/>
        </w:trPr>
        <w:tc>
          <w:tcPr>
            <w:tcW w:w="2426" w:type="dxa"/>
            <w:vMerge/>
            <w:shd w:val="clear" w:color="auto" w:fill="FFFFFF"/>
            <w:vAlign w:val="center"/>
          </w:tcPr>
          <w:p w:rsidR="00A64028" w:rsidRPr="00086001" w:rsidRDefault="00A64028" w:rsidP="00086001">
            <w:pPr>
              <w:pStyle w:val="a5"/>
              <w:ind w:left="127"/>
              <w:rPr>
                <w:rFonts w:ascii="Arial Narrow" w:hAnsi="Arial Narrow"/>
                <w:sz w:val="20"/>
                <w:szCs w:val="20"/>
              </w:rPr>
            </w:pPr>
          </w:p>
        </w:tc>
        <w:tc>
          <w:tcPr>
            <w:tcW w:w="2426" w:type="dxa"/>
            <w:shd w:val="clear" w:color="auto" w:fill="FFFFFF"/>
            <w:vAlign w:val="bottom"/>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Ордынский МР</w:t>
            </w:r>
          </w:p>
        </w:tc>
        <w:tc>
          <w:tcPr>
            <w:tcW w:w="2363"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71</w:t>
            </w:r>
          </w:p>
        </w:tc>
        <w:tc>
          <w:tcPr>
            <w:tcW w:w="2551"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2,8%</w:t>
            </w:r>
          </w:p>
        </w:tc>
      </w:tr>
      <w:tr w:rsidR="00A64028" w:rsidRPr="00086001" w:rsidTr="00086001">
        <w:trPr>
          <w:cantSplit/>
        </w:trPr>
        <w:tc>
          <w:tcPr>
            <w:tcW w:w="2426" w:type="dxa"/>
            <w:vMerge/>
            <w:shd w:val="clear" w:color="auto" w:fill="FFFFFF"/>
            <w:vAlign w:val="center"/>
          </w:tcPr>
          <w:p w:rsidR="00A64028" w:rsidRPr="00086001" w:rsidRDefault="00A64028" w:rsidP="00086001">
            <w:pPr>
              <w:pStyle w:val="a5"/>
              <w:ind w:left="127"/>
              <w:rPr>
                <w:rFonts w:ascii="Arial Narrow" w:hAnsi="Arial Narrow"/>
                <w:sz w:val="20"/>
                <w:szCs w:val="20"/>
              </w:rPr>
            </w:pPr>
          </w:p>
        </w:tc>
        <w:tc>
          <w:tcPr>
            <w:tcW w:w="2426" w:type="dxa"/>
            <w:shd w:val="clear" w:color="auto" w:fill="FFFFFF"/>
            <w:vAlign w:val="bottom"/>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рп Кольцово</w:t>
            </w:r>
          </w:p>
        </w:tc>
        <w:tc>
          <w:tcPr>
            <w:tcW w:w="2363"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70</w:t>
            </w:r>
          </w:p>
        </w:tc>
        <w:tc>
          <w:tcPr>
            <w:tcW w:w="2551"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2,8%</w:t>
            </w:r>
          </w:p>
        </w:tc>
      </w:tr>
      <w:tr w:rsidR="00A64028" w:rsidRPr="00086001" w:rsidTr="00086001">
        <w:trPr>
          <w:cantSplit/>
        </w:trPr>
        <w:tc>
          <w:tcPr>
            <w:tcW w:w="2426" w:type="dxa"/>
            <w:vMerge/>
            <w:shd w:val="clear" w:color="auto" w:fill="FFFFFF"/>
            <w:vAlign w:val="center"/>
          </w:tcPr>
          <w:p w:rsidR="00A64028" w:rsidRPr="00086001" w:rsidRDefault="00A64028" w:rsidP="00086001">
            <w:pPr>
              <w:pStyle w:val="a5"/>
              <w:ind w:left="127"/>
              <w:rPr>
                <w:rFonts w:ascii="Arial Narrow" w:hAnsi="Arial Narrow"/>
                <w:sz w:val="20"/>
                <w:szCs w:val="20"/>
              </w:rPr>
            </w:pPr>
          </w:p>
        </w:tc>
        <w:tc>
          <w:tcPr>
            <w:tcW w:w="2426" w:type="dxa"/>
            <w:shd w:val="clear" w:color="auto" w:fill="FFFFFF"/>
            <w:vAlign w:val="bottom"/>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Северный МР</w:t>
            </w:r>
          </w:p>
        </w:tc>
        <w:tc>
          <w:tcPr>
            <w:tcW w:w="2363"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70</w:t>
            </w:r>
          </w:p>
        </w:tc>
        <w:tc>
          <w:tcPr>
            <w:tcW w:w="2551"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2,8%</w:t>
            </w:r>
          </w:p>
        </w:tc>
      </w:tr>
      <w:tr w:rsidR="00A64028" w:rsidRPr="00086001" w:rsidTr="00086001">
        <w:trPr>
          <w:cantSplit/>
        </w:trPr>
        <w:tc>
          <w:tcPr>
            <w:tcW w:w="2426" w:type="dxa"/>
            <w:vMerge/>
            <w:shd w:val="clear" w:color="auto" w:fill="FFFFFF"/>
            <w:vAlign w:val="center"/>
          </w:tcPr>
          <w:p w:rsidR="00A64028" w:rsidRPr="00086001" w:rsidRDefault="00A64028" w:rsidP="00086001">
            <w:pPr>
              <w:pStyle w:val="a5"/>
              <w:ind w:left="127"/>
              <w:rPr>
                <w:rFonts w:ascii="Arial Narrow" w:hAnsi="Arial Narrow"/>
                <w:sz w:val="20"/>
                <w:szCs w:val="20"/>
              </w:rPr>
            </w:pPr>
          </w:p>
        </w:tc>
        <w:tc>
          <w:tcPr>
            <w:tcW w:w="2426" w:type="dxa"/>
            <w:shd w:val="clear" w:color="auto" w:fill="FFFFFF"/>
            <w:vAlign w:val="bottom"/>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Сузунский МР</w:t>
            </w:r>
          </w:p>
        </w:tc>
        <w:tc>
          <w:tcPr>
            <w:tcW w:w="2363"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70</w:t>
            </w:r>
          </w:p>
        </w:tc>
        <w:tc>
          <w:tcPr>
            <w:tcW w:w="2551"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2,8%</w:t>
            </w:r>
          </w:p>
        </w:tc>
      </w:tr>
      <w:tr w:rsidR="00A64028" w:rsidRPr="00086001" w:rsidTr="00086001">
        <w:trPr>
          <w:cantSplit/>
        </w:trPr>
        <w:tc>
          <w:tcPr>
            <w:tcW w:w="2426" w:type="dxa"/>
            <w:vMerge/>
            <w:shd w:val="clear" w:color="auto" w:fill="FFFFFF"/>
            <w:vAlign w:val="center"/>
          </w:tcPr>
          <w:p w:rsidR="00A64028" w:rsidRPr="00086001" w:rsidRDefault="00A64028" w:rsidP="00086001">
            <w:pPr>
              <w:pStyle w:val="a5"/>
              <w:ind w:left="127"/>
              <w:rPr>
                <w:rFonts w:ascii="Arial Narrow" w:hAnsi="Arial Narrow"/>
                <w:sz w:val="20"/>
                <w:szCs w:val="20"/>
              </w:rPr>
            </w:pPr>
          </w:p>
        </w:tc>
        <w:tc>
          <w:tcPr>
            <w:tcW w:w="2426" w:type="dxa"/>
            <w:shd w:val="clear" w:color="auto" w:fill="FFFFFF"/>
            <w:vAlign w:val="bottom"/>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Татарский МР</w:t>
            </w:r>
          </w:p>
        </w:tc>
        <w:tc>
          <w:tcPr>
            <w:tcW w:w="2363"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70</w:t>
            </w:r>
          </w:p>
        </w:tc>
        <w:tc>
          <w:tcPr>
            <w:tcW w:w="2551"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2,8%</w:t>
            </w:r>
          </w:p>
        </w:tc>
      </w:tr>
      <w:tr w:rsidR="00A64028" w:rsidRPr="00086001" w:rsidTr="00086001">
        <w:trPr>
          <w:cantSplit/>
        </w:trPr>
        <w:tc>
          <w:tcPr>
            <w:tcW w:w="2426" w:type="dxa"/>
            <w:vMerge/>
            <w:shd w:val="clear" w:color="auto" w:fill="FFFFFF"/>
            <w:vAlign w:val="center"/>
          </w:tcPr>
          <w:p w:rsidR="00A64028" w:rsidRPr="00086001" w:rsidRDefault="00A64028" w:rsidP="00086001">
            <w:pPr>
              <w:pStyle w:val="a5"/>
              <w:ind w:left="127"/>
              <w:rPr>
                <w:rFonts w:ascii="Arial Narrow" w:hAnsi="Arial Narrow"/>
                <w:sz w:val="20"/>
                <w:szCs w:val="20"/>
              </w:rPr>
            </w:pPr>
          </w:p>
        </w:tc>
        <w:tc>
          <w:tcPr>
            <w:tcW w:w="2426" w:type="dxa"/>
            <w:shd w:val="clear" w:color="auto" w:fill="FFFFFF"/>
            <w:vAlign w:val="bottom"/>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Тогучинский МР</w:t>
            </w:r>
          </w:p>
        </w:tc>
        <w:tc>
          <w:tcPr>
            <w:tcW w:w="2363"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70</w:t>
            </w:r>
          </w:p>
        </w:tc>
        <w:tc>
          <w:tcPr>
            <w:tcW w:w="2551"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2,8%</w:t>
            </w:r>
          </w:p>
        </w:tc>
      </w:tr>
    </w:tbl>
    <w:p w:rsidR="00086001" w:rsidRPr="00086001" w:rsidRDefault="00086001" w:rsidP="00086001">
      <w:pPr>
        <w:spacing w:after="0" w:line="240" w:lineRule="auto"/>
        <w:jc w:val="right"/>
        <w:rPr>
          <w:rFonts w:ascii="Arial Narrow" w:hAnsi="Arial Narrow"/>
          <w:sz w:val="24"/>
          <w:szCs w:val="24"/>
        </w:rPr>
      </w:pPr>
      <w:r w:rsidRPr="00BF6DC4">
        <w:rPr>
          <w:rFonts w:ascii="Arial Narrow" w:hAnsi="Arial Narrow"/>
          <w:sz w:val="24"/>
          <w:szCs w:val="24"/>
        </w:rPr>
        <w:lastRenderedPageBreak/>
        <w:t xml:space="preserve">Продолжение Таблицы </w:t>
      </w:r>
      <w:r>
        <w:rPr>
          <w:rFonts w:ascii="Arial Narrow" w:hAnsi="Arial Narrow"/>
          <w:sz w:val="24"/>
          <w:szCs w:val="24"/>
        </w:rPr>
        <w:t>7.36</w:t>
      </w:r>
    </w:p>
    <w:tbl>
      <w:tblPr>
        <w:tblW w:w="9766"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2426"/>
        <w:gridCol w:w="2426"/>
        <w:gridCol w:w="2363"/>
        <w:gridCol w:w="2551"/>
      </w:tblGrid>
      <w:tr w:rsidR="00A64028" w:rsidRPr="00086001" w:rsidTr="00086001">
        <w:trPr>
          <w:cantSplit/>
        </w:trPr>
        <w:tc>
          <w:tcPr>
            <w:tcW w:w="2426" w:type="dxa"/>
            <w:vMerge w:val="restart"/>
            <w:shd w:val="clear" w:color="auto" w:fill="FFFFFF"/>
            <w:vAlign w:val="center"/>
          </w:tcPr>
          <w:p w:rsidR="00A64028" w:rsidRPr="00086001" w:rsidRDefault="00A64028" w:rsidP="00086001">
            <w:pPr>
              <w:pStyle w:val="a5"/>
              <w:ind w:left="127"/>
              <w:rPr>
                <w:rFonts w:ascii="Arial Narrow" w:hAnsi="Arial Narrow"/>
                <w:sz w:val="20"/>
                <w:szCs w:val="20"/>
              </w:rPr>
            </w:pPr>
          </w:p>
        </w:tc>
        <w:tc>
          <w:tcPr>
            <w:tcW w:w="2426" w:type="dxa"/>
            <w:shd w:val="clear" w:color="auto" w:fill="FFFFFF"/>
            <w:vAlign w:val="bottom"/>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Убинский МР</w:t>
            </w:r>
          </w:p>
        </w:tc>
        <w:tc>
          <w:tcPr>
            <w:tcW w:w="2363"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70</w:t>
            </w:r>
          </w:p>
        </w:tc>
        <w:tc>
          <w:tcPr>
            <w:tcW w:w="2551"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2,8%</w:t>
            </w:r>
          </w:p>
        </w:tc>
      </w:tr>
      <w:tr w:rsidR="00A64028" w:rsidRPr="00086001" w:rsidTr="00086001">
        <w:trPr>
          <w:cantSplit/>
        </w:trPr>
        <w:tc>
          <w:tcPr>
            <w:tcW w:w="2426" w:type="dxa"/>
            <w:vMerge/>
            <w:shd w:val="clear" w:color="auto" w:fill="FFFFFF"/>
            <w:vAlign w:val="center"/>
          </w:tcPr>
          <w:p w:rsidR="00A64028" w:rsidRPr="00086001" w:rsidRDefault="00A64028" w:rsidP="00086001">
            <w:pPr>
              <w:pStyle w:val="a5"/>
              <w:ind w:left="127"/>
              <w:rPr>
                <w:rFonts w:ascii="Arial Narrow" w:hAnsi="Arial Narrow"/>
                <w:sz w:val="20"/>
                <w:szCs w:val="20"/>
              </w:rPr>
            </w:pPr>
          </w:p>
        </w:tc>
        <w:tc>
          <w:tcPr>
            <w:tcW w:w="2426" w:type="dxa"/>
            <w:shd w:val="clear" w:color="auto" w:fill="FFFFFF"/>
            <w:vAlign w:val="bottom"/>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Усть-Таркский МР</w:t>
            </w:r>
          </w:p>
        </w:tc>
        <w:tc>
          <w:tcPr>
            <w:tcW w:w="2363"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70</w:t>
            </w:r>
          </w:p>
        </w:tc>
        <w:tc>
          <w:tcPr>
            <w:tcW w:w="2551"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2,8%</w:t>
            </w:r>
          </w:p>
        </w:tc>
      </w:tr>
      <w:tr w:rsidR="00A64028" w:rsidRPr="00086001" w:rsidTr="00086001">
        <w:trPr>
          <w:cantSplit/>
        </w:trPr>
        <w:tc>
          <w:tcPr>
            <w:tcW w:w="2426" w:type="dxa"/>
            <w:vMerge/>
            <w:shd w:val="clear" w:color="auto" w:fill="FFFFFF"/>
            <w:vAlign w:val="center"/>
          </w:tcPr>
          <w:p w:rsidR="00A64028" w:rsidRPr="00086001" w:rsidRDefault="00A64028" w:rsidP="00086001">
            <w:pPr>
              <w:pStyle w:val="a5"/>
              <w:ind w:left="127"/>
              <w:rPr>
                <w:rFonts w:ascii="Arial Narrow" w:hAnsi="Arial Narrow"/>
                <w:sz w:val="20"/>
                <w:szCs w:val="20"/>
              </w:rPr>
            </w:pPr>
          </w:p>
        </w:tc>
        <w:tc>
          <w:tcPr>
            <w:tcW w:w="2426" w:type="dxa"/>
            <w:shd w:val="clear" w:color="auto" w:fill="FFFFFF"/>
            <w:vAlign w:val="bottom"/>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Чановский МР</w:t>
            </w:r>
          </w:p>
        </w:tc>
        <w:tc>
          <w:tcPr>
            <w:tcW w:w="2363"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73</w:t>
            </w:r>
          </w:p>
        </w:tc>
        <w:tc>
          <w:tcPr>
            <w:tcW w:w="2551"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2,9%</w:t>
            </w:r>
          </w:p>
        </w:tc>
      </w:tr>
      <w:tr w:rsidR="00A64028" w:rsidRPr="00086001" w:rsidTr="00086001">
        <w:trPr>
          <w:cantSplit/>
        </w:trPr>
        <w:tc>
          <w:tcPr>
            <w:tcW w:w="2426" w:type="dxa"/>
            <w:vMerge/>
            <w:shd w:val="clear" w:color="auto" w:fill="FFFFFF"/>
            <w:vAlign w:val="center"/>
          </w:tcPr>
          <w:p w:rsidR="00A64028" w:rsidRPr="00086001" w:rsidRDefault="00A64028" w:rsidP="00086001">
            <w:pPr>
              <w:pStyle w:val="a5"/>
              <w:ind w:left="127"/>
              <w:rPr>
                <w:rFonts w:ascii="Arial Narrow" w:hAnsi="Arial Narrow"/>
                <w:sz w:val="20"/>
                <w:szCs w:val="20"/>
              </w:rPr>
            </w:pPr>
          </w:p>
        </w:tc>
        <w:tc>
          <w:tcPr>
            <w:tcW w:w="2426" w:type="dxa"/>
            <w:shd w:val="clear" w:color="auto" w:fill="FFFFFF"/>
            <w:vAlign w:val="bottom"/>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Черепановский МР</w:t>
            </w:r>
          </w:p>
        </w:tc>
        <w:tc>
          <w:tcPr>
            <w:tcW w:w="2363"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71</w:t>
            </w:r>
          </w:p>
        </w:tc>
        <w:tc>
          <w:tcPr>
            <w:tcW w:w="2551"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2,8%</w:t>
            </w:r>
          </w:p>
        </w:tc>
      </w:tr>
      <w:tr w:rsidR="00A64028" w:rsidRPr="00086001" w:rsidTr="00086001">
        <w:trPr>
          <w:cantSplit/>
        </w:trPr>
        <w:tc>
          <w:tcPr>
            <w:tcW w:w="2426" w:type="dxa"/>
            <w:vMerge/>
            <w:shd w:val="clear" w:color="auto" w:fill="FFFFFF"/>
            <w:vAlign w:val="center"/>
          </w:tcPr>
          <w:p w:rsidR="00A64028" w:rsidRPr="00086001" w:rsidRDefault="00A64028" w:rsidP="00086001">
            <w:pPr>
              <w:pStyle w:val="a5"/>
              <w:ind w:left="127"/>
              <w:rPr>
                <w:rFonts w:ascii="Arial Narrow" w:hAnsi="Arial Narrow"/>
                <w:sz w:val="20"/>
                <w:szCs w:val="20"/>
              </w:rPr>
            </w:pPr>
          </w:p>
        </w:tc>
        <w:tc>
          <w:tcPr>
            <w:tcW w:w="2426" w:type="dxa"/>
            <w:shd w:val="clear" w:color="auto" w:fill="FFFFFF"/>
            <w:vAlign w:val="bottom"/>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Чистоозерный МР</w:t>
            </w:r>
          </w:p>
        </w:tc>
        <w:tc>
          <w:tcPr>
            <w:tcW w:w="2363"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70</w:t>
            </w:r>
          </w:p>
        </w:tc>
        <w:tc>
          <w:tcPr>
            <w:tcW w:w="2551"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2,8%</w:t>
            </w:r>
          </w:p>
        </w:tc>
      </w:tr>
      <w:tr w:rsidR="00A64028" w:rsidRPr="00086001" w:rsidTr="00086001">
        <w:trPr>
          <w:cantSplit/>
        </w:trPr>
        <w:tc>
          <w:tcPr>
            <w:tcW w:w="2426" w:type="dxa"/>
            <w:vMerge/>
            <w:shd w:val="clear" w:color="auto" w:fill="FFFFFF"/>
            <w:vAlign w:val="center"/>
          </w:tcPr>
          <w:p w:rsidR="00A64028" w:rsidRPr="00086001" w:rsidRDefault="00A64028" w:rsidP="00086001">
            <w:pPr>
              <w:pStyle w:val="a5"/>
              <w:ind w:left="127"/>
              <w:rPr>
                <w:rFonts w:ascii="Arial Narrow" w:hAnsi="Arial Narrow"/>
                <w:sz w:val="20"/>
                <w:szCs w:val="20"/>
              </w:rPr>
            </w:pPr>
          </w:p>
        </w:tc>
        <w:tc>
          <w:tcPr>
            <w:tcW w:w="2426" w:type="dxa"/>
            <w:shd w:val="clear" w:color="auto" w:fill="FFFFFF"/>
            <w:vAlign w:val="bottom"/>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Чулымский МР</w:t>
            </w:r>
          </w:p>
        </w:tc>
        <w:tc>
          <w:tcPr>
            <w:tcW w:w="2363"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70</w:t>
            </w:r>
          </w:p>
        </w:tc>
        <w:tc>
          <w:tcPr>
            <w:tcW w:w="2551"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2,8%</w:t>
            </w:r>
          </w:p>
        </w:tc>
      </w:tr>
      <w:tr w:rsidR="00A64028" w:rsidRPr="00086001" w:rsidTr="00086001">
        <w:trPr>
          <w:cantSplit/>
        </w:trPr>
        <w:tc>
          <w:tcPr>
            <w:tcW w:w="2426" w:type="dxa"/>
            <w:vMerge w:val="restart"/>
            <w:shd w:val="clear" w:color="auto" w:fill="FFFFFF"/>
            <w:vAlign w:val="center"/>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Тип населенного пункта</w:t>
            </w:r>
          </w:p>
        </w:tc>
        <w:tc>
          <w:tcPr>
            <w:tcW w:w="2426" w:type="dxa"/>
            <w:shd w:val="clear" w:color="auto" w:fill="FFFFFF"/>
            <w:vAlign w:val="bottom"/>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Городское поселение</w:t>
            </w:r>
          </w:p>
        </w:tc>
        <w:tc>
          <w:tcPr>
            <w:tcW w:w="2363"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1151</w:t>
            </w:r>
          </w:p>
        </w:tc>
        <w:tc>
          <w:tcPr>
            <w:tcW w:w="2551"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45,3%</w:t>
            </w:r>
          </w:p>
        </w:tc>
      </w:tr>
      <w:tr w:rsidR="00A64028" w:rsidRPr="00086001" w:rsidTr="00086001">
        <w:trPr>
          <w:cantSplit/>
        </w:trPr>
        <w:tc>
          <w:tcPr>
            <w:tcW w:w="2426" w:type="dxa"/>
            <w:vMerge/>
            <w:shd w:val="clear" w:color="auto" w:fill="FFFFFF"/>
            <w:vAlign w:val="center"/>
          </w:tcPr>
          <w:p w:rsidR="00A64028" w:rsidRPr="00086001" w:rsidRDefault="00A64028" w:rsidP="00086001">
            <w:pPr>
              <w:pStyle w:val="a5"/>
              <w:ind w:left="127"/>
              <w:rPr>
                <w:rFonts w:ascii="Arial Narrow" w:hAnsi="Arial Narrow"/>
                <w:sz w:val="20"/>
                <w:szCs w:val="20"/>
              </w:rPr>
            </w:pPr>
          </w:p>
        </w:tc>
        <w:tc>
          <w:tcPr>
            <w:tcW w:w="2426" w:type="dxa"/>
            <w:shd w:val="clear" w:color="auto" w:fill="FFFFFF"/>
            <w:vAlign w:val="bottom"/>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Сельское поселение</w:t>
            </w:r>
          </w:p>
        </w:tc>
        <w:tc>
          <w:tcPr>
            <w:tcW w:w="2363"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1392</w:t>
            </w:r>
          </w:p>
        </w:tc>
        <w:tc>
          <w:tcPr>
            <w:tcW w:w="2551"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54,7%</w:t>
            </w:r>
          </w:p>
        </w:tc>
      </w:tr>
      <w:tr w:rsidR="00A64028" w:rsidRPr="00086001" w:rsidTr="00086001">
        <w:trPr>
          <w:cantSplit/>
        </w:trPr>
        <w:tc>
          <w:tcPr>
            <w:tcW w:w="2426" w:type="dxa"/>
            <w:vMerge w:val="restart"/>
            <w:shd w:val="clear" w:color="auto" w:fill="FFFFFF"/>
            <w:vAlign w:val="center"/>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Пол</w:t>
            </w:r>
          </w:p>
        </w:tc>
        <w:tc>
          <w:tcPr>
            <w:tcW w:w="2426" w:type="dxa"/>
            <w:shd w:val="clear" w:color="auto" w:fill="FFFFFF"/>
            <w:vAlign w:val="bottom"/>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Мужчины</w:t>
            </w:r>
          </w:p>
        </w:tc>
        <w:tc>
          <w:tcPr>
            <w:tcW w:w="2363"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644</w:t>
            </w:r>
          </w:p>
        </w:tc>
        <w:tc>
          <w:tcPr>
            <w:tcW w:w="2551"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25,3%</w:t>
            </w:r>
          </w:p>
        </w:tc>
      </w:tr>
      <w:tr w:rsidR="00A64028" w:rsidRPr="00086001" w:rsidTr="00086001">
        <w:trPr>
          <w:cantSplit/>
        </w:trPr>
        <w:tc>
          <w:tcPr>
            <w:tcW w:w="2426" w:type="dxa"/>
            <w:vMerge/>
            <w:shd w:val="clear" w:color="auto" w:fill="FFFFFF"/>
            <w:vAlign w:val="center"/>
          </w:tcPr>
          <w:p w:rsidR="00A64028" w:rsidRPr="00086001" w:rsidRDefault="00A64028" w:rsidP="00086001">
            <w:pPr>
              <w:pStyle w:val="a5"/>
              <w:ind w:left="127"/>
              <w:rPr>
                <w:rFonts w:ascii="Arial Narrow" w:hAnsi="Arial Narrow"/>
                <w:sz w:val="20"/>
                <w:szCs w:val="20"/>
              </w:rPr>
            </w:pPr>
          </w:p>
        </w:tc>
        <w:tc>
          <w:tcPr>
            <w:tcW w:w="2426" w:type="dxa"/>
            <w:shd w:val="clear" w:color="auto" w:fill="FFFFFF"/>
            <w:vAlign w:val="bottom"/>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Женщины</w:t>
            </w:r>
          </w:p>
        </w:tc>
        <w:tc>
          <w:tcPr>
            <w:tcW w:w="2363"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1899</w:t>
            </w:r>
          </w:p>
        </w:tc>
        <w:tc>
          <w:tcPr>
            <w:tcW w:w="2551"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74,7%</w:t>
            </w:r>
          </w:p>
        </w:tc>
      </w:tr>
      <w:tr w:rsidR="00A64028" w:rsidRPr="00086001" w:rsidTr="00086001">
        <w:trPr>
          <w:cantSplit/>
        </w:trPr>
        <w:tc>
          <w:tcPr>
            <w:tcW w:w="2426" w:type="dxa"/>
            <w:vMerge w:val="restart"/>
            <w:shd w:val="clear" w:color="auto" w:fill="FFFFFF"/>
            <w:vAlign w:val="center"/>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Возраст</w:t>
            </w:r>
          </w:p>
        </w:tc>
        <w:tc>
          <w:tcPr>
            <w:tcW w:w="2426" w:type="dxa"/>
            <w:shd w:val="clear" w:color="auto" w:fill="FFFFFF"/>
            <w:vAlign w:val="bottom"/>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От 18 до 35 лет</w:t>
            </w:r>
          </w:p>
        </w:tc>
        <w:tc>
          <w:tcPr>
            <w:tcW w:w="2363"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334</w:t>
            </w:r>
          </w:p>
        </w:tc>
        <w:tc>
          <w:tcPr>
            <w:tcW w:w="2551"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13,1%</w:t>
            </w:r>
          </w:p>
        </w:tc>
      </w:tr>
      <w:tr w:rsidR="00A64028" w:rsidRPr="00086001" w:rsidTr="00086001">
        <w:trPr>
          <w:cantSplit/>
        </w:trPr>
        <w:tc>
          <w:tcPr>
            <w:tcW w:w="2426" w:type="dxa"/>
            <w:vMerge/>
            <w:shd w:val="clear" w:color="auto" w:fill="FFFFFF"/>
            <w:vAlign w:val="center"/>
          </w:tcPr>
          <w:p w:rsidR="00A64028" w:rsidRPr="00086001" w:rsidRDefault="00A64028" w:rsidP="00086001">
            <w:pPr>
              <w:pStyle w:val="a5"/>
              <w:ind w:left="127"/>
              <w:rPr>
                <w:rFonts w:ascii="Arial Narrow" w:hAnsi="Arial Narrow"/>
                <w:sz w:val="20"/>
                <w:szCs w:val="20"/>
              </w:rPr>
            </w:pPr>
          </w:p>
        </w:tc>
        <w:tc>
          <w:tcPr>
            <w:tcW w:w="2426" w:type="dxa"/>
            <w:shd w:val="clear" w:color="auto" w:fill="FFFFFF"/>
            <w:vAlign w:val="bottom"/>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От 36 до 50 лет</w:t>
            </w:r>
          </w:p>
        </w:tc>
        <w:tc>
          <w:tcPr>
            <w:tcW w:w="2363"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557</w:t>
            </w:r>
          </w:p>
        </w:tc>
        <w:tc>
          <w:tcPr>
            <w:tcW w:w="2551"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21,9%</w:t>
            </w:r>
          </w:p>
        </w:tc>
      </w:tr>
      <w:tr w:rsidR="00A64028" w:rsidRPr="00086001" w:rsidTr="00086001">
        <w:trPr>
          <w:cantSplit/>
        </w:trPr>
        <w:tc>
          <w:tcPr>
            <w:tcW w:w="2426" w:type="dxa"/>
            <w:shd w:val="clear" w:color="auto" w:fill="FFFFFF"/>
            <w:vAlign w:val="center"/>
          </w:tcPr>
          <w:p w:rsidR="00A64028" w:rsidRPr="00086001" w:rsidRDefault="00A64028" w:rsidP="00086001">
            <w:pPr>
              <w:pStyle w:val="a5"/>
              <w:ind w:left="127"/>
              <w:rPr>
                <w:rFonts w:ascii="Arial Narrow" w:hAnsi="Arial Narrow"/>
                <w:sz w:val="20"/>
                <w:szCs w:val="20"/>
              </w:rPr>
            </w:pPr>
          </w:p>
        </w:tc>
        <w:tc>
          <w:tcPr>
            <w:tcW w:w="2426" w:type="dxa"/>
            <w:shd w:val="clear" w:color="auto" w:fill="FFFFFF"/>
            <w:vAlign w:val="bottom"/>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Старше 50 лет</w:t>
            </w:r>
          </w:p>
        </w:tc>
        <w:tc>
          <w:tcPr>
            <w:tcW w:w="2363"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1652</w:t>
            </w:r>
          </w:p>
        </w:tc>
        <w:tc>
          <w:tcPr>
            <w:tcW w:w="2551"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65,0%</w:t>
            </w:r>
          </w:p>
        </w:tc>
      </w:tr>
      <w:tr w:rsidR="00A64028" w:rsidRPr="00086001" w:rsidTr="00086001">
        <w:trPr>
          <w:cantSplit/>
        </w:trPr>
        <w:tc>
          <w:tcPr>
            <w:tcW w:w="2426" w:type="dxa"/>
            <w:vMerge w:val="restart"/>
            <w:shd w:val="clear" w:color="auto" w:fill="FFFFFF"/>
            <w:vAlign w:val="center"/>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Социальный статус</w:t>
            </w:r>
          </w:p>
        </w:tc>
        <w:tc>
          <w:tcPr>
            <w:tcW w:w="2426" w:type="dxa"/>
            <w:shd w:val="clear" w:color="auto" w:fill="FFFFFF"/>
            <w:vAlign w:val="bottom"/>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Работаю</w:t>
            </w:r>
          </w:p>
        </w:tc>
        <w:tc>
          <w:tcPr>
            <w:tcW w:w="2363"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946</w:t>
            </w:r>
          </w:p>
        </w:tc>
        <w:tc>
          <w:tcPr>
            <w:tcW w:w="2551"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37,2%</w:t>
            </w:r>
          </w:p>
        </w:tc>
      </w:tr>
      <w:tr w:rsidR="00A64028" w:rsidRPr="00086001" w:rsidTr="00086001">
        <w:trPr>
          <w:cantSplit/>
        </w:trPr>
        <w:tc>
          <w:tcPr>
            <w:tcW w:w="2426" w:type="dxa"/>
            <w:vMerge/>
            <w:shd w:val="clear" w:color="auto" w:fill="FFFFFF"/>
            <w:vAlign w:val="center"/>
          </w:tcPr>
          <w:p w:rsidR="00A64028" w:rsidRPr="00086001" w:rsidRDefault="00A64028" w:rsidP="00086001">
            <w:pPr>
              <w:pStyle w:val="a5"/>
              <w:ind w:left="127"/>
              <w:rPr>
                <w:rFonts w:ascii="Arial Narrow" w:hAnsi="Arial Narrow"/>
                <w:sz w:val="20"/>
                <w:szCs w:val="20"/>
              </w:rPr>
            </w:pPr>
          </w:p>
        </w:tc>
        <w:tc>
          <w:tcPr>
            <w:tcW w:w="2426" w:type="dxa"/>
            <w:shd w:val="clear" w:color="auto" w:fill="FFFFFF"/>
            <w:vAlign w:val="bottom"/>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Без работы</w:t>
            </w:r>
          </w:p>
        </w:tc>
        <w:tc>
          <w:tcPr>
            <w:tcW w:w="2363"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89</w:t>
            </w:r>
          </w:p>
        </w:tc>
        <w:tc>
          <w:tcPr>
            <w:tcW w:w="2551"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3,5%</w:t>
            </w:r>
          </w:p>
        </w:tc>
      </w:tr>
      <w:tr w:rsidR="00A64028" w:rsidRPr="00086001" w:rsidTr="00086001">
        <w:trPr>
          <w:cantSplit/>
        </w:trPr>
        <w:tc>
          <w:tcPr>
            <w:tcW w:w="2426" w:type="dxa"/>
            <w:vMerge/>
            <w:shd w:val="clear" w:color="auto" w:fill="FFFFFF"/>
            <w:vAlign w:val="center"/>
          </w:tcPr>
          <w:p w:rsidR="00A64028" w:rsidRPr="00086001" w:rsidRDefault="00A64028" w:rsidP="00086001">
            <w:pPr>
              <w:pStyle w:val="a5"/>
              <w:ind w:left="127"/>
              <w:rPr>
                <w:rFonts w:ascii="Arial Narrow" w:hAnsi="Arial Narrow"/>
                <w:sz w:val="20"/>
                <w:szCs w:val="20"/>
              </w:rPr>
            </w:pPr>
          </w:p>
        </w:tc>
        <w:tc>
          <w:tcPr>
            <w:tcW w:w="2426" w:type="dxa"/>
            <w:shd w:val="clear" w:color="auto" w:fill="FFFFFF"/>
            <w:vAlign w:val="bottom"/>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Учусь/студент</w:t>
            </w:r>
          </w:p>
        </w:tc>
        <w:tc>
          <w:tcPr>
            <w:tcW w:w="2363"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5</w:t>
            </w:r>
          </w:p>
        </w:tc>
        <w:tc>
          <w:tcPr>
            <w:tcW w:w="2551"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0,2%</w:t>
            </w:r>
          </w:p>
        </w:tc>
      </w:tr>
      <w:tr w:rsidR="00A64028" w:rsidRPr="00086001" w:rsidTr="00086001">
        <w:trPr>
          <w:cantSplit/>
        </w:trPr>
        <w:tc>
          <w:tcPr>
            <w:tcW w:w="2426" w:type="dxa"/>
            <w:vMerge/>
            <w:shd w:val="clear" w:color="auto" w:fill="FFFFFF"/>
            <w:vAlign w:val="center"/>
          </w:tcPr>
          <w:p w:rsidR="00A64028" w:rsidRPr="00086001" w:rsidRDefault="00A64028" w:rsidP="00086001">
            <w:pPr>
              <w:pStyle w:val="a5"/>
              <w:ind w:left="127"/>
              <w:rPr>
                <w:rFonts w:ascii="Arial Narrow" w:hAnsi="Arial Narrow"/>
                <w:sz w:val="20"/>
                <w:szCs w:val="20"/>
              </w:rPr>
            </w:pPr>
          </w:p>
        </w:tc>
        <w:tc>
          <w:tcPr>
            <w:tcW w:w="2426" w:type="dxa"/>
            <w:shd w:val="clear" w:color="auto" w:fill="FFFFFF"/>
            <w:vAlign w:val="bottom"/>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Домохозяйка(домохозяин)</w:t>
            </w:r>
          </w:p>
        </w:tc>
        <w:tc>
          <w:tcPr>
            <w:tcW w:w="2363"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145</w:t>
            </w:r>
          </w:p>
        </w:tc>
        <w:tc>
          <w:tcPr>
            <w:tcW w:w="2551"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5,7%</w:t>
            </w:r>
          </w:p>
        </w:tc>
      </w:tr>
      <w:tr w:rsidR="00A64028" w:rsidRPr="00086001" w:rsidTr="00086001">
        <w:trPr>
          <w:cantSplit/>
        </w:trPr>
        <w:tc>
          <w:tcPr>
            <w:tcW w:w="2426" w:type="dxa"/>
            <w:vMerge/>
            <w:shd w:val="clear" w:color="auto" w:fill="FFFFFF"/>
            <w:vAlign w:val="center"/>
          </w:tcPr>
          <w:p w:rsidR="00A64028" w:rsidRPr="00086001" w:rsidRDefault="00A64028" w:rsidP="00086001">
            <w:pPr>
              <w:pStyle w:val="a5"/>
              <w:ind w:left="127"/>
              <w:rPr>
                <w:rFonts w:ascii="Arial Narrow" w:hAnsi="Arial Narrow"/>
                <w:sz w:val="20"/>
                <w:szCs w:val="20"/>
              </w:rPr>
            </w:pPr>
          </w:p>
        </w:tc>
        <w:tc>
          <w:tcPr>
            <w:tcW w:w="2426" w:type="dxa"/>
            <w:shd w:val="clear" w:color="auto" w:fill="FFFFFF"/>
            <w:vAlign w:val="bottom"/>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Пенсионер</w:t>
            </w:r>
          </w:p>
        </w:tc>
        <w:tc>
          <w:tcPr>
            <w:tcW w:w="2363"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1321</w:t>
            </w:r>
          </w:p>
        </w:tc>
        <w:tc>
          <w:tcPr>
            <w:tcW w:w="2551"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51,9%</w:t>
            </w:r>
          </w:p>
        </w:tc>
      </w:tr>
      <w:tr w:rsidR="00A64028" w:rsidRPr="00086001" w:rsidTr="00086001">
        <w:trPr>
          <w:cantSplit/>
        </w:trPr>
        <w:tc>
          <w:tcPr>
            <w:tcW w:w="2426" w:type="dxa"/>
            <w:vMerge/>
            <w:shd w:val="clear" w:color="auto" w:fill="FFFFFF"/>
            <w:vAlign w:val="center"/>
          </w:tcPr>
          <w:p w:rsidR="00A64028" w:rsidRPr="00086001" w:rsidRDefault="00A64028" w:rsidP="00086001">
            <w:pPr>
              <w:pStyle w:val="a5"/>
              <w:ind w:left="127"/>
              <w:rPr>
                <w:rFonts w:ascii="Arial Narrow" w:hAnsi="Arial Narrow"/>
                <w:sz w:val="20"/>
                <w:szCs w:val="20"/>
              </w:rPr>
            </w:pPr>
          </w:p>
        </w:tc>
        <w:tc>
          <w:tcPr>
            <w:tcW w:w="2426" w:type="dxa"/>
            <w:shd w:val="clear" w:color="auto" w:fill="FFFFFF"/>
            <w:vAlign w:val="bottom"/>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Иное</w:t>
            </w:r>
          </w:p>
        </w:tc>
        <w:tc>
          <w:tcPr>
            <w:tcW w:w="2363"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37</w:t>
            </w:r>
          </w:p>
        </w:tc>
        <w:tc>
          <w:tcPr>
            <w:tcW w:w="2551"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1,5%</w:t>
            </w:r>
          </w:p>
        </w:tc>
      </w:tr>
      <w:tr w:rsidR="00A64028" w:rsidRPr="00086001" w:rsidTr="00086001">
        <w:trPr>
          <w:cantSplit/>
        </w:trPr>
        <w:tc>
          <w:tcPr>
            <w:tcW w:w="2426" w:type="dxa"/>
            <w:vMerge w:val="restart"/>
            <w:shd w:val="clear" w:color="auto" w:fill="FFFFFF"/>
            <w:vAlign w:val="center"/>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Наличие детей</w:t>
            </w:r>
          </w:p>
        </w:tc>
        <w:tc>
          <w:tcPr>
            <w:tcW w:w="2426" w:type="dxa"/>
            <w:shd w:val="clear" w:color="auto" w:fill="FFFFFF"/>
            <w:vAlign w:val="bottom"/>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Нет детей</w:t>
            </w:r>
          </w:p>
        </w:tc>
        <w:tc>
          <w:tcPr>
            <w:tcW w:w="2363"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210</w:t>
            </w:r>
          </w:p>
        </w:tc>
        <w:tc>
          <w:tcPr>
            <w:tcW w:w="2551"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8,3%</w:t>
            </w:r>
          </w:p>
        </w:tc>
      </w:tr>
      <w:tr w:rsidR="00A64028" w:rsidRPr="00086001" w:rsidTr="00086001">
        <w:trPr>
          <w:cantSplit/>
        </w:trPr>
        <w:tc>
          <w:tcPr>
            <w:tcW w:w="2426" w:type="dxa"/>
            <w:vMerge/>
            <w:shd w:val="clear" w:color="auto" w:fill="FFFFFF"/>
            <w:vAlign w:val="center"/>
          </w:tcPr>
          <w:p w:rsidR="00A64028" w:rsidRPr="00086001" w:rsidRDefault="00A64028" w:rsidP="00086001">
            <w:pPr>
              <w:pStyle w:val="a5"/>
              <w:ind w:left="127"/>
              <w:rPr>
                <w:rFonts w:ascii="Arial Narrow" w:hAnsi="Arial Narrow"/>
                <w:sz w:val="20"/>
                <w:szCs w:val="20"/>
              </w:rPr>
            </w:pPr>
          </w:p>
        </w:tc>
        <w:tc>
          <w:tcPr>
            <w:tcW w:w="2426" w:type="dxa"/>
            <w:shd w:val="clear" w:color="auto" w:fill="FFFFFF"/>
            <w:vAlign w:val="bottom"/>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1 ребенок</w:t>
            </w:r>
          </w:p>
        </w:tc>
        <w:tc>
          <w:tcPr>
            <w:tcW w:w="2363"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589</w:t>
            </w:r>
          </w:p>
        </w:tc>
        <w:tc>
          <w:tcPr>
            <w:tcW w:w="2551"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23,2%</w:t>
            </w:r>
          </w:p>
        </w:tc>
      </w:tr>
      <w:tr w:rsidR="00A64028" w:rsidRPr="00086001" w:rsidTr="00086001">
        <w:trPr>
          <w:cantSplit/>
        </w:trPr>
        <w:tc>
          <w:tcPr>
            <w:tcW w:w="2426" w:type="dxa"/>
            <w:vMerge/>
            <w:shd w:val="clear" w:color="auto" w:fill="FFFFFF"/>
            <w:vAlign w:val="center"/>
          </w:tcPr>
          <w:p w:rsidR="00A64028" w:rsidRPr="00086001" w:rsidRDefault="00A64028" w:rsidP="00086001">
            <w:pPr>
              <w:pStyle w:val="a5"/>
              <w:ind w:left="127"/>
              <w:rPr>
                <w:rFonts w:ascii="Arial Narrow" w:hAnsi="Arial Narrow"/>
                <w:sz w:val="20"/>
                <w:szCs w:val="20"/>
              </w:rPr>
            </w:pPr>
          </w:p>
        </w:tc>
        <w:tc>
          <w:tcPr>
            <w:tcW w:w="2426" w:type="dxa"/>
            <w:shd w:val="clear" w:color="auto" w:fill="FFFFFF"/>
            <w:vAlign w:val="bottom"/>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2 ребенка</w:t>
            </w:r>
          </w:p>
        </w:tc>
        <w:tc>
          <w:tcPr>
            <w:tcW w:w="2363"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1225</w:t>
            </w:r>
          </w:p>
        </w:tc>
        <w:tc>
          <w:tcPr>
            <w:tcW w:w="2551"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48,2%</w:t>
            </w:r>
          </w:p>
        </w:tc>
      </w:tr>
      <w:tr w:rsidR="00A64028" w:rsidRPr="00086001" w:rsidTr="00086001">
        <w:trPr>
          <w:cantSplit/>
        </w:trPr>
        <w:tc>
          <w:tcPr>
            <w:tcW w:w="2426" w:type="dxa"/>
            <w:vMerge/>
            <w:shd w:val="clear" w:color="auto" w:fill="FFFFFF"/>
            <w:vAlign w:val="center"/>
          </w:tcPr>
          <w:p w:rsidR="00A64028" w:rsidRPr="00086001" w:rsidRDefault="00A64028" w:rsidP="00086001">
            <w:pPr>
              <w:pStyle w:val="a5"/>
              <w:ind w:left="127"/>
              <w:rPr>
                <w:rFonts w:ascii="Arial Narrow" w:hAnsi="Arial Narrow"/>
                <w:sz w:val="20"/>
                <w:szCs w:val="20"/>
              </w:rPr>
            </w:pPr>
          </w:p>
        </w:tc>
        <w:tc>
          <w:tcPr>
            <w:tcW w:w="2426" w:type="dxa"/>
            <w:shd w:val="clear" w:color="auto" w:fill="FFFFFF"/>
            <w:vAlign w:val="bottom"/>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3 и более детей</w:t>
            </w:r>
          </w:p>
        </w:tc>
        <w:tc>
          <w:tcPr>
            <w:tcW w:w="2363"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519</w:t>
            </w:r>
          </w:p>
        </w:tc>
        <w:tc>
          <w:tcPr>
            <w:tcW w:w="2551"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20,4%</w:t>
            </w:r>
          </w:p>
        </w:tc>
      </w:tr>
      <w:tr w:rsidR="00A64028" w:rsidRPr="00086001" w:rsidTr="00086001">
        <w:trPr>
          <w:cantSplit/>
        </w:trPr>
        <w:tc>
          <w:tcPr>
            <w:tcW w:w="2426" w:type="dxa"/>
            <w:vMerge w:val="restart"/>
            <w:shd w:val="clear" w:color="auto" w:fill="FFFFFF"/>
            <w:vAlign w:val="center"/>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Образование</w:t>
            </w:r>
          </w:p>
        </w:tc>
        <w:tc>
          <w:tcPr>
            <w:tcW w:w="2426" w:type="dxa"/>
            <w:shd w:val="clear" w:color="auto" w:fill="FFFFFF"/>
            <w:vAlign w:val="bottom"/>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Общее образование</w:t>
            </w:r>
          </w:p>
        </w:tc>
        <w:tc>
          <w:tcPr>
            <w:tcW w:w="2363"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318</w:t>
            </w:r>
          </w:p>
        </w:tc>
        <w:tc>
          <w:tcPr>
            <w:tcW w:w="2551"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12,5%</w:t>
            </w:r>
          </w:p>
        </w:tc>
      </w:tr>
      <w:tr w:rsidR="00A64028" w:rsidRPr="00086001" w:rsidTr="00086001">
        <w:trPr>
          <w:cantSplit/>
        </w:trPr>
        <w:tc>
          <w:tcPr>
            <w:tcW w:w="2426" w:type="dxa"/>
            <w:vMerge/>
            <w:shd w:val="clear" w:color="auto" w:fill="FFFFFF"/>
            <w:vAlign w:val="center"/>
          </w:tcPr>
          <w:p w:rsidR="00A64028" w:rsidRPr="00086001" w:rsidRDefault="00A64028" w:rsidP="00086001">
            <w:pPr>
              <w:pStyle w:val="a5"/>
              <w:ind w:left="127"/>
              <w:rPr>
                <w:rFonts w:ascii="Arial Narrow" w:hAnsi="Arial Narrow"/>
                <w:sz w:val="20"/>
                <w:szCs w:val="20"/>
              </w:rPr>
            </w:pPr>
          </w:p>
        </w:tc>
        <w:tc>
          <w:tcPr>
            <w:tcW w:w="2426" w:type="dxa"/>
            <w:shd w:val="clear" w:color="auto" w:fill="FFFFFF"/>
            <w:vAlign w:val="bottom"/>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Среднее специальное</w:t>
            </w:r>
          </w:p>
        </w:tc>
        <w:tc>
          <w:tcPr>
            <w:tcW w:w="2363"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1392</w:t>
            </w:r>
          </w:p>
        </w:tc>
        <w:tc>
          <w:tcPr>
            <w:tcW w:w="2551"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54,7%</w:t>
            </w:r>
          </w:p>
        </w:tc>
      </w:tr>
      <w:tr w:rsidR="00A64028" w:rsidRPr="00086001" w:rsidTr="00086001">
        <w:trPr>
          <w:cantSplit/>
        </w:trPr>
        <w:tc>
          <w:tcPr>
            <w:tcW w:w="2426" w:type="dxa"/>
            <w:vMerge/>
            <w:shd w:val="clear" w:color="auto" w:fill="FFFFFF"/>
            <w:vAlign w:val="center"/>
          </w:tcPr>
          <w:p w:rsidR="00A64028" w:rsidRPr="00086001" w:rsidRDefault="00A64028" w:rsidP="00086001">
            <w:pPr>
              <w:pStyle w:val="a5"/>
              <w:ind w:left="127"/>
              <w:rPr>
                <w:rFonts w:ascii="Arial Narrow" w:hAnsi="Arial Narrow"/>
                <w:sz w:val="20"/>
                <w:szCs w:val="20"/>
              </w:rPr>
            </w:pPr>
          </w:p>
        </w:tc>
        <w:tc>
          <w:tcPr>
            <w:tcW w:w="2426" w:type="dxa"/>
            <w:shd w:val="clear" w:color="auto" w:fill="FFFFFF"/>
            <w:vAlign w:val="bottom"/>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Неполное высшее</w:t>
            </w:r>
          </w:p>
        </w:tc>
        <w:tc>
          <w:tcPr>
            <w:tcW w:w="2363"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69</w:t>
            </w:r>
          </w:p>
        </w:tc>
        <w:tc>
          <w:tcPr>
            <w:tcW w:w="2551"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2,7%</w:t>
            </w:r>
          </w:p>
        </w:tc>
      </w:tr>
      <w:tr w:rsidR="00A64028" w:rsidRPr="00086001" w:rsidTr="00086001">
        <w:trPr>
          <w:cantSplit/>
        </w:trPr>
        <w:tc>
          <w:tcPr>
            <w:tcW w:w="2426" w:type="dxa"/>
            <w:vMerge/>
            <w:shd w:val="clear" w:color="auto" w:fill="FFFFFF"/>
            <w:vAlign w:val="center"/>
          </w:tcPr>
          <w:p w:rsidR="00A64028" w:rsidRPr="00086001" w:rsidRDefault="00A64028" w:rsidP="00086001">
            <w:pPr>
              <w:pStyle w:val="a5"/>
              <w:ind w:left="127"/>
              <w:rPr>
                <w:rFonts w:ascii="Arial Narrow" w:hAnsi="Arial Narrow"/>
                <w:sz w:val="20"/>
                <w:szCs w:val="20"/>
              </w:rPr>
            </w:pPr>
          </w:p>
        </w:tc>
        <w:tc>
          <w:tcPr>
            <w:tcW w:w="2426" w:type="dxa"/>
            <w:shd w:val="clear" w:color="auto" w:fill="FFFFFF"/>
            <w:vAlign w:val="bottom"/>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Высшее</w:t>
            </w:r>
          </w:p>
        </w:tc>
        <w:tc>
          <w:tcPr>
            <w:tcW w:w="2363"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721</w:t>
            </w:r>
          </w:p>
        </w:tc>
        <w:tc>
          <w:tcPr>
            <w:tcW w:w="2551"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28,4%</w:t>
            </w:r>
          </w:p>
        </w:tc>
      </w:tr>
      <w:tr w:rsidR="00A64028" w:rsidRPr="00086001" w:rsidTr="00086001">
        <w:trPr>
          <w:cantSplit/>
        </w:trPr>
        <w:tc>
          <w:tcPr>
            <w:tcW w:w="2426" w:type="dxa"/>
            <w:vMerge/>
            <w:shd w:val="clear" w:color="auto" w:fill="FFFFFF"/>
            <w:vAlign w:val="center"/>
          </w:tcPr>
          <w:p w:rsidR="00A64028" w:rsidRPr="00086001" w:rsidRDefault="00A64028" w:rsidP="00086001">
            <w:pPr>
              <w:pStyle w:val="a5"/>
              <w:ind w:left="127"/>
              <w:rPr>
                <w:rFonts w:ascii="Arial Narrow" w:hAnsi="Arial Narrow"/>
                <w:sz w:val="20"/>
                <w:szCs w:val="20"/>
              </w:rPr>
            </w:pPr>
          </w:p>
        </w:tc>
        <w:tc>
          <w:tcPr>
            <w:tcW w:w="2426" w:type="dxa"/>
            <w:shd w:val="clear" w:color="auto" w:fill="FFFFFF"/>
            <w:vAlign w:val="bottom"/>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Ученая степень</w:t>
            </w:r>
          </w:p>
        </w:tc>
        <w:tc>
          <w:tcPr>
            <w:tcW w:w="2363"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7</w:t>
            </w:r>
          </w:p>
        </w:tc>
        <w:tc>
          <w:tcPr>
            <w:tcW w:w="2551"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0,3%</w:t>
            </w:r>
          </w:p>
        </w:tc>
      </w:tr>
      <w:tr w:rsidR="00A64028" w:rsidRPr="00086001" w:rsidTr="00086001">
        <w:trPr>
          <w:cantSplit/>
        </w:trPr>
        <w:tc>
          <w:tcPr>
            <w:tcW w:w="2426" w:type="dxa"/>
            <w:vMerge/>
            <w:shd w:val="clear" w:color="auto" w:fill="FFFFFF"/>
            <w:vAlign w:val="center"/>
          </w:tcPr>
          <w:p w:rsidR="00A64028" w:rsidRPr="00086001" w:rsidRDefault="00A64028" w:rsidP="00086001">
            <w:pPr>
              <w:pStyle w:val="a5"/>
              <w:ind w:left="127"/>
              <w:rPr>
                <w:rFonts w:ascii="Arial Narrow" w:hAnsi="Arial Narrow"/>
                <w:sz w:val="20"/>
                <w:szCs w:val="20"/>
              </w:rPr>
            </w:pPr>
          </w:p>
        </w:tc>
        <w:tc>
          <w:tcPr>
            <w:tcW w:w="2426" w:type="dxa"/>
            <w:shd w:val="clear" w:color="auto" w:fill="FFFFFF"/>
            <w:vAlign w:val="bottom"/>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Иное</w:t>
            </w:r>
          </w:p>
        </w:tc>
        <w:tc>
          <w:tcPr>
            <w:tcW w:w="2363"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36</w:t>
            </w:r>
          </w:p>
        </w:tc>
        <w:tc>
          <w:tcPr>
            <w:tcW w:w="2551"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1,4%</w:t>
            </w:r>
          </w:p>
        </w:tc>
      </w:tr>
      <w:tr w:rsidR="00A64028" w:rsidRPr="00086001" w:rsidTr="00086001">
        <w:trPr>
          <w:cantSplit/>
        </w:trPr>
        <w:tc>
          <w:tcPr>
            <w:tcW w:w="2426" w:type="dxa"/>
            <w:vMerge w:val="restart"/>
            <w:shd w:val="clear" w:color="auto" w:fill="FFFFFF"/>
            <w:vAlign w:val="center"/>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Среднемесячный доход на 1 члена семьи, руб.</w:t>
            </w:r>
          </w:p>
        </w:tc>
        <w:tc>
          <w:tcPr>
            <w:tcW w:w="2426" w:type="dxa"/>
            <w:shd w:val="clear" w:color="auto" w:fill="FFFFFF"/>
            <w:vAlign w:val="bottom"/>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До 9 тыс. рублей</w:t>
            </w:r>
          </w:p>
        </w:tc>
        <w:tc>
          <w:tcPr>
            <w:tcW w:w="2363"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961</w:t>
            </w:r>
          </w:p>
        </w:tc>
        <w:tc>
          <w:tcPr>
            <w:tcW w:w="2551"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37,8%</w:t>
            </w:r>
          </w:p>
        </w:tc>
      </w:tr>
      <w:tr w:rsidR="00A64028" w:rsidRPr="00086001" w:rsidTr="00086001">
        <w:trPr>
          <w:cantSplit/>
        </w:trPr>
        <w:tc>
          <w:tcPr>
            <w:tcW w:w="2426" w:type="dxa"/>
            <w:vMerge/>
            <w:shd w:val="clear" w:color="auto" w:fill="FFFFFF"/>
            <w:vAlign w:val="center"/>
          </w:tcPr>
          <w:p w:rsidR="00A64028" w:rsidRPr="00086001" w:rsidRDefault="00A64028" w:rsidP="00086001">
            <w:pPr>
              <w:pStyle w:val="a5"/>
              <w:ind w:left="127"/>
              <w:rPr>
                <w:rFonts w:ascii="Arial Narrow" w:hAnsi="Arial Narrow"/>
                <w:sz w:val="20"/>
                <w:szCs w:val="20"/>
              </w:rPr>
            </w:pPr>
          </w:p>
        </w:tc>
        <w:tc>
          <w:tcPr>
            <w:tcW w:w="2426" w:type="dxa"/>
            <w:shd w:val="clear" w:color="auto" w:fill="FFFFFF"/>
            <w:vAlign w:val="bottom"/>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От 9 до 15 тыс.рублей</w:t>
            </w:r>
          </w:p>
        </w:tc>
        <w:tc>
          <w:tcPr>
            <w:tcW w:w="2363"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1192</w:t>
            </w:r>
          </w:p>
        </w:tc>
        <w:tc>
          <w:tcPr>
            <w:tcW w:w="2551"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46,9%</w:t>
            </w:r>
          </w:p>
        </w:tc>
      </w:tr>
      <w:tr w:rsidR="00A64028" w:rsidRPr="00086001" w:rsidTr="00086001">
        <w:trPr>
          <w:cantSplit/>
        </w:trPr>
        <w:tc>
          <w:tcPr>
            <w:tcW w:w="2426" w:type="dxa"/>
            <w:vMerge/>
            <w:shd w:val="clear" w:color="auto" w:fill="FFFFFF"/>
            <w:vAlign w:val="center"/>
          </w:tcPr>
          <w:p w:rsidR="00A64028" w:rsidRPr="00086001" w:rsidRDefault="00A64028" w:rsidP="00086001">
            <w:pPr>
              <w:pStyle w:val="a5"/>
              <w:ind w:left="127"/>
              <w:rPr>
                <w:rFonts w:ascii="Arial Narrow" w:hAnsi="Arial Narrow"/>
                <w:sz w:val="20"/>
                <w:szCs w:val="20"/>
              </w:rPr>
            </w:pPr>
          </w:p>
        </w:tc>
        <w:tc>
          <w:tcPr>
            <w:tcW w:w="2426" w:type="dxa"/>
            <w:shd w:val="clear" w:color="auto" w:fill="FFFFFF"/>
            <w:vAlign w:val="bottom"/>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От 15 до 30 тыс.рублей</w:t>
            </w:r>
          </w:p>
        </w:tc>
        <w:tc>
          <w:tcPr>
            <w:tcW w:w="2363"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339</w:t>
            </w:r>
          </w:p>
        </w:tc>
        <w:tc>
          <w:tcPr>
            <w:tcW w:w="2551"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13,3%</w:t>
            </w:r>
          </w:p>
        </w:tc>
      </w:tr>
      <w:tr w:rsidR="00A64028" w:rsidRPr="00086001" w:rsidTr="00086001">
        <w:trPr>
          <w:cantSplit/>
        </w:trPr>
        <w:tc>
          <w:tcPr>
            <w:tcW w:w="2426" w:type="dxa"/>
            <w:vMerge/>
            <w:shd w:val="clear" w:color="auto" w:fill="FFFFFF"/>
            <w:vAlign w:val="center"/>
          </w:tcPr>
          <w:p w:rsidR="00A64028" w:rsidRPr="00086001" w:rsidRDefault="00A64028" w:rsidP="00086001">
            <w:pPr>
              <w:pStyle w:val="a5"/>
              <w:ind w:left="127"/>
              <w:rPr>
                <w:rFonts w:ascii="Arial Narrow" w:hAnsi="Arial Narrow"/>
                <w:sz w:val="20"/>
                <w:szCs w:val="20"/>
              </w:rPr>
            </w:pPr>
          </w:p>
        </w:tc>
        <w:tc>
          <w:tcPr>
            <w:tcW w:w="2426" w:type="dxa"/>
            <w:shd w:val="clear" w:color="auto" w:fill="FFFFFF"/>
            <w:vAlign w:val="bottom"/>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От 30 до 60 тыс.рублей</w:t>
            </w:r>
          </w:p>
        </w:tc>
        <w:tc>
          <w:tcPr>
            <w:tcW w:w="2363"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44</w:t>
            </w:r>
          </w:p>
        </w:tc>
        <w:tc>
          <w:tcPr>
            <w:tcW w:w="2551"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1,7%</w:t>
            </w:r>
          </w:p>
        </w:tc>
      </w:tr>
      <w:tr w:rsidR="00A64028" w:rsidRPr="00086001" w:rsidTr="00086001">
        <w:trPr>
          <w:cantSplit/>
        </w:trPr>
        <w:tc>
          <w:tcPr>
            <w:tcW w:w="2426" w:type="dxa"/>
            <w:vMerge/>
            <w:shd w:val="clear" w:color="auto" w:fill="FFFFFF"/>
            <w:vAlign w:val="center"/>
          </w:tcPr>
          <w:p w:rsidR="00A64028" w:rsidRPr="00086001" w:rsidRDefault="00A64028" w:rsidP="00086001">
            <w:pPr>
              <w:pStyle w:val="a5"/>
              <w:ind w:left="127"/>
              <w:rPr>
                <w:rFonts w:ascii="Arial Narrow" w:hAnsi="Arial Narrow"/>
                <w:sz w:val="20"/>
                <w:szCs w:val="20"/>
              </w:rPr>
            </w:pPr>
          </w:p>
        </w:tc>
        <w:tc>
          <w:tcPr>
            <w:tcW w:w="2426" w:type="dxa"/>
            <w:shd w:val="clear" w:color="auto" w:fill="FFFFFF"/>
            <w:vAlign w:val="bottom"/>
          </w:tcPr>
          <w:p w:rsidR="00A64028" w:rsidRPr="00086001" w:rsidRDefault="00A64028" w:rsidP="00086001">
            <w:pPr>
              <w:pStyle w:val="a5"/>
              <w:ind w:left="127"/>
              <w:rPr>
                <w:rFonts w:ascii="Arial Narrow" w:hAnsi="Arial Narrow"/>
                <w:sz w:val="20"/>
                <w:szCs w:val="20"/>
              </w:rPr>
            </w:pPr>
            <w:r w:rsidRPr="00086001">
              <w:rPr>
                <w:rFonts w:ascii="Arial Narrow" w:hAnsi="Arial Narrow"/>
                <w:sz w:val="20"/>
                <w:szCs w:val="20"/>
              </w:rPr>
              <w:t>Более 60 тыс.рублей</w:t>
            </w:r>
          </w:p>
        </w:tc>
        <w:tc>
          <w:tcPr>
            <w:tcW w:w="2363"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7</w:t>
            </w:r>
          </w:p>
        </w:tc>
        <w:tc>
          <w:tcPr>
            <w:tcW w:w="2551" w:type="dxa"/>
            <w:shd w:val="clear" w:color="auto" w:fill="FFFFFF"/>
            <w:vAlign w:val="bottom"/>
          </w:tcPr>
          <w:p w:rsidR="00A64028" w:rsidRPr="00086001" w:rsidRDefault="00A64028" w:rsidP="00103148">
            <w:pPr>
              <w:pStyle w:val="a5"/>
              <w:jc w:val="center"/>
              <w:rPr>
                <w:rFonts w:ascii="Arial Narrow" w:hAnsi="Arial Narrow"/>
                <w:sz w:val="20"/>
                <w:szCs w:val="20"/>
              </w:rPr>
            </w:pPr>
            <w:r w:rsidRPr="00086001">
              <w:rPr>
                <w:rFonts w:ascii="Arial Narrow" w:hAnsi="Arial Narrow"/>
                <w:sz w:val="20"/>
                <w:szCs w:val="20"/>
              </w:rPr>
              <w:t>0,3%</w:t>
            </w:r>
          </w:p>
        </w:tc>
      </w:tr>
    </w:tbl>
    <w:p w:rsidR="00372BCB" w:rsidRDefault="00372BCB" w:rsidP="00372BCB">
      <w:pPr>
        <w:pStyle w:val="3"/>
        <w:jc w:val="both"/>
        <w:rPr>
          <w:rFonts w:ascii="Arial Narrow" w:hAnsi="Arial Narrow"/>
        </w:rPr>
      </w:pPr>
      <w:bookmarkStart w:id="94" w:name="_Toc469663933"/>
      <w:bookmarkStart w:id="95" w:name="_Toc473725875"/>
    </w:p>
    <w:p w:rsidR="00A64028" w:rsidRPr="00372BCB" w:rsidRDefault="00A64028" w:rsidP="00372BCB">
      <w:pPr>
        <w:pStyle w:val="3"/>
        <w:jc w:val="both"/>
        <w:rPr>
          <w:rFonts w:ascii="Arial Narrow" w:hAnsi="Arial Narrow"/>
        </w:rPr>
      </w:pPr>
      <w:r w:rsidRPr="00372BCB">
        <w:rPr>
          <w:rFonts w:ascii="Arial Narrow" w:hAnsi="Arial Narrow"/>
        </w:rPr>
        <w:t>3.3. Оценка потребителями состояния конкуренции между продавцами товаров, работ и услуг в Новосибирской области посредством ценообразования (ценовой конкуренции)</w:t>
      </w:r>
      <w:bookmarkEnd w:id="94"/>
      <w:bookmarkEnd w:id="95"/>
    </w:p>
    <w:p w:rsidR="00A64028" w:rsidRPr="00507E3F" w:rsidRDefault="00A64028" w:rsidP="00103148">
      <w:pPr>
        <w:spacing w:after="0"/>
        <w:rPr>
          <w:rFonts w:ascii="Arial Narrow" w:hAnsi="Arial Narrow"/>
        </w:rPr>
      </w:pPr>
    </w:p>
    <w:p w:rsidR="00A64028" w:rsidRPr="000D5501" w:rsidRDefault="00A64028" w:rsidP="00103148">
      <w:pPr>
        <w:spacing w:after="0" w:line="360" w:lineRule="auto"/>
        <w:ind w:firstLine="284"/>
        <w:jc w:val="both"/>
        <w:rPr>
          <w:rFonts w:ascii="Arial Narrow" w:hAnsi="Arial Narrow" w:cs="Arial"/>
          <w:b/>
          <w:sz w:val="24"/>
          <w:szCs w:val="24"/>
        </w:rPr>
      </w:pPr>
      <w:r w:rsidRPr="00507E3F">
        <w:rPr>
          <w:rFonts w:ascii="Arial Narrow" w:hAnsi="Arial Narrow" w:cs="Arial"/>
          <w:b/>
          <w:sz w:val="24"/>
          <w:szCs w:val="24"/>
        </w:rPr>
        <w:t>Значения показателя 2.1</w:t>
      </w:r>
      <w:r w:rsidRPr="00507E3F">
        <w:rPr>
          <w:rFonts w:ascii="Arial Narrow" w:hAnsi="Arial Narrow" w:cs="Arial"/>
          <w:b/>
          <w:sz w:val="24"/>
          <w:szCs w:val="24"/>
          <w:vertAlign w:val="superscript"/>
        </w:rPr>
        <w:footnoteReference w:id="5"/>
      </w:r>
      <w:r w:rsidRPr="00507E3F">
        <w:rPr>
          <w:rFonts w:ascii="Arial Narrow" w:hAnsi="Arial Narrow" w:cs="Arial"/>
          <w:b/>
          <w:sz w:val="24"/>
          <w:szCs w:val="24"/>
        </w:rPr>
        <w:t>. Отношение потребителей товаров и услуг к количеству участников социально значимых и приоритетных</w:t>
      </w:r>
      <w:r w:rsidRPr="000D5501">
        <w:rPr>
          <w:rFonts w:ascii="Arial Narrow" w:hAnsi="Arial Narrow" w:cs="Arial"/>
          <w:b/>
          <w:sz w:val="24"/>
          <w:szCs w:val="24"/>
        </w:rPr>
        <w:t xml:space="preserve"> рынков Новосибирской области, в том числе к его изменению (% от числа опрошенных).</w:t>
      </w:r>
    </w:p>
    <w:p w:rsidR="00A64028" w:rsidRPr="000D5501" w:rsidRDefault="00A64028" w:rsidP="00103148">
      <w:pPr>
        <w:spacing w:after="0" w:line="360" w:lineRule="auto"/>
        <w:ind w:firstLine="284"/>
        <w:jc w:val="both"/>
        <w:rPr>
          <w:rFonts w:ascii="Arial Narrow" w:hAnsi="Arial Narrow" w:cs="Arial"/>
          <w:sz w:val="24"/>
          <w:szCs w:val="24"/>
        </w:rPr>
      </w:pPr>
      <w:r w:rsidRPr="000D5501">
        <w:rPr>
          <w:rFonts w:ascii="Arial Narrow" w:hAnsi="Arial Narrow" w:cs="Arial"/>
          <w:sz w:val="24"/>
          <w:szCs w:val="24"/>
        </w:rPr>
        <w:t>В среднем по всем социально значимым и приоритетным рынкам 48 % потребителей придерживаются мнения о достаточном количестве организаций, предоставляющих товары, работы и услуги. О малом количестве организаций в среднем говорят 21,6 % опрошенных, о полном отсутствии – 15,0 %, об избыточном количестве – всего 4 %. Не смогли ответить на данный вопрос в среднем 11,1 % потребителей.</w:t>
      </w:r>
    </w:p>
    <w:p w:rsidR="00A64028" w:rsidRPr="000D5501" w:rsidRDefault="00A64028" w:rsidP="00103148">
      <w:pPr>
        <w:spacing w:after="0" w:line="360" w:lineRule="auto"/>
        <w:ind w:firstLine="284"/>
        <w:jc w:val="both"/>
        <w:rPr>
          <w:rFonts w:ascii="Arial Narrow" w:hAnsi="Arial Narrow" w:cs="Arial"/>
          <w:sz w:val="24"/>
          <w:szCs w:val="24"/>
        </w:rPr>
      </w:pPr>
      <w:r w:rsidRPr="000D5501">
        <w:rPr>
          <w:rFonts w:ascii="Arial Narrow" w:hAnsi="Arial Narrow" w:cs="Arial"/>
          <w:sz w:val="24"/>
          <w:szCs w:val="24"/>
        </w:rPr>
        <w:t>Рассмотрим данный показатель на отдельных рынках с учетом специфики полученных результатов.</w:t>
      </w:r>
    </w:p>
    <w:p w:rsidR="00A64028" w:rsidRPr="000D5501" w:rsidRDefault="00A64028" w:rsidP="00103148">
      <w:pPr>
        <w:spacing w:after="0" w:line="360" w:lineRule="auto"/>
        <w:ind w:firstLine="284"/>
        <w:jc w:val="both"/>
        <w:rPr>
          <w:rFonts w:ascii="Arial Narrow" w:hAnsi="Arial Narrow" w:cs="Arial"/>
          <w:sz w:val="24"/>
          <w:szCs w:val="24"/>
          <w:u w:val="single"/>
        </w:rPr>
      </w:pPr>
      <w:r w:rsidRPr="000D5501">
        <w:rPr>
          <w:rFonts w:ascii="Arial Narrow" w:hAnsi="Arial Narrow" w:cs="Arial"/>
          <w:sz w:val="24"/>
          <w:szCs w:val="24"/>
          <w:u w:val="single"/>
        </w:rPr>
        <w:lastRenderedPageBreak/>
        <w:t>Социально значимые и приоритетные рынки, на которых действует избыточно большое количество участников (по мнению более 20 % потребителей):</w:t>
      </w:r>
    </w:p>
    <w:p w:rsidR="00A64028" w:rsidRPr="000D5501" w:rsidRDefault="00A64028" w:rsidP="00103148">
      <w:pPr>
        <w:spacing w:after="0" w:line="360" w:lineRule="auto"/>
        <w:ind w:firstLine="284"/>
        <w:jc w:val="both"/>
        <w:rPr>
          <w:rFonts w:ascii="Arial Narrow" w:hAnsi="Arial Narrow" w:cs="Arial"/>
          <w:sz w:val="24"/>
          <w:szCs w:val="24"/>
        </w:rPr>
      </w:pPr>
      <w:r w:rsidRPr="000D5501">
        <w:rPr>
          <w:rFonts w:ascii="Arial Narrow" w:hAnsi="Arial Narrow" w:cs="Arial"/>
          <w:sz w:val="24"/>
          <w:szCs w:val="24"/>
        </w:rPr>
        <w:t>- рынок розничной торговли – 34,8 %.</w:t>
      </w:r>
    </w:p>
    <w:p w:rsidR="00A64028" w:rsidRPr="000D5501" w:rsidRDefault="00A64028" w:rsidP="00103148">
      <w:pPr>
        <w:spacing w:after="0" w:line="360" w:lineRule="auto"/>
        <w:ind w:firstLine="284"/>
        <w:jc w:val="both"/>
        <w:rPr>
          <w:rFonts w:ascii="Arial Narrow" w:hAnsi="Arial Narrow" w:cs="Arial"/>
          <w:sz w:val="24"/>
          <w:szCs w:val="24"/>
        </w:rPr>
      </w:pPr>
      <w:r w:rsidRPr="000D5501">
        <w:rPr>
          <w:rFonts w:ascii="Arial Narrow" w:hAnsi="Arial Narrow" w:cs="Arial"/>
          <w:sz w:val="24"/>
          <w:szCs w:val="24"/>
        </w:rPr>
        <w:t>Для остальных рынков значения составляют 0,4–5,0 %.</w:t>
      </w:r>
    </w:p>
    <w:p w:rsidR="00A64028" w:rsidRPr="000D5501" w:rsidRDefault="00A64028" w:rsidP="00103148">
      <w:pPr>
        <w:spacing w:after="0" w:line="360" w:lineRule="auto"/>
        <w:ind w:firstLine="284"/>
        <w:jc w:val="both"/>
        <w:rPr>
          <w:rFonts w:ascii="Arial Narrow" w:hAnsi="Arial Narrow" w:cs="Arial"/>
          <w:sz w:val="24"/>
          <w:szCs w:val="24"/>
          <w:u w:val="single"/>
        </w:rPr>
      </w:pPr>
      <w:r w:rsidRPr="000D5501">
        <w:rPr>
          <w:rFonts w:ascii="Arial Narrow" w:hAnsi="Arial Narrow" w:cs="Arial"/>
          <w:sz w:val="24"/>
          <w:szCs w:val="24"/>
          <w:u w:val="single"/>
        </w:rPr>
        <w:t>Социально значимые и приоритетные рынки, на которых действует достаточное количество участников (по мнению более 40 % потребителей):</w:t>
      </w:r>
    </w:p>
    <w:p w:rsidR="00A64028" w:rsidRPr="000D5501" w:rsidRDefault="00A64028" w:rsidP="00103148">
      <w:pPr>
        <w:spacing w:after="0" w:line="360" w:lineRule="auto"/>
        <w:ind w:firstLine="284"/>
        <w:jc w:val="both"/>
        <w:rPr>
          <w:rFonts w:ascii="Arial Narrow" w:hAnsi="Arial Narrow" w:cs="Arial"/>
          <w:sz w:val="24"/>
          <w:szCs w:val="24"/>
        </w:rPr>
      </w:pPr>
      <w:r w:rsidRPr="000D5501">
        <w:rPr>
          <w:rFonts w:ascii="Arial Narrow" w:hAnsi="Arial Narrow" w:cs="Arial"/>
          <w:sz w:val="24"/>
          <w:szCs w:val="24"/>
        </w:rPr>
        <w:t>- рынок медицинских услуг – 41,6 %,</w:t>
      </w:r>
    </w:p>
    <w:p w:rsidR="00A64028" w:rsidRPr="000D5501" w:rsidRDefault="00A64028" w:rsidP="00103148">
      <w:pPr>
        <w:spacing w:after="0" w:line="360" w:lineRule="auto"/>
        <w:ind w:firstLine="284"/>
        <w:jc w:val="both"/>
        <w:rPr>
          <w:rFonts w:ascii="Arial Narrow" w:hAnsi="Arial Narrow" w:cs="Arial"/>
          <w:sz w:val="24"/>
          <w:szCs w:val="24"/>
        </w:rPr>
      </w:pPr>
      <w:r w:rsidRPr="000D5501">
        <w:rPr>
          <w:rFonts w:ascii="Arial Narrow" w:hAnsi="Arial Narrow" w:cs="Arial"/>
          <w:sz w:val="24"/>
          <w:szCs w:val="24"/>
        </w:rPr>
        <w:t>- рынок услуг дополнительного образования детей – 42,2 %,</w:t>
      </w:r>
    </w:p>
    <w:p w:rsidR="00A64028" w:rsidRPr="000D5501" w:rsidRDefault="00A64028" w:rsidP="00103148">
      <w:pPr>
        <w:spacing w:after="0" w:line="360" w:lineRule="auto"/>
        <w:ind w:firstLine="284"/>
        <w:jc w:val="both"/>
        <w:rPr>
          <w:rFonts w:ascii="Arial Narrow" w:hAnsi="Arial Narrow" w:cs="Arial"/>
          <w:sz w:val="24"/>
          <w:szCs w:val="24"/>
        </w:rPr>
      </w:pPr>
      <w:r w:rsidRPr="000D5501">
        <w:rPr>
          <w:rFonts w:ascii="Arial Narrow" w:hAnsi="Arial Narrow" w:cs="Arial"/>
          <w:sz w:val="24"/>
          <w:szCs w:val="24"/>
        </w:rPr>
        <w:t>- рынок услуг дошкольного образования (коммерческих детских садов и учреждений пребывания неполного дня) – 48,4 %,</w:t>
      </w:r>
    </w:p>
    <w:p w:rsidR="00A64028" w:rsidRPr="000D5501" w:rsidRDefault="00A64028" w:rsidP="00103148">
      <w:pPr>
        <w:spacing w:after="0" w:line="360" w:lineRule="auto"/>
        <w:ind w:firstLine="284"/>
        <w:jc w:val="both"/>
        <w:rPr>
          <w:rFonts w:ascii="Arial Narrow" w:hAnsi="Arial Narrow" w:cs="Arial"/>
          <w:sz w:val="24"/>
          <w:szCs w:val="24"/>
        </w:rPr>
      </w:pPr>
      <w:r w:rsidRPr="000D5501">
        <w:rPr>
          <w:rFonts w:ascii="Arial Narrow" w:hAnsi="Arial Narrow" w:cs="Arial"/>
          <w:sz w:val="24"/>
          <w:szCs w:val="24"/>
        </w:rPr>
        <w:t>- рынок услуг социального обслуживания населения – 53,1 %.</w:t>
      </w:r>
    </w:p>
    <w:p w:rsidR="00A64028" w:rsidRPr="000D5501" w:rsidRDefault="00A64028" w:rsidP="00103148">
      <w:pPr>
        <w:spacing w:after="0" w:line="360" w:lineRule="auto"/>
        <w:ind w:firstLine="284"/>
        <w:jc w:val="both"/>
        <w:rPr>
          <w:rFonts w:ascii="Arial Narrow" w:hAnsi="Arial Narrow" w:cs="Arial"/>
          <w:sz w:val="24"/>
          <w:szCs w:val="24"/>
        </w:rPr>
      </w:pPr>
      <w:r w:rsidRPr="000D5501">
        <w:rPr>
          <w:rFonts w:ascii="Arial Narrow" w:hAnsi="Arial Narrow" w:cs="Arial"/>
          <w:sz w:val="24"/>
          <w:szCs w:val="24"/>
        </w:rPr>
        <w:t>- рынок розничной торговли – 57,1 %,</w:t>
      </w:r>
    </w:p>
    <w:p w:rsidR="00A64028" w:rsidRPr="000D5501" w:rsidRDefault="00A64028" w:rsidP="00103148">
      <w:pPr>
        <w:spacing w:after="0" w:line="360" w:lineRule="auto"/>
        <w:ind w:firstLine="284"/>
        <w:jc w:val="both"/>
        <w:rPr>
          <w:rFonts w:ascii="Arial Narrow" w:hAnsi="Arial Narrow" w:cs="Arial"/>
          <w:sz w:val="24"/>
          <w:szCs w:val="24"/>
        </w:rPr>
      </w:pPr>
      <w:r w:rsidRPr="000D5501">
        <w:rPr>
          <w:rFonts w:ascii="Arial Narrow" w:hAnsi="Arial Narrow" w:cs="Arial"/>
          <w:sz w:val="24"/>
          <w:szCs w:val="24"/>
        </w:rPr>
        <w:t>- рынок услуг ЖКХ (управляющие компании) – 61,3 %,</w:t>
      </w:r>
    </w:p>
    <w:p w:rsidR="00A64028" w:rsidRPr="000D5501" w:rsidRDefault="00A64028" w:rsidP="00103148">
      <w:pPr>
        <w:spacing w:after="0" w:line="360" w:lineRule="auto"/>
        <w:ind w:firstLine="284"/>
        <w:jc w:val="both"/>
        <w:rPr>
          <w:rFonts w:ascii="Arial Narrow" w:hAnsi="Arial Narrow" w:cs="Arial"/>
          <w:sz w:val="24"/>
          <w:szCs w:val="24"/>
        </w:rPr>
      </w:pPr>
      <w:r w:rsidRPr="000D5501">
        <w:rPr>
          <w:rFonts w:ascii="Arial Narrow" w:hAnsi="Arial Narrow" w:cs="Arial"/>
          <w:sz w:val="24"/>
          <w:szCs w:val="24"/>
        </w:rPr>
        <w:t>- рынок услуг в сфере культуры – 65,4 %,</w:t>
      </w:r>
    </w:p>
    <w:p w:rsidR="00A64028" w:rsidRPr="000D5501" w:rsidRDefault="00A64028" w:rsidP="00103148">
      <w:pPr>
        <w:spacing w:after="0" w:line="360" w:lineRule="auto"/>
        <w:ind w:firstLine="284"/>
        <w:jc w:val="both"/>
        <w:rPr>
          <w:rFonts w:ascii="Arial Narrow" w:hAnsi="Arial Narrow" w:cs="Arial"/>
          <w:sz w:val="24"/>
          <w:szCs w:val="24"/>
        </w:rPr>
      </w:pPr>
      <w:r w:rsidRPr="000D5501">
        <w:rPr>
          <w:rFonts w:ascii="Arial Narrow" w:hAnsi="Arial Narrow" w:cs="Arial"/>
          <w:sz w:val="24"/>
          <w:szCs w:val="24"/>
        </w:rPr>
        <w:t>- рынок услуг перевозок пассажиров наземным транспортом – 78,4 %,</w:t>
      </w:r>
    </w:p>
    <w:p w:rsidR="00A64028" w:rsidRPr="000D5501" w:rsidRDefault="00A64028" w:rsidP="00103148">
      <w:pPr>
        <w:spacing w:after="0" w:line="360" w:lineRule="auto"/>
        <w:ind w:firstLine="284"/>
        <w:jc w:val="both"/>
        <w:rPr>
          <w:rFonts w:ascii="Arial Narrow" w:hAnsi="Arial Narrow" w:cs="Arial"/>
          <w:sz w:val="24"/>
          <w:szCs w:val="24"/>
        </w:rPr>
      </w:pPr>
      <w:r w:rsidRPr="000D5501">
        <w:rPr>
          <w:rFonts w:ascii="Arial Narrow" w:hAnsi="Arial Narrow" w:cs="Arial"/>
          <w:sz w:val="24"/>
          <w:szCs w:val="24"/>
        </w:rPr>
        <w:t>- рынок услуг связи – 84,6 %,</w:t>
      </w:r>
    </w:p>
    <w:p w:rsidR="00A64028" w:rsidRPr="000D5501" w:rsidRDefault="00A64028" w:rsidP="00103148">
      <w:pPr>
        <w:spacing w:after="0" w:line="360" w:lineRule="auto"/>
        <w:ind w:firstLine="284"/>
        <w:jc w:val="both"/>
        <w:rPr>
          <w:rFonts w:ascii="Arial Narrow" w:hAnsi="Arial Narrow" w:cs="Arial"/>
          <w:sz w:val="24"/>
          <w:szCs w:val="24"/>
        </w:rPr>
      </w:pPr>
      <w:r w:rsidRPr="000D5501">
        <w:rPr>
          <w:rFonts w:ascii="Arial Narrow" w:hAnsi="Arial Narrow" w:cs="Arial"/>
          <w:sz w:val="24"/>
          <w:szCs w:val="24"/>
        </w:rPr>
        <w:t>Для остальных рынков значения составляют 20,6–28,8 %.</w:t>
      </w:r>
    </w:p>
    <w:p w:rsidR="00A64028" w:rsidRPr="000D5501" w:rsidRDefault="00A64028" w:rsidP="00103148">
      <w:pPr>
        <w:spacing w:after="0" w:line="360" w:lineRule="auto"/>
        <w:ind w:firstLine="284"/>
        <w:jc w:val="both"/>
        <w:rPr>
          <w:rFonts w:ascii="Arial Narrow" w:hAnsi="Arial Narrow" w:cs="Arial"/>
          <w:sz w:val="24"/>
          <w:szCs w:val="24"/>
          <w:u w:val="single"/>
        </w:rPr>
      </w:pPr>
      <w:r w:rsidRPr="000D5501">
        <w:rPr>
          <w:rFonts w:ascii="Arial Narrow" w:hAnsi="Arial Narrow" w:cs="Arial"/>
          <w:sz w:val="24"/>
          <w:szCs w:val="24"/>
          <w:u w:val="single"/>
        </w:rPr>
        <w:t>Социально значимые и приоритетные рынки, на которых действует недостаточное (малое) количество участников (по мнению более 30 % потребителей):</w:t>
      </w:r>
    </w:p>
    <w:p w:rsidR="00A64028" w:rsidRPr="000D5501" w:rsidRDefault="00A64028" w:rsidP="00103148">
      <w:pPr>
        <w:spacing w:after="0" w:line="360" w:lineRule="auto"/>
        <w:ind w:firstLine="284"/>
        <w:jc w:val="both"/>
        <w:rPr>
          <w:rFonts w:ascii="Arial Narrow" w:hAnsi="Arial Narrow" w:cs="Arial"/>
          <w:sz w:val="24"/>
          <w:szCs w:val="24"/>
        </w:rPr>
      </w:pPr>
      <w:r w:rsidRPr="000D5501">
        <w:rPr>
          <w:rFonts w:ascii="Arial Narrow" w:hAnsi="Arial Narrow" w:cs="Arial"/>
          <w:sz w:val="24"/>
          <w:szCs w:val="24"/>
        </w:rPr>
        <w:t>- рынок медицинских услуг – 49,0 %.</w:t>
      </w:r>
    </w:p>
    <w:p w:rsidR="00A64028" w:rsidRPr="000D5501" w:rsidRDefault="00A64028" w:rsidP="00103148">
      <w:pPr>
        <w:spacing w:after="0" w:line="360" w:lineRule="auto"/>
        <w:ind w:firstLine="284"/>
        <w:jc w:val="both"/>
        <w:rPr>
          <w:rFonts w:ascii="Arial Narrow" w:hAnsi="Arial Narrow" w:cs="Arial"/>
          <w:sz w:val="24"/>
          <w:szCs w:val="24"/>
        </w:rPr>
      </w:pPr>
      <w:r w:rsidRPr="000D5501">
        <w:rPr>
          <w:rFonts w:ascii="Arial Narrow" w:hAnsi="Arial Narrow" w:cs="Arial"/>
          <w:sz w:val="24"/>
          <w:szCs w:val="24"/>
        </w:rPr>
        <w:t>Для остальных рынков значения составляют 6,6–27,0 %.</w:t>
      </w:r>
    </w:p>
    <w:p w:rsidR="00A64028" w:rsidRPr="000D5501" w:rsidRDefault="00A64028" w:rsidP="00103148">
      <w:pPr>
        <w:spacing w:after="0" w:line="360" w:lineRule="auto"/>
        <w:ind w:firstLine="284"/>
        <w:jc w:val="both"/>
        <w:rPr>
          <w:rFonts w:ascii="Arial Narrow" w:hAnsi="Arial Narrow" w:cs="Arial"/>
          <w:sz w:val="24"/>
          <w:szCs w:val="24"/>
          <w:u w:val="single"/>
        </w:rPr>
      </w:pPr>
      <w:r w:rsidRPr="000D5501">
        <w:rPr>
          <w:rFonts w:ascii="Arial Narrow" w:hAnsi="Arial Narrow" w:cs="Arial"/>
          <w:sz w:val="24"/>
          <w:szCs w:val="24"/>
          <w:u w:val="single"/>
        </w:rPr>
        <w:t>Социально значимые и приоритетные рынки, на которых отсутствуют организации, оказывающие соответствующие услуги (по мнению более 20 % потребителей):</w:t>
      </w:r>
    </w:p>
    <w:p w:rsidR="00A64028" w:rsidRPr="000D5501" w:rsidRDefault="00A64028" w:rsidP="00103148">
      <w:pPr>
        <w:spacing w:after="0" w:line="360" w:lineRule="auto"/>
        <w:ind w:firstLine="284"/>
        <w:jc w:val="both"/>
        <w:rPr>
          <w:rFonts w:ascii="Arial Narrow" w:hAnsi="Arial Narrow" w:cs="Arial"/>
          <w:sz w:val="24"/>
          <w:szCs w:val="24"/>
        </w:rPr>
      </w:pPr>
      <w:r w:rsidRPr="000D5501">
        <w:rPr>
          <w:rFonts w:ascii="Arial Narrow" w:hAnsi="Arial Narrow" w:cs="Arial"/>
          <w:sz w:val="24"/>
          <w:szCs w:val="24"/>
        </w:rPr>
        <w:t>- рынок услуг детского отдыха и оздоровления – 25,0 %,</w:t>
      </w:r>
    </w:p>
    <w:p w:rsidR="00A64028" w:rsidRPr="000D5501" w:rsidRDefault="00A64028" w:rsidP="00103148">
      <w:pPr>
        <w:spacing w:after="0" w:line="360" w:lineRule="auto"/>
        <w:ind w:firstLine="284"/>
        <w:jc w:val="both"/>
        <w:rPr>
          <w:rFonts w:ascii="Arial Narrow" w:hAnsi="Arial Narrow" w:cs="Arial"/>
          <w:sz w:val="24"/>
          <w:szCs w:val="24"/>
        </w:rPr>
      </w:pPr>
      <w:r w:rsidRPr="000D5501">
        <w:rPr>
          <w:rFonts w:ascii="Arial Narrow" w:hAnsi="Arial Narrow" w:cs="Arial"/>
          <w:sz w:val="24"/>
          <w:szCs w:val="24"/>
        </w:rPr>
        <w:t>- рынок услуг психолого-педагогического сопровождения детей с ограниченными возможностями здоровья – 28,2 %,</w:t>
      </w:r>
    </w:p>
    <w:p w:rsidR="00A64028" w:rsidRPr="000D5501" w:rsidRDefault="00A64028" w:rsidP="00103148">
      <w:pPr>
        <w:spacing w:after="0" w:line="360" w:lineRule="auto"/>
        <w:ind w:firstLine="284"/>
        <w:jc w:val="both"/>
        <w:rPr>
          <w:rFonts w:ascii="Arial Narrow" w:hAnsi="Arial Narrow" w:cs="Arial"/>
          <w:sz w:val="24"/>
          <w:szCs w:val="24"/>
        </w:rPr>
      </w:pPr>
      <w:r w:rsidRPr="000D5501">
        <w:rPr>
          <w:rFonts w:ascii="Arial Narrow" w:hAnsi="Arial Narrow" w:cs="Arial"/>
          <w:sz w:val="24"/>
          <w:szCs w:val="24"/>
        </w:rPr>
        <w:t>- рынок развития, производства, переработки и хранения сельскохозяйственной продукции – 36,0 %,</w:t>
      </w:r>
    </w:p>
    <w:p w:rsidR="00A64028" w:rsidRPr="000D5501" w:rsidRDefault="00A64028" w:rsidP="00103148">
      <w:pPr>
        <w:spacing w:after="0" w:line="360" w:lineRule="auto"/>
        <w:ind w:firstLine="284"/>
        <w:jc w:val="both"/>
        <w:rPr>
          <w:rFonts w:ascii="Arial Narrow" w:hAnsi="Arial Narrow" w:cs="Arial"/>
          <w:sz w:val="24"/>
          <w:szCs w:val="24"/>
        </w:rPr>
      </w:pPr>
      <w:r w:rsidRPr="000D5501">
        <w:rPr>
          <w:rFonts w:ascii="Arial Narrow" w:hAnsi="Arial Narrow" w:cs="Arial"/>
          <w:sz w:val="24"/>
          <w:szCs w:val="24"/>
        </w:rPr>
        <w:t>- рынок услуг по сбору, сортировке и переработке твердых коммунальных (бытовых) отходов – 47,1 %.</w:t>
      </w:r>
    </w:p>
    <w:p w:rsidR="00A64028" w:rsidRPr="000D5501" w:rsidRDefault="00A64028" w:rsidP="00103148">
      <w:pPr>
        <w:spacing w:after="0" w:line="360" w:lineRule="auto"/>
        <w:ind w:firstLine="284"/>
        <w:jc w:val="both"/>
        <w:rPr>
          <w:rFonts w:ascii="Arial Narrow" w:hAnsi="Arial Narrow" w:cs="Arial"/>
          <w:sz w:val="24"/>
          <w:szCs w:val="24"/>
        </w:rPr>
      </w:pPr>
      <w:r w:rsidRPr="000D5501">
        <w:rPr>
          <w:rFonts w:ascii="Arial Narrow" w:hAnsi="Arial Narrow" w:cs="Arial"/>
          <w:sz w:val="24"/>
          <w:szCs w:val="24"/>
        </w:rPr>
        <w:t>Для остальных рынков значения составляют 0,8–14,9 %.</w:t>
      </w:r>
    </w:p>
    <w:p w:rsidR="00A64028" w:rsidRPr="000D5501" w:rsidRDefault="00A64028" w:rsidP="00103148">
      <w:pPr>
        <w:spacing w:after="0" w:line="360" w:lineRule="auto"/>
        <w:ind w:firstLine="284"/>
        <w:jc w:val="both"/>
        <w:rPr>
          <w:rFonts w:ascii="Arial Narrow" w:hAnsi="Arial Narrow" w:cs="Arial"/>
          <w:sz w:val="24"/>
          <w:szCs w:val="24"/>
        </w:rPr>
      </w:pPr>
      <w:r w:rsidRPr="000D5501">
        <w:rPr>
          <w:rFonts w:ascii="Arial Narrow" w:hAnsi="Arial Narrow" w:cs="Arial"/>
          <w:sz w:val="24"/>
          <w:szCs w:val="24"/>
        </w:rPr>
        <w:t xml:space="preserve">Разнородные мнения, примерно в равной степени описывающие количество организаций как достаточное и не достаточное, высказаны в отношении рынка детского отдыха и оздоровления, рынка медицинских услуг, рынка услуг психолого-педагогического сопровождения детей с ограниченными возможностями здоровья, рынка развития, производства, переработки и хранения </w:t>
      </w:r>
      <w:r w:rsidRPr="000D5501">
        <w:rPr>
          <w:rFonts w:ascii="Arial Narrow" w:hAnsi="Arial Narrow" w:cs="Arial"/>
          <w:sz w:val="24"/>
          <w:szCs w:val="24"/>
        </w:rPr>
        <w:lastRenderedPageBreak/>
        <w:t>сельскохозяйственной продукции, рынка услуг по сбору, сортировке и переработке твердых коммунальных (бытовых) отходов.</w:t>
      </w:r>
    </w:p>
    <w:p w:rsidR="00A64028" w:rsidRPr="000D5501" w:rsidRDefault="00A64028" w:rsidP="00103148">
      <w:pPr>
        <w:spacing w:after="0" w:line="360" w:lineRule="auto"/>
        <w:ind w:firstLine="284"/>
        <w:jc w:val="both"/>
        <w:rPr>
          <w:rFonts w:ascii="Arial Narrow" w:hAnsi="Arial Narrow" w:cs="Arial"/>
          <w:sz w:val="24"/>
          <w:szCs w:val="24"/>
        </w:rPr>
      </w:pPr>
      <w:r w:rsidRPr="000D5501">
        <w:rPr>
          <w:rFonts w:ascii="Arial Narrow" w:hAnsi="Arial Narrow" w:cs="Arial"/>
          <w:sz w:val="24"/>
          <w:szCs w:val="24"/>
        </w:rPr>
        <w:t>Более 50 % потребителей отметили отсутствие изменений количества организаций за последние 3 года для 12 из 13 социально значимых и приоритетных рынков (50,4–70,0 %, среднее значение – 58,3 %). Только в отношении рынка розничной торговли 50,5 % потребителей отметили, что количество организаций за последние 3 года увеличилось (среднее значение – 18,5 %). Снижение количества организаций на рынке было отмечено преимущественно в отношении рынка медицинских услуг (21,0 %, среднее значение – 9,6 %).</w:t>
      </w:r>
    </w:p>
    <w:p w:rsidR="00A64028" w:rsidRPr="000D5501" w:rsidRDefault="00A64028" w:rsidP="00103148">
      <w:pPr>
        <w:spacing w:after="0" w:line="256" w:lineRule="auto"/>
        <w:rPr>
          <w:rFonts w:ascii="Arial Narrow" w:hAnsi="Arial Narrow" w:cs="Arial"/>
          <w:sz w:val="24"/>
          <w:szCs w:val="24"/>
        </w:rPr>
      </w:pPr>
    </w:p>
    <w:p w:rsidR="00A64028" w:rsidRPr="000D5501" w:rsidRDefault="00262F71" w:rsidP="00EB3EA8">
      <w:pPr>
        <w:spacing w:after="0" w:line="240" w:lineRule="auto"/>
        <w:rPr>
          <w:rFonts w:ascii="Arial Narrow" w:hAnsi="Arial Narrow" w:cs="Arial"/>
          <w:b/>
          <w:sz w:val="24"/>
          <w:szCs w:val="24"/>
        </w:rPr>
      </w:pPr>
      <w:r>
        <w:rPr>
          <w:rFonts w:ascii="Arial Narrow" w:hAnsi="Arial Narrow" w:cs="Arial"/>
          <w:sz w:val="24"/>
          <w:szCs w:val="24"/>
        </w:rPr>
        <w:t>Таблица 7.37.</w:t>
      </w:r>
      <w:r w:rsidR="00A64028" w:rsidRPr="000D5501">
        <w:rPr>
          <w:rFonts w:ascii="Arial Narrow" w:hAnsi="Arial Narrow" w:cs="Arial"/>
          <w:sz w:val="24"/>
          <w:szCs w:val="24"/>
        </w:rPr>
        <w:t xml:space="preserve"> – </w:t>
      </w:r>
      <w:r w:rsidR="00A64028" w:rsidRPr="000D5501">
        <w:rPr>
          <w:rFonts w:ascii="Arial Narrow" w:hAnsi="Arial Narrow" w:cs="Arial"/>
          <w:b/>
          <w:sz w:val="24"/>
          <w:szCs w:val="24"/>
        </w:rPr>
        <w:t>Значения показателя 2.1. Отношение потребителей товаров и услуг к количеству участников социально значимых и приоритетных рынков Новосибирской области, в том числе к его изменению (% от числа опрошенных)</w:t>
      </w:r>
    </w:p>
    <w:tbl>
      <w:tblPr>
        <w:tblW w:w="10180" w:type="dxa"/>
        <w:tblInd w:w="-289" w:type="dxa"/>
        <w:tblLayout w:type="fixed"/>
        <w:tblCellMar>
          <w:left w:w="0" w:type="dxa"/>
          <w:right w:w="0" w:type="dxa"/>
        </w:tblCellMar>
        <w:tblLook w:val="04A0"/>
      </w:tblPr>
      <w:tblGrid>
        <w:gridCol w:w="289"/>
        <w:gridCol w:w="1990"/>
        <w:gridCol w:w="567"/>
        <w:gridCol w:w="567"/>
        <w:gridCol w:w="567"/>
        <w:gridCol w:w="567"/>
        <w:gridCol w:w="567"/>
        <w:gridCol w:w="567"/>
        <w:gridCol w:w="567"/>
        <w:gridCol w:w="567"/>
        <w:gridCol w:w="567"/>
        <w:gridCol w:w="567"/>
        <w:gridCol w:w="567"/>
        <w:gridCol w:w="567"/>
        <w:gridCol w:w="505"/>
        <w:gridCol w:w="572"/>
        <w:gridCol w:w="20"/>
      </w:tblGrid>
      <w:tr w:rsidR="00A64028" w:rsidRPr="00422331" w:rsidTr="00086001">
        <w:trPr>
          <w:gridAfter w:val="1"/>
          <w:wAfter w:w="20" w:type="dxa"/>
          <w:cantSplit/>
          <w:trHeight w:val="3721"/>
        </w:trPr>
        <w:tc>
          <w:tcPr>
            <w:tcW w:w="289" w:type="dxa"/>
            <w:tcBorders>
              <w:top w:val="single" w:sz="4" w:space="0" w:color="auto"/>
              <w:left w:val="single" w:sz="4" w:space="0" w:color="auto"/>
              <w:bottom w:val="single" w:sz="4" w:space="0" w:color="auto"/>
              <w:right w:val="single" w:sz="4" w:space="0" w:color="auto"/>
            </w:tcBorders>
            <w:vAlign w:val="center"/>
            <w:hideMark/>
          </w:tcPr>
          <w:p w:rsidR="00A64028" w:rsidRPr="00422331" w:rsidRDefault="00A64028" w:rsidP="00103148">
            <w:pPr>
              <w:spacing w:after="0"/>
              <w:jc w:val="center"/>
              <w:rPr>
                <w:rFonts w:ascii="Arial Narrow" w:hAnsi="Arial Narrow" w:cs="Arial"/>
              </w:rPr>
            </w:pPr>
            <w:r w:rsidRPr="00422331">
              <w:rPr>
                <w:rFonts w:ascii="Arial Narrow" w:hAnsi="Arial Narrow" w:cs="Arial"/>
              </w:rPr>
              <w:t>№</w:t>
            </w:r>
          </w:p>
        </w:tc>
        <w:tc>
          <w:tcPr>
            <w:tcW w:w="1990" w:type="dxa"/>
            <w:tcBorders>
              <w:top w:val="single" w:sz="4" w:space="0" w:color="auto"/>
              <w:left w:val="nil"/>
              <w:bottom w:val="single" w:sz="4" w:space="0" w:color="auto"/>
              <w:right w:val="single" w:sz="4" w:space="0" w:color="auto"/>
            </w:tcBorders>
            <w:vAlign w:val="center"/>
            <w:hideMark/>
          </w:tcPr>
          <w:p w:rsidR="00A64028" w:rsidRPr="00086001" w:rsidRDefault="00A64028" w:rsidP="00103148">
            <w:pPr>
              <w:spacing w:after="0"/>
              <w:ind w:left="148"/>
              <w:rPr>
                <w:rFonts w:ascii="Arial Narrow" w:hAnsi="Arial Narrow" w:cs="Arial"/>
                <w:sz w:val="18"/>
                <w:szCs w:val="18"/>
              </w:rPr>
            </w:pPr>
            <w:r w:rsidRPr="00086001">
              <w:rPr>
                <w:rFonts w:ascii="Arial Narrow" w:hAnsi="Arial Narrow" w:cs="Arial"/>
                <w:sz w:val="18"/>
                <w:szCs w:val="18"/>
              </w:rPr>
              <w:t>Наименование показателя, единица измерения</w:t>
            </w:r>
          </w:p>
        </w:tc>
        <w:tc>
          <w:tcPr>
            <w:tcW w:w="567" w:type="dxa"/>
            <w:tcBorders>
              <w:top w:val="single" w:sz="4" w:space="0" w:color="auto"/>
              <w:left w:val="nil"/>
              <w:bottom w:val="single" w:sz="4" w:space="0" w:color="auto"/>
              <w:right w:val="single" w:sz="4" w:space="0" w:color="auto"/>
            </w:tcBorders>
            <w:textDirection w:val="btLr"/>
            <w:vAlign w:val="center"/>
            <w:hideMark/>
          </w:tcPr>
          <w:p w:rsidR="00A64028" w:rsidRPr="00086001" w:rsidRDefault="00A64028" w:rsidP="00086001">
            <w:pPr>
              <w:spacing w:after="0" w:line="240" w:lineRule="auto"/>
              <w:ind w:left="113" w:right="113"/>
              <w:jc w:val="center"/>
              <w:rPr>
                <w:rFonts w:ascii="Arial Narrow" w:hAnsi="Arial Narrow" w:cs="Arial"/>
                <w:sz w:val="18"/>
                <w:szCs w:val="18"/>
              </w:rPr>
            </w:pPr>
            <w:r w:rsidRPr="00086001">
              <w:rPr>
                <w:rFonts w:ascii="Arial Narrow" w:hAnsi="Arial Narrow" w:cs="Arial"/>
                <w:sz w:val="18"/>
                <w:szCs w:val="18"/>
              </w:rPr>
              <w:t>Общий по Новосибирской области</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086001" w:rsidRDefault="00A64028" w:rsidP="00086001">
            <w:pPr>
              <w:spacing w:after="0" w:line="240" w:lineRule="auto"/>
              <w:ind w:left="113" w:right="113"/>
              <w:jc w:val="center"/>
              <w:rPr>
                <w:rFonts w:ascii="Arial Narrow" w:hAnsi="Arial Narrow" w:cs="Arial"/>
                <w:sz w:val="18"/>
                <w:szCs w:val="18"/>
              </w:rPr>
            </w:pPr>
            <w:r w:rsidRPr="00086001">
              <w:rPr>
                <w:rFonts w:ascii="Arial Narrow" w:hAnsi="Arial Narrow" w:cs="Arial"/>
                <w:sz w:val="18"/>
                <w:szCs w:val="18"/>
              </w:rPr>
              <w:t>Рынок услуг дошкольного образования (коммерческие детские сады и учреждения пребывания неполного дня)</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086001" w:rsidRDefault="00A64028" w:rsidP="00086001">
            <w:pPr>
              <w:spacing w:after="0" w:line="240" w:lineRule="auto"/>
              <w:ind w:left="113" w:right="113"/>
              <w:jc w:val="center"/>
              <w:rPr>
                <w:rFonts w:ascii="Arial Narrow" w:hAnsi="Arial Narrow" w:cs="Arial"/>
                <w:sz w:val="18"/>
                <w:szCs w:val="18"/>
              </w:rPr>
            </w:pPr>
            <w:r w:rsidRPr="00086001">
              <w:rPr>
                <w:rFonts w:ascii="Arial Narrow" w:hAnsi="Arial Narrow" w:cs="Arial"/>
                <w:sz w:val="18"/>
                <w:szCs w:val="18"/>
              </w:rPr>
              <w:t>Рынок услуг детского отдыха и оздоровления</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086001" w:rsidRDefault="00A64028" w:rsidP="00086001">
            <w:pPr>
              <w:spacing w:after="0" w:line="240" w:lineRule="auto"/>
              <w:ind w:left="113" w:right="113"/>
              <w:jc w:val="center"/>
              <w:rPr>
                <w:rFonts w:ascii="Arial Narrow" w:hAnsi="Arial Narrow" w:cs="Arial"/>
                <w:sz w:val="18"/>
                <w:szCs w:val="18"/>
              </w:rPr>
            </w:pPr>
            <w:r w:rsidRPr="00086001">
              <w:rPr>
                <w:rFonts w:ascii="Arial Narrow" w:hAnsi="Arial Narrow" w:cs="Arial"/>
                <w:sz w:val="18"/>
                <w:szCs w:val="18"/>
              </w:rPr>
              <w:t>Рынок услуг дополнительного образования детей</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086001" w:rsidRDefault="00A64028" w:rsidP="00086001">
            <w:pPr>
              <w:spacing w:after="0" w:line="240" w:lineRule="auto"/>
              <w:ind w:left="113" w:right="113"/>
              <w:jc w:val="center"/>
              <w:rPr>
                <w:rFonts w:ascii="Arial Narrow" w:hAnsi="Arial Narrow" w:cs="Arial"/>
                <w:sz w:val="18"/>
                <w:szCs w:val="18"/>
              </w:rPr>
            </w:pPr>
            <w:r w:rsidRPr="00086001">
              <w:rPr>
                <w:rFonts w:ascii="Arial Narrow" w:hAnsi="Arial Narrow" w:cs="Arial"/>
                <w:sz w:val="18"/>
                <w:szCs w:val="18"/>
              </w:rPr>
              <w:t>Рынок медицинских услуг</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086001" w:rsidRDefault="00A64028" w:rsidP="00086001">
            <w:pPr>
              <w:spacing w:after="0" w:line="240" w:lineRule="auto"/>
              <w:ind w:left="113" w:right="113"/>
              <w:jc w:val="center"/>
              <w:rPr>
                <w:rFonts w:ascii="Arial Narrow" w:hAnsi="Arial Narrow" w:cs="Arial"/>
                <w:sz w:val="18"/>
                <w:szCs w:val="18"/>
              </w:rPr>
            </w:pPr>
            <w:r w:rsidRPr="00086001">
              <w:rPr>
                <w:rFonts w:ascii="Arial Narrow" w:hAnsi="Arial Narrow" w:cs="Arial"/>
                <w:sz w:val="18"/>
                <w:szCs w:val="18"/>
              </w:rPr>
              <w:t>Рынок услуг психолого-педагогического сопровождения детей с ограниченными возможностями здоровья</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086001" w:rsidRDefault="00A64028" w:rsidP="00086001">
            <w:pPr>
              <w:spacing w:after="0" w:line="240" w:lineRule="auto"/>
              <w:ind w:left="113" w:right="113"/>
              <w:jc w:val="center"/>
              <w:rPr>
                <w:rFonts w:ascii="Arial Narrow" w:hAnsi="Arial Narrow" w:cs="Arial"/>
                <w:sz w:val="18"/>
                <w:szCs w:val="18"/>
              </w:rPr>
            </w:pPr>
            <w:r w:rsidRPr="00086001">
              <w:rPr>
                <w:rFonts w:ascii="Arial Narrow" w:hAnsi="Arial Narrow" w:cs="Arial"/>
                <w:sz w:val="18"/>
                <w:szCs w:val="18"/>
              </w:rPr>
              <w:t>Рынок услуг в сфере культуры</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086001" w:rsidRDefault="00A64028" w:rsidP="00086001">
            <w:pPr>
              <w:spacing w:after="0" w:line="240" w:lineRule="auto"/>
              <w:ind w:left="113" w:right="113"/>
              <w:jc w:val="center"/>
              <w:rPr>
                <w:rFonts w:ascii="Arial Narrow" w:hAnsi="Arial Narrow" w:cs="Arial"/>
                <w:sz w:val="18"/>
                <w:szCs w:val="18"/>
              </w:rPr>
            </w:pPr>
            <w:r w:rsidRPr="00086001">
              <w:rPr>
                <w:rFonts w:ascii="Arial Narrow" w:hAnsi="Arial Narrow" w:cs="Arial"/>
                <w:sz w:val="18"/>
                <w:szCs w:val="18"/>
              </w:rPr>
              <w:t>Рынок услуг ЖКХ (управляющие компании)</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086001" w:rsidRDefault="00A64028" w:rsidP="00086001">
            <w:pPr>
              <w:spacing w:after="0" w:line="240" w:lineRule="auto"/>
              <w:ind w:left="113" w:right="113"/>
              <w:jc w:val="center"/>
              <w:rPr>
                <w:rFonts w:ascii="Arial Narrow" w:hAnsi="Arial Narrow" w:cs="Arial"/>
                <w:sz w:val="18"/>
                <w:szCs w:val="18"/>
              </w:rPr>
            </w:pPr>
            <w:r w:rsidRPr="00086001">
              <w:rPr>
                <w:rFonts w:ascii="Arial Narrow" w:hAnsi="Arial Narrow" w:cs="Arial"/>
                <w:sz w:val="18"/>
                <w:szCs w:val="18"/>
              </w:rPr>
              <w:t>Розничная торговля (продажа продуктов питания и непродовольственных товаров)</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086001" w:rsidRDefault="00A64028" w:rsidP="00086001">
            <w:pPr>
              <w:spacing w:after="0" w:line="240" w:lineRule="auto"/>
              <w:ind w:left="113" w:right="113"/>
              <w:jc w:val="center"/>
              <w:rPr>
                <w:rFonts w:ascii="Arial Narrow" w:hAnsi="Arial Narrow" w:cs="Arial"/>
                <w:sz w:val="18"/>
                <w:szCs w:val="18"/>
              </w:rPr>
            </w:pPr>
            <w:r w:rsidRPr="00086001">
              <w:rPr>
                <w:rFonts w:ascii="Arial Narrow" w:hAnsi="Arial Narrow" w:cs="Arial"/>
                <w:sz w:val="18"/>
                <w:szCs w:val="18"/>
              </w:rPr>
              <w:t>Рынок услуг перевозок пассажиров наземным транспортом (автобусные перевозки и такси)</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086001" w:rsidRDefault="00A64028" w:rsidP="00086001">
            <w:pPr>
              <w:spacing w:after="0" w:line="240" w:lineRule="auto"/>
              <w:ind w:left="113" w:right="113"/>
              <w:jc w:val="center"/>
              <w:rPr>
                <w:rFonts w:ascii="Arial Narrow" w:hAnsi="Arial Narrow" w:cs="Arial"/>
                <w:sz w:val="18"/>
                <w:szCs w:val="18"/>
              </w:rPr>
            </w:pPr>
            <w:r w:rsidRPr="00086001">
              <w:rPr>
                <w:rFonts w:ascii="Arial Narrow" w:hAnsi="Arial Narrow" w:cs="Arial"/>
                <w:sz w:val="18"/>
                <w:szCs w:val="18"/>
              </w:rPr>
              <w:t>Рынок услуг связи</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086001" w:rsidRDefault="00A64028" w:rsidP="00086001">
            <w:pPr>
              <w:spacing w:after="0" w:line="240" w:lineRule="auto"/>
              <w:ind w:left="113" w:right="113"/>
              <w:jc w:val="center"/>
              <w:rPr>
                <w:rFonts w:ascii="Arial Narrow" w:hAnsi="Arial Narrow" w:cs="Arial"/>
                <w:sz w:val="18"/>
                <w:szCs w:val="18"/>
              </w:rPr>
            </w:pPr>
            <w:r w:rsidRPr="00086001">
              <w:rPr>
                <w:rFonts w:ascii="Arial Narrow" w:hAnsi="Arial Narrow" w:cs="Arial"/>
                <w:sz w:val="18"/>
                <w:szCs w:val="18"/>
              </w:rPr>
              <w:t>Рынок услуг социального обслуживания населения</w:t>
            </w:r>
          </w:p>
        </w:tc>
        <w:tc>
          <w:tcPr>
            <w:tcW w:w="505" w:type="dxa"/>
            <w:tcBorders>
              <w:top w:val="single" w:sz="4" w:space="0" w:color="auto"/>
              <w:left w:val="nil"/>
              <w:bottom w:val="single" w:sz="4" w:space="0" w:color="auto"/>
              <w:right w:val="single" w:sz="4" w:space="0" w:color="auto"/>
            </w:tcBorders>
            <w:noWrap/>
            <w:textDirection w:val="btLr"/>
            <w:vAlign w:val="center"/>
            <w:hideMark/>
          </w:tcPr>
          <w:p w:rsidR="00A64028" w:rsidRPr="00086001" w:rsidRDefault="00A64028" w:rsidP="00086001">
            <w:pPr>
              <w:spacing w:after="0" w:line="240" w:lineRule="auto"/>
              <w:ind w:left="113" w:right="113"/>
              <w:jc w:val="center"/>
              <w:rPr>
                <w:rFonts w:ascii="Arial Narrow" w:hAnsi="Arial Narrow" w:cs="Arial"/>
                <w:sz w:val="18"/>
                <w:szCs w:val="18"/>
              </w:rPr>
            </w:pPr>
            <w:r w:rsidRPr="00086001">
              <w:rPr>
                <w:rFonts w:ascii="Arial Narrow" w:hAnsi="Arial Narrow" w:cs="Arial"/>
                <w:sz w:val="18"/>
                <w:szCs w:val="18"/>
              </w:rPr>
              <w:t>Рынок развития, производства, переработки и хранения сельскохозяйственной продукции</w:t>
            </w:r>
          </w:p>
        </w:tc>
        <w:tc>
          <w:tcPr>
            <w:tcW w:w="572" w:type="dxa"/>
            <w:tcBorders>
              <w:top w:val="single" w:sz="4" w:space="0" w:color="auto"/>
              <w:left w:val="nil"/>
              <w:bottom w:val="single" w:sz="4" w:space="0" w:color="auto"/>
              <w:right w:val="single" w:sz="4" w:space="0" w:color="auto"/>
            </w:tcBorders>
            <w:noWrap/>
            <w:textDirection w:val="btLr"/>
            <w:vAlign w:val="center"/>
            <w:hideMark/>
          </w:tcPr>
          <w:p w:rsidR="00A64028" w:rsidRPr="00086001" w:rsidRDefault="00A64028" w:rsidP="00086001">
            <w:pPr>
              <w:spacing w:after="0" w:line="240" w:lineRule="auto"/>
              <w:ind w:left="113" w:right="113"/>
              <w:jc w:val="center"/>
              <w:rPr>
                <w:rFonts w:ascii="Arial Narrow" w:hAnsi="Arial Narrow" w:cs="Arial"/>
                <w:sz w:val="18"/>
                <w:szCs w:val="18"/>
              </w:rPr>
            </w:pPr>
            <w:r w:rsidRPr="00086001">
              <w:rPr>
                <w:rFonts w:ascii="Arial Narrow" w:hAnsi="Arial Narrow" w:cs="Arial"/>
                <w:sz w:val="18"/>
                <w:szCs w:val="18"/>
              </w:rPr>
              <w:t>Рынок услуг по сбору, сортировке и переработке твердых коммунальных (бытовых) отходов</w:t>
            </w:r>
          </w:p>
        </w:tc>
      </w:tr>
      <w:tr w:rsidR="00A64028" w:rsidRPr="00422331" w:rsidTr="00A64028">
        <w:tc>
          <w:tcPr>
            <w:tcW w:w="289" w:type="dxa"/>
            <w:tcBorders>
              <w:top w:val="nil"/>
              <w:left w:val="single" w:sz="4" w:space="0" w:color="auto"/>
              <w:bottom w:val="single" w:sz="4" w:space="0" w:color="auto"/>
              <w:right w:val="single" w:sz="4" w:space="0" w:color="auto"/>
            </w:tcBorders>
            <w:vAlign w:val="center"/>
            <w:hideMark/>
          </w:tcPr>
          <w:p w:rsidR="00A64028" w:rsidRPr="00422331" w:rsidRDefault="00A64028" w:rsidP="00103148">
            <w:pPr>
              <w:spacing w:after="0"/>
              <w:jc w:val="center"/>
              <w:rPr>
                <w:rFonts w:ascii="Arial Narrow" w:hAnsi="Arial Narrow" w:cs="Arial"/>
                <w:b/>
                <w:bCs/>
              </w:rPr>
            </w:pPr>
            <w:r w:rsidRPr="00422331">
              <w:rPr>
                <w:rFonts w:ascii="Arial Narrow" w:hAnsi="Arial Narrow" w:cs="Arial"/>
                <w:b/>
                <w:bCs/>
              </w:rPr>
              <w:t>2.</w:t>
            </w:r>
          </w:p>
        </w:tc>
        <w:tc>
          <w:tcPr>
            <w:tcW w:w="9891" w:type="dxa"/>
            <w:gridSpan w:val="16"/>
            <w:tcBorders>
              <w:top w:val="single" w:sz="4" w:space="0" w:color="auto"/>
              <w:left w:val="nil"/>
              <w:bottom w:val="single" w:sz="4" w:space="0" w:color="auto"/>
              <w:right w:val="single" w:sz="4" w:space="0" w:color="000000"/>
            </w:tcBorders>
            <w:vAlign w:val="center"/>
            <w:hideMark/>
          </w:tcPr>
          <w:p w:rsidR="00A64028" w:rsidRPr="00372BCB" w:rsidRDefault="00A64028" w:rsidP="00086001">
            <w:pPr>
              <w:spacing w:after="0"/>
              <w:ind w:left="148" w:right="142"/>
              <w:rPr>
                <w:rFonts w:ascii="Arial Narrow" w:hAnsi="Arial Narrow" w:cs="Arial"/>
                <w:b/>
                <w:bCs/>
                <w:sz w:val="18"/>
                <w:szCs w:val="18"/>
              </w:rPr>
            </w:pPr>
            <w:r w:rsidRPr="00372BCB">
              <w:rPr>
                <w:rFonts w:ascii="Arial Narrow" w:hAnsi="Arial Narrow" w:cs="Arial"/>
                <w:b/>
                <w:bCs/>
                <w:sz w:val="18"/>
                <w:szCs w:val="18"/>
              </w:rPr>
              <w:t>Мониторинг удовлетворенности потребителей качеством товаров, работ и услуг на товарных рынках Новосибирской области и состоянием ценовой конкуренции</w:t>
            </w:r>
          </w:p>
        </w:tc>
      </w:tr>
      <w:tr w:rsidR="00A64028" w:rsidRPr="00422331" w:rsidTr="00A64028">
        <w:trPr>
          <w:gridAfter w:val="1"/>
          <w:wAfter w:w="21" w:type="dxa"/>
        </w:trPr>
        <w:tc>
          <w:tcPr>
            <w:tcW w:w="289" w:type="dxa"/>
            <w:vMerge w:val="restart"/>
            <w:tcBorders>
              <w:top w:val="single" w:sz="4" w:space="0" w:color="auto"/>
              <w:left w:val="single" w:sz="4" w:space="0" w:color="auto"/>
              <w:bottom w:val="single" w:sz="4" w:space="0" w:color="auto"/>
              <w:right w:val="single" w:sz="4" w:space="0" w:color="auto"/>
            </w:tcBorders>
            <w:vAlign w:val="center"/>
            <w:hideMark/>
          </w:tcPr>
          <w:p w:rsidR="00A64028" w:rsidRPr="00422331" w:rsidRDefault="00A64028" w:rsidP="00103148">
            <w:pPr>
              <w:spacing w:after="0"/>
              <w:jc w:val="center"/>
              <w:rPr>
                <w:rFonts w:ascii="Arial Narrow" w:hAnsi="Arial Narrow" w:cs="Arial"/>
              </w:rPr>
            </w:pPr>
            <w:r w:rsidRPr="00422331">
              <w:rPr>
                <w:rFonts w:ascii="Arial Narrow" w:hAnsi="Arial Narrow" w:cs="Arial"/>
              </w:rPr>
              <w:t>2.1.</w:t>
            </w:r>
          </w:p>
        </w:tc>
        <w:tc>
          <w:tcPr>
            <w:tcW w:w="9870" w:type="dxa"/>
            <w:gridSpan w:val="15"/>
            <w:tcBorders>
              <w:top w:val="single" w:sz="4" w:space="0" w:color="auto"/>
              <w:left w:val="nil"/>
              <w:bottom w:val="single" w:sz="4" w:space="0" w:color="auto"/>
              <w:right w:val="single" w:sz="4" w:space="0" w:color="auto"/>
            </w:tcBorders>
            <w:vAlign w:val="center"/>
            <w:hideMark/>
          </w:tcPr>
          <w:p w:rsidR="00A64028" w:rsidRPr="00372BCB" w:rsidRDefault="00A64028" w:rsidP="00086001">
            <w:pPr>
              <w:spacing w:after="0"/>
              <w:ind w:left="147" w:right="142"/>
              <w:jc w:val="both"/>
              <w:rPr>
                <w:rFonts w:ascii="Arial Narrow" w:hAnsi="Arial Narrow" w:cs="Arial"/>
                <w:sz w:val="18"/>
                <w:szCs w:val="18"/>
              </w:rPr>
            </w:pPr>
            <w:r w:rsidRPr="00372BCB">
              <w:rPr>
                <w:rFonts w:ascii="Arial Narrow" w:hAnsi="Arial Narrow" w:cs="Arial"/>
                <w:sz w:val="18"/>
                <w:szCs w:val="18"/>
              </w:rPr>
              <w:t>Отношение потребителей товаров и услуг к количеству участников социально значимых и приоритетных рынков Новосибирской области, в том числе к его изменению (% от числа опрошенных)</w:t>
            </w:r>
          </w:p>
        </w:tc>
      </w:tr>
      <w:tr w:rsidR="00A64028" w:rsidRPr="00422331" w:rsidTr="00A64028">
        <w:trPr>
          <w:gridAfter w:val="1"/>
          <w:wAfter w:w="20" w:type="dxa"/>
        </w:trPr>
        <w:tc>
          <w:tcPr>
            <w:tcW w:w="289" w:type="dxa"/>
            <w:vMerge/>
            <w:tcBorders>
              <w:top w:val="single" w:sz="4" w:space="0" w:color="auto"/>
              <w:left w:val="single" w:sz="4" w:space="0" w:color="auto"/>
              <w:bottom w:val="single" w:sz="4" w:space="0" w:color="auto"/>
              <w:right w:val="single" w:sz="4" w:space="0" w:color="auto"/>
            </w:tcBorders>
            <w:vAlign w:val="center"/>
            <w:hideMark/>
          </w:tcPr>
          <w:p w:rsidR="00A64028" w:rsidRPr="00422331" w:rsidRDefault="00A64028" w:rsidP="00103148">
            <w:pPr>
              <w:spacing w:after="0"/>
              <w:rPr>
                <w:rFonts w:ascii="Arial Narrow" w:hAnsi="Arial Narrow" w:cs="Arial"/>
              </w:rPr>
            </w:pPr>
          </w:p>
        </w:tc>
        <w:tc>
          <w:tcPr>
            <w:tcW w:w="1990" w:type="dxa"/>
            <w:tcBorders>
              <w:top w:val="single" w:sz="4" w:space="0" w:color="auto"/>
              <w:left w:val="nil"/>
              <w:bottom w:val="single" w:sz="4" w:space="0" w:color="auto"/>
              <w:right w:val="single" w:sz="4" w:space="0" w:color="auto"/>
            </w:tcBorders>
            <w:vAlign w:val="center"/>
            <w:hideMark/>
          </w:tcPr>
          <w:p w:rsidR="00A64028" w:rsidRPr="00372BCB" w:rsidRDefault="00A64028" w:rsidP="00086001">
            <w:pPr>
              <w:spacing w:after="0"/>
              <w:ind w:left="147" w:right="142"/>
              <w:rPr>
                <w:rFonts w:ascii="Arial Narrow" w:eastAsia="Calibri" w:hAnsi="Arial Narrow"/>
                <w:b/>
                <w:sz w:val="18"/>
                <w:szCs w:val="18"/>
              </w:rPr>
            </w:pPr>
            <w:r w:rsidRPr="00372BCB">
              <w:rPr>
                <w:rFonts w:ascii="Arial Narrow" w:eastAsia="Calibri" w:hAnsi="Arial Narrow"/>
                <w:b/>
                <w:sz w:val="18"/>
                <w:szCs w:val="18"/>
              </w:rPr>
              <w:t>Количество участников рынка:</w:t>
            </w:r>
          </w:p>
        </w:tc>
        <w:tc>
          <w:tcPr>
            <w:tcW w:w="567" w:type="dxa"/>
            <w:tcBorders>
              <w:top w:val="single" w:sz="4" w:space="0" w:color="auto"/>
              <w:left w:val="nil"/>
              <w:bottom w:val="single" w:sz="4" w:space="0" w:color="auto"/>
              <w:right w:val="single" w:sz="4" w:space="0" w:color="auto"/>
            </w:tcBorders>
            <w:noWrap/>
            <w:vAlign w:val="bottom"/>
          </w:tcPr>
          <w:p w:rsidR="00A64028" w:rsidRPr="00372BCB" w:rsidRDefault="00A64028" w:rsidP="00103148">
            <w:pPr>
              <w:spacing w:after="0"/>
              <w:jc w:val="center"/>
              <w:rPr>
                <w:rFonts w:ascii="Arial Narrow" w:eastAsia="Calibri" w:hAnsi="Arial Narrow"/>
                <w:sz w:val="18"/>
                <w:szCs w:val="18"/>
              </w:rPr>
            </w:pPr>
          </w:p>
        </w:tc>
        <w:tc>
          <w:tcPr>
            <w:tcW w:w="567" w:type="dxa"/>
            <w:tcBorders>
              <w:top w:val="single" w:sz="4" w:space="0" w:color="auto"/>
              <w:left w:val="nil"/>
              <w:bottom w:val="single" w:sz="4" w:space="0" w:color="auto"/>
              <w:right w:val="single" w:sz="4" w:space="0" w:color="auto"/>
            </w:tcBorders>
            <w:noWrap/>
            <w:vAlign w:val="bottom"/>
          </w:tcPr>
          <w:p w:rsidR="00A64028" w:rsidRPr="00372BCB" w:rsidRDefault="00A64028" w:rsidP="00103148">
            <w:pPr>
              <w:spacing w:after="0"/>
              <w:jc w:val="center"/>
              <w:rPr>
                <w:rFonts w:ascii="Arial Narrow" w:eastAsia="Calibri" w:hAnsi="Arial Narrow"/>
                <w:sz w:val="18"/>
                <w:szCs w:val="18"/>
              </w:rPr>
            </w:pPr>
          </w:p>
        </w:tc>
        <w:tc>
          <w:tcPr>
            <w:tcW w:w="567" w:type="dxa"/>
            <w:tcBorders>
              <w:top w:val="single" w:sz="4" w:space="0" w:color="auto"/>
              <w:left w:val="nil"/>
              <w:bottom w:val="single" w:sz="4" w:space="0" w:color="auto"/>
              <w:right w:val="single" w:sz="4" w:space="0" w:color="auto"/>
            </w:tcBorders>
            <w:noWrap/>
            <w:vAlign w:val="bottom"/>
          </w:tcPr>
          <w:p w:rsidR="00A64028" w:rsidRPr="00372BCB" w:rsidRDefault="00A64028" w:rsidP="00103148">
            <w:pPr>
              <w:spacing w:after="0"/>
              <w:jc w:val="center"/>
              <w:rPr>
                <w:rFonts w:ascii="Arial Narrow" w:eastAsia="Calibri" w:hAnsi="Arial Narrow"/>
                <w:sz w:val="18"/>
                <w:szCs w:val="18"/>
              </w:rPr>
            </w:pPr>
          </w:p>
        </w:tc>
        <w:tc>
          <w:tcPr>
            <w:tcW w:w="567" w:type="dxa"/>
            <w:tcBorders>
              <w:top w:val="single" w:sz="4" w:space="0" w:color="auto"/>
              <w:left w:val="nil"/>
              <w:bottom w:val="single" w:sz="4" w:space="0" w:color="auto"/>
              <w:right w:val="single" w:sz="4" w:space="0" w:color="auto"/>
            </w:tcBorders>
            <w:noWrap/>
            <w:vAlign w:val="bottom"/>
          </w:tcPr>
          <w:p w:rsidR="00A64028" w:rsidRPr="00372BCB" w:rsidRDefault="00A64028" w:rsidP="00103148">
            <w:pPr>
              <w:spacing w:after="0"/>
              <w:jc w:val="center"/>
              <w:rPr>
                <w:rFonts w:ascii="Arial Narrow" w:eastAsia="Calibri" w:hAnsi="Arial Narrow"/>
                <w:sz w:val="18"/>
                <w:szCs w:val="18"/>
              </w:rPr>
            </w:pPr>
          </w:p>
        </w:tc>
        <w:tc>
          <w:tcPr>
            <w:tcW w:w="567" w:type="dxa"/>
            <w:tcBorders>
              <w:top w:val="single" w:sz="4" w:space="0" w:color="auto"/>
              <w:left w:val="nil"/>
              <w:bottom w:val="single" w:sz="4" w:space="0" w:color="auto"/>
              <w:right w:val="single" w:sz="4" w:space="0" w:color="auto"/>
            </w:tcBorders>
            <w:noWrap/>
            <w:vAlign w:val="bottom"/>
          </w:tcPr>
          <w:p w:rsidR="00A64028" w:rsidRPr="00372BCB" w:rsidRDefault="00A64028" w:rsidP="00103148">
            <w:pPr>
              <w:spacing w:after="0"/>
              <w:jc w:val="center"/>
              <w:rPr>
                <w:rFonts w:ascii="Arial Narrow" w:eastAsia="Calibri" w:hAnsi="Arial Narrow"/>
                <w:sz w:val="18"/>
                <w:szCs w:val="18"/>
              </w:rPr>
            </w:pPr>
          </w:p>
        </w:tc>
        <w:tc>
          <w:tcPr>
            <w:tcW w:w="567" w:type="dxa"/>
            <w:tcBorders>
              <w:top w:val="single" w:sz="4" w:space="0" w:color="auto"/>
              <w:left w:val="nil"/>
              <w:bottom w:val="single" w:sz="4" w:space="0" w:color="auto"/>
              <w:right w:val="single" w:sz="4" w:space="0" w:color="auto"/>
            </w:tcBorders>
            <w:noWrap/>
            <w:vAlign w:val="bottom"/>
          </w:tcPr>
          <w:p w:rsidR="00A64028" w:rsidRPr="00372BCB" w:rsidRDefault="00A64028" w:rsidP="00103148">
            <w:pPr>
              <w:spacing w:after="0"/>
              <w:jc w:val="center"/>
              <w:rPr>
                <w:rFonts w:ascii="Arial Narrow" w:eastAsia="Calibri" w:hAnsi="Arial Narrow"/>
                <w:sz w:val="18"/>
                <w:szCs w:val="18"/>
              </w:rPr>
            </w:pPr>
          </w:p>
        </w:tc>
        <w:tc>
          <w:tcPr>
            <w:tcW w:w="567" w:type="dxa"/>
            <w:tcBorders>
              <w:top w:val="single" w:sz="4" w:space="0" w:color="auto"/>
              <w:left w:val="nil"/>
              <w:bottom w:val="single" w:sz="4" w:space="0" w:color="auto"/>
              <w:right w:val="single" w:sz="4" w:space="0" w:color="auto"/>
            </w:tcBorders>
            <w:noWrap/>
            <w:vAlign w:val="bottom"/>
          </w:tcPr>
          <w:p w:rsidR="00A64028" w:rsidRPr="00372BCB" w:rsidRDefault="00A64028" w:rsidP="00103148">
            <w:pPr>
              <w:spacing w:after="0"/>
              <w:jc w:val="center"/>
              <w:rPr>
                <w:rFonts w:ascii="Arial Narrow" w:eastAsia="Calibri" w:hAnsi="Arial Narrow"/>
                <w:sz w:val="18"/>
                <w:szCs w:val="18"/>
              </w:rPr>
            </w:pPr>
          </w:p>
        </w:tc>
        <w:tc>
          <w:tcPr>
            <w:tcW w:w="567" w:type="dxa"/>
            <w:tcBorders>
              <w:top w:val="single" w:sz="4" w:space="0" w:color="auto"/>
              <w:left w:val="nil"/>
              <w:bottom w:val="single" w:sz="4" w:space="0" w:color="auto"/>
              <w:right w:val="single" w:sz="4" w:space="0" w:color="auto"/>
            </w:tcBorders>
            <w:noWrap/>
            <w:vAlign w:val="bottom"/>
          </w:tcPr>
          <w:p w:rsidR="00A64028" w:rsidRPr="00372BCB" w:rsidRDefault="00A64028" w:rsidP="00103148">
            <w:pPr>
              <w:spacing w:after="0"/>
              <w:jc w:val="center"/>
              <w:rPr>
                <w:rFonts w:ascii="Arial Narrow" w:eastAsia="Calibri" w:hAnsi="Arial Narrow"/>
                <w:sz w:val="18"/>
                <w:szCs w:val="18"/>
              </w:rPr>
            </w:pPr>
          </w:p>
        </w:tc>
        <w:tc>
          <w:tcPr>
            <w:tcW w:w="567" w:type="dxa"/>
            <w:tcBorders>
              <w:top w:val="single" w:sz="4" w:space="0" w:color="auto"/>
              <w:left w:val="nil"/>
              <w:bottom w:val="single" w:sz="4" w:space="0" w:color="auto"/>
              <w:right w:val="single" w:sz="4" w:space="0" w:color="auto"/>
            </w:tcBorders>
            <w:noWrap/>
            <w:vAlign w:val="bottom"/>
          </w:tcPr>
          <w:p w:rsidR="00A64028" w:rsidRPr="00372BCB" w:rsidRDefault="00A64028" w:rsidP="00103148">
            <w:pPr>
              <w:spacing w:after="0"/>
              <w:jc w:val="center"/>
              <w:rPr>
                <w:rFonts w:ascii="Arial Narrow" w:eastAsia="Calibri" w:hAnsi="Arial Narrow"/>
                <w:sz w:val="18"/>
                <w:szCs w:val="18"/>
              </w:rPr>
            </w:pPr>
          </w:p>
        </w:tc>
        <w:tc>
          <w:tcPr>
            <w:tcW w:w="567" w:type="dxa"/>
            <w:tcBorders>
              <w:top w:val="single" w:sz="4" w:space="0" w:color="auto"/>
              <w:left w:val="nil"/>
              <w:bottom w:val="single" w:sz="4" w:space="0" w:color="auto"/>
              <w:right w:val="single" w:sz="4" w:space="0" w:color="auto"/>
            </w:tcBorders>
            <w:noWrap/>
            <w:vAlign w:val="bottom"/>
          </w:tcPr>
          <w:p w:rsidR="00A64028" w:rsidRPr="00372BCB" w:rsidRDefault="00A64028" w:rsidP="00103148">
            <w:pPr>
              <w:spacing w:after="0"/>
              <w:jc w:val="center"/>
              <w:rPr>
                <w:rFonts w:ascii="Arial Narrow" w:eastAsia="Calibri" w:hAnsi="Arial Narrow"/>
                <w:sz w:val="18"/>
                <w:szCs w:val="18"/>
              </w:rPr>
            </w:pPr>
          </w:p>
        </w:tc>
        <w:tc>
          <w:tcPr>
            <w:tcW w:w="567" w:type="dxa"/>
            <w:tcBorders>
              <w:top w:val="single" w:sz="4" w:space="0" w:color="auto"/>
              <w:left w:val="nil"/>
              <w:bottom w:val="single" w:sz="4" w:space="0" w:color="auto"/>
              <w:right w:val="single" w:sz="4" w:space="0" w:color="auto"/>
            </w:tcBorders>
            <w:noWrap/>
            <w:vAlign w:val="bottom"/>
          </w:tcPr>
          <w:p w:rsidR="00A64028" w:rsidRPr="00372BCB" w:rsidRDefault="00A64028" w:rsidP="00103148">
            <w:pPr>
              <w:spacing w:after="0"/>
              <w:jc w:val="center"/>
              <w:rPr>
                <w:rFonts w:ascii="Arial Narrow" w:eastAsia="Calibri" w:hAnsi="Arial Narrow"/>
                <w:sz w:val="18"/>
                <w:szCs w:val="18"/>
              </w:rPr>
            </w:pPr>
          </w:p>
        </w:tc>
        <w:tc>
          <w:tcPr>
            <w:tcW w:w="567" w:type="dxa"/>
            <w:tcBorders>
              <w:top w:val="single" w:sz="4" w:space="0" w:color="auto"/>
              <w:left w:val="nil"/>
              <w:bottom w:val="single" w:sz="4" w:space="0" w:color="auto"/>
              <w:right w:val="single" w:sz="4" w:space="0" w:color="auto"/>
            </w:tcBorders>
            <w:noWrap/>
            <w:vAlign w:val="bottom"/>
          </w:tcPr>
          <w:p w:rsidR="00A64028" w:rsidRPr="00372BCB" w:rsidRDefault="00A64028" w:rsidP="00103148">
            <w:pPr>
              <w:spacing w:after="0"/>
              <w:jc w:val="center"/>
              <w:rPr>
                <w:rFonts w:ascii="Arial Narrow" w:eastAsia="Calibri" w:hAnsi="Arial Narrow"/>
                <w:sz w:val="18"/>
                <w:szCs w:val="18"/>
              </w:rPr>
            </w:pPr>
          </w:p>
        </w:tc>
        <w:tc>
          <w:tcPr>
            <w:tcW w:w="505" w:type="dxa"/>
            <w:tcBorders>
              <w:top w:val="single" w:sz="4" w:space="0" w:color="auto"/>
              <w:left w:val="nil"/>
              <w:bottom w:val="single" w:sz="4" w:space="0" w:color="auto"/>
              <w:right w:val="single" w:sz="4" w:space="0" w:color="auto"/>
            </w:tcBorders>
            <w:noWrap/>
            <w:vAlign w:val="bottom"/>
          </w:tcPr>
          <w:p w:rsidR="00A64028" w:rsidRPr="00372BCB" w:rsidRDefault="00A64028" w:rsidP="00103148">
            <w:pPr>
              <w:spacing w:after="0"/>
              <w:jc w:val="center"/>
              <w:rPr>
                <w:rFonts w:ascii="Arial Narrow" w:eastAsia="Calibri" w:hAnsi="Arial Narrow"/>
                <w:sz w:val="18"/>
                <w:szCs w:val="18"/>
              </w:rPr>
            </w:pPr>
          </w:p>
        </w:tc>
        <w:tc>
          <w:tcPr>
            <w:tcW w:w="572" w:type="dxa"/>
            <w:tcBorders>
              <w:top w:val="single" w:sz="4" w:space="0" w:color="auto"/>
              <w:left w:val="nil"/>
              <w:bottom w:val="single" w:sz="4" w:space="0" w:color="auto"/>
              <w:right w:val="single" w:sz="4" w:space="0" w:color="auto"/>
            </w:tcBorders>
            <w:noWrap/>
            <w:vAlign w:val="bottom"/>
          </w:tcPr>
          <w:p w:rsidR="00A64028" w:rsidRPr="00372BCB" w:rsidRDefault="00A64028" w:rsidP="00103148">
            <w:pPr>
              <w:spacing w:after="0"/>
              <w:jc w:val="center"/>
              <w:rPr>
                <w:rFonts w:ascii="Arial Narrow" w:eastAsia="Calibri" w:hAnsi="Arial Narrow"/>
                <w:sz w:val="18"/>
                <w:szCs w:val="18"/>
              </w:rPr>
            </w:pPr>
          </w:p>
        </w:tc>
      </w:tr>
      <w:tr w:rsidR="00A64028" w:rsidRPr="00422331" w:rsidTr="00A64028">
        <w:trPr>
          <w:gridAfter w:val="1"/>
          <w:wAfter w:w="20" w:type="dxa"/>
        </w:trPr>
        <w:tc>
          <w:tcPr>
            <w:tcW w:w="289" w:type="dxa"/>
            <w:vMerge/>
            <w:tcBorders>
              <w:top w:val="single" w:sz="4" w:space="0" w:color="auto"/>
              <w:left w:val="single" w:sz="4" w:space="0" w:color="auto"/>
              <w:bottom w:val="single" w:sz="4" w:space="0" w:color="auto"/>
              <w:right w:val="single" w:sz="4" w:space="0" w:color="auto"/>
            </w:tcBorders>
            <w:vAlign w:val="center"/>
            <w:hideMark/>
          </w:tcPr>
          <w:p w:rsidR="00A64028" w:rsidRPr="00422331" w:rsidRDefault="00A64028" w:rsidP="00103148">
            <w:pPr>
              <w:spacing w:after="0"/>
              <w:rPr>
                <w:rFonts w:ascii="Arial Narrow" w:hAnsi="Arial Narrow" w:cs="Arial"/>
              </w:rPr>
            </w:pPr>
          </w:p>
        </w:tc>
        <w:tc>
          <w:tcPr>
            <w:tcW w:w="1990" w:type="dxa"/>
            <w:tcBorders>
              <w:top w:val="single" w:sz="4" w:space="0" w:color="auto"/>
              <w:left w:val="nil"/>
              <w:bottom w:val="single" w:sz="4" w:space="0" w:color="auto"/>
              <w:right w:val="single" w:sz="4" w:space="0" w:color="auto"/>
            </w:tcBorders>
            <w:vAlign w:val="center"/>
            <w:hideMark/>
          </w:tcPr>
          <w:p w:rsidR="00A64028" w:rsidRPr="00372BCB" w:rsidRDefault="00A64028" w:rsidP="00086001">
            <w:pPr>
              <w:spacing w:after="0"/>
              <w:ind w:left="147" w:right="142"/>
              <w:rPr>
                <w:rFonts w:ascii="Arial Narrow" w:eastAsia="Calibri" w:hAnsi="Arial Narrow"/>
                <w:sz w:val="18"/>
                <w:szCs w:val="18"/>
              </w:rPr>
            </w:pPr>
            <w:r w:rsidRPr="00372BCB">
              <w:rPr>
                <w:rFonts w:ascii="Arial Narrow" w:eastAsia="Calibri" w:hAnsi="Arial Narrow"/>
                <w:sz w:val="18"/>
                <w:szCs w:val="18"/>
              </w:rPr>
              <w:t>Избыточно много</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4,0%</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1,2%</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0,6%</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0,9%</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1,1%</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0,5%</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0,9%</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2,8%</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34,8%</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5,0%</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2,7%</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1,0%</w:t>
            </w:r>
          </w:p>
        </w:tc>
        <w:tc>
          <w:tcPr>
            <w:tcW w:w="505"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0,6%</w:t>
            </w:r>
          </w:p>
        </w:tc>
        <w:tc>
          <w:tcPr>
            <w:tcW w:w="572"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0,4%</w:t>
            </w:r>
          </w:p>
        </w:tc>
      </w:tr>
      <w:tr w:rsidR="00A64028" w:rsidRPr="00422331" w:rsidTr="00A64028">
        <w:trPr>
          <w:gridAfter w:val="1"/>
          <w:wAfter w:w="20" w:type="dxa"/>
        </w:trPr>
        <w:tc>
          <w:tcPr>
            <w:tcW w:w="289" w:type="dxa"/>
            <w:vMerge/>
            <w:tcBorders>
              <w:top w:val="single" w:sz="4" w:space="0" w:color="auto"/>
              <w:left w:val="single" w:sz="4" w:space="0" w:color="auto"/>
              <w:bottom w:val="single" w:sz="4" w:space="0" w:color="auto"/>
              <w:right w:val="single" w:sz="4" w:space="0" w:color="auto"/>
            </w:tcBorders>
            <w:vAlign w:val="center"/>
            <w:hideMark/>
          </w:tcPr>
          <w:p w:rsidR="00A64028" w:rsidRPr="00422331" w:rsidRDefault="00A64028" w:rsidP="00103148">
            <w:pPr>
              <w:spacing w:after="0"/>
              <w:rPr>
                <w:rFonts w:ascii="Arial Narrow" w:hAnsi="Arial Narrow" w:cs="Arial"/>
              </w:rPr>
            </w:pPr>
          </w:p>
        </w:tc>
        <w:tc>
          <w:tcPr>
            <w:tcW w:w="1990" w:type="dxa"/>
            <w:tcBorders>
              <w:top w:val="single" w:sz="4" w:space="0" w:color="auto"/>
              <w:left w:val="nil"/>
              <w:bottom w:val="single" w:sz="4" w:space="0" w:color="auto"/>
              <w:right w:val="single" w:sz="4" w:space="0" w:color="auto"/>
            </w:tcBorders>
            <w:vAlign w:val="center"/>
            <w:hideMark/>
          </w:tcPr>
          <w:p w:rsidR="00A64028" w:rsidRPr="00372BCB" w:rsidRDefault="00A64028" w:rsidP="00086001">
            <w:pPr>
              <w:spacing w:after="0"/>
              <w:ind w:left="147" w:right="142"/>
              <w:rPr>
                <w:rFonts w:ascii="Arial Narrow" w:eastAsia="Calibri" w:hAnsi="Arial Narrow"/>
                <w:sz w:val="18"/>
                <w:szCs w:val="18"/>
              </w:rPr>
            </w:pPr>
            <w:r w:rsidRPr="00372BCB">
              <w:rPr>
                <w:rFonts w:ascii="Arial Narrow" w:eastAsia="Calibri" w:hAnsi="Arial Narrow"/>
                <w:sz w:val="18"/>
                <w:szCs w:val="18"/>
              </w:rPr>
              <w:t>Достаточно</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48,3%</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48,4%</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28,8%</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42,2%</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41,6%</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20,6%</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65,4%</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61,3%</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57,1%</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78,4%</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84,6%</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53,1%</w:t>
            </w:r>
          </w:p>
        </w:tc>
        <w:tc>
          <w:tcPr>
            <w:tcW w:w="505"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22,1%</w:t>
            </w:r>
          </w:p>
        </w:tc>
        <w:tc>
          <w:tcPr>
            <w:tcW w:w="572"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24,3%</w:t>
            </w:r>
          </w:p>
        </w:tc>
      </w:tr>
      <w:tr w:rsidR="00A64028" w:rsidRPr="00422331" w:rsidTr="00A64028">
        <w:trPr>
          <w:gridAfter w:val="1"/>
          <w:wAfter w:w="20" w:type="dxa"/>
        </w:trPr>
        <w:tc>
          <w:tcPr>
            <w:tcW w:w="289" w:type="dxa"/>
            <w:vMerge/>
            <w:tcBorders>
              <w:top w:val="single" w:sz="4" w:space="0" w:color="auto"/>
              <w:left w:val="single" w:sz="4" w:space="0" w:color="auto"/>
              <w:bottom w:val="single" w:sz="4" w:space="0" w:color="auto"/>
              <w:right w:val="single" w:sz="4" w:space="0" w:color="auto"/>
            </w:tcBorders>
            <w:vAlign w:val="center"/>
            <w:hideMark/>
          </w:tcPr>
          <w:p w:rsidR="00A64028" w:rsidRPr="00422331" w:rsidRDefault="00A64028" w:rsidP="00103148">
            <w:pPr>
              <w:spacing w:after="0"/>
              <w:rPr>
                <w:rFonts w:ascii="Arial Narrow" w:hAnsi="Arial Narrow" w:cs="Arial"/>
              </w:rPr>
            </w:pPr>
          </w:p>
        </w:tc>
        <w:tc>
          <w:tcPr>
            <w:tcW w:w="1990" w:type="dxa"/>
            <w:tcBorders>
              <w:top w:val="single" w:sz="4" w:space="0" w:color="auto"/>
              <w:left w:val="nil"/>
              <w:bottom w:val="single" w:sz="4" w:space="0" w:color="auto"/>
              <w:right w:val="single" w:sz="4" w:space="0" w:color="auto"/>
            </w:tcBorders>
            <w:vAlign w:val="center"/>
            <w:hideMark/>
          </w:tcPr>
          <w:p w:rsidR="00A64028" w:rsidRPr="00372BCB" w:rsidRDefault="00A64028" w:rsidP="00086001">
            <w:pPr>
              <w:spacing w:after="0"/>
              <w:ind w:left="147" w:right="142"/>
              <w:rPr>
                <w:rFonts w:ascii="Arial Narrow" w:eastAsia="Calibri" w:hAnsi="Arial Narrow"/>
                <w:sz w:val="18"/>
                <w:szCs w:val="18"/>
              </w:rPr>
            </w:pPr>
            <w:r w:rsidRPr="00372BCB">
              <w:rPr>
                <w:rFonts w:ascii="Arial Narrow" w:eastAsia="Calibri" w:hAnsi="Arial Narrow"/>
                <w:sz w:val="18"/>
                <w:szCs w:val="18"/>
              </w:rPr>
              <w:t>Мало</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21,6%</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18,5%</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25,6%</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23,7%</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49,0%</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18,8%</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25,9%</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21,4%</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6,6%</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13,9%</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10,4%</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22,1%</w:t>
            </w:r>
          </w:p>
        </w:tc>
        <w:tc>
          <w:tcPr>
            <w:tcW w:w="505"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27,0%</w:t>
            </w:r>
          </w:p>
        </w:tc>
        <w:tc>
          <w:tcPr>
            <w:tcW w:w="572"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18,1%</w:t>
            </w:r>
          </w:p>
        </w:tc>
      </w:tr>
      <w:tr w:rsidR="00A64028" w:rsidRPr="00422331" w:rsidTr="00A64028">
        <w:trPr>
          <w:gridAfter w:val="1"/>
          <w:wAfter w:w="20" w:type="dxa"/>
        </w:trPr>
        <w:tc>
          <w:tcPr>
            <w:tcW w:w="289" w:type="dxa"/>
            <w:vMerge/>
            <w:tcBorders>
              <w:top w:val="single" w:sz="4" w:space="0" w:color="auto"/>
              <w:left w:val="single" w:sz="4" w:space="0" w:color="auto"/>
              <w:bottom w:val="single" w:sz="4" w:space="0" w:color="auto"/>
              <w:right w:val="single" w:sz="4" w:space="0" w:color="auto"/>
            </w:tcBorders>
            <w:vAlign w:val="center"/>
            <w:hideMark/>
          </w:tcPr>
          <w:p w:rsidR="00A64028" w:rsidRPr="00422331" w:rsidRDefault="00A64028" w:rsidP="00103148">
            <w:pPr>
              <w:spacing w:after="0"/>
              <w:rPr>
                <w:rFonts w:ascii="Arial Narrow" w:hAnsi="Arial Narrow" w:cs="Arial"/>
              </w:rPr>
            </w:pPr>
          </w:p>
        </w:tc>
        <w:tc>
          <w:tcPr>
            <w:tcW w:w="1990" w:type="dxa"/>
            <w:tcBorders>
              <w:top w:val="single" w:sz="4" w:space="0" w:color="auto"/>
              <w:left w:val="nil"/>
              <w:bottom w:val="single" w:sz="4" w:space="0" w:color="auto"/>
              <w:right w:val="single" w:sz="4" w:space="0" w:color="auto"/>
            </w:tcBorders>
            <w:vAlign w:val="center"/>
            <w:hideMark/>
          </w:tcPr>
          <w:p w:rsidR="00A64028" w:rsidRPr="00372BCB" w:rsidRDefault="00A64028" w:rsidP="00086001">
            <w:pPr>
              <w:spacing w:after="0"/>
              <w:ind w:left="147" w:right="142"/>
              <w:rPr>
                <w:rFonts w:ascii="Arial Narrow" w:eastAsia="Calibri" w:hAnsi="Arial Narrow"/>
                <w:sz w:val="18"/>
                <w:szCs w:val="18"/>
              </w:rPr>
            </w:pPr>
            <w:r w:rsidRPr="00372BCB">
              <w:rPr>
                <w:rFonts w:ascii="Arial Narrow" w:eastAsia="Calibri" w:hAnsi="Arial Narrow"/>
                <w:sz w:val="18"/>
                <w:szCs w:val="18"/>
              </w:rPr>
              <w:t>Нет совсем</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15,0%</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14,9%</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25,0%</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13,6%</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5,2%</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28,2%</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4,2%</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7,0%</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0,8%</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1,1%</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1,3%</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10,3%</w:t>
            </w:r>
          </w:p>
        </w:tc>
        <w:tc>
          <w:tcPr>
            <w:tcW w:w="505"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36,0%</w:t>
            </w:r>
          </w:p>
        </w:tc>
        <w:tc>
          <w:tcPr>
            <w:tcW w:w="572"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47,1%</w:t>
            </w:r>
          </w:p>
        </w:tc>
      </w:tr>
      <w:tr w:rsidR="00A64028" w:rsidRPr="00422331" w:rsidTr="00A64028">
        <w:trPr>
          <w:gridAfter w:val="1"/>
          <w:wAfter w:w="20" w:type="dxa"/>
        </w:trPr>
        <w:tc>
          <w:tcPr>
            <w:tcW w:w="289" w:type="dxa"/>
            <w:vMerge/>
            <w:tcBorders>
              <w:top w:val="single" w:sz="4" w:space="0" w:color="auto"/>
              <w:left w:val="single" w:sz="4" w:space="0" w:color="auto"/>
              <w:bottom w:val="single" w:sz="4" w:space="0" w:color="auto"/>
              <w:right w:val="single" w:sz="4" w:space="0" w:color="auto"/>
            </w:tcBorders>
            <w:vAlign w:val="center"/>
            <w:hideMark/>
          </w:tcPr>
          <w:p w:rsidR="00A64028" w:rsidRPr="00422331" w:rsidRDefault="00A64028" w:rsidP="00103148">
            <w:pPr>
              <w:spacing w:after="0"/>
              <w:rPr>
                <w:rFonts w:ascii="Arial Narrow" w:hAnsi="Arial Narrow" w:cs="Arial"/>
              </w:rPr>
            </w:pPr>
          </w:p>
        </w:tc>
        <w:tc>
          <w:tcPr>
            <w:tcW w:w="1990" w:type="dxa"/>
            <w:tcBorders>
              <w:top w:val="single" w:sz="4" w:space="0" w:color="auto"/>
              <w:left w:val="nil"/>
              <w:bottom w:val="single" w:sz="4" w:space="0" w:color="auto"/>
              <w:right w:val="single" w:sz="4" w:space="0" w:color="auto"/>
            </w:tcBorders>
            <w:vAlign w:val="center"/>
            <w:hideMark/>
          </w:tcPr>
          <w:p w:rsidR="00A64028" w:rsidRPr="00372BCB" w:rsidRDefault="00A64028" w:rsidP="00086001">
            <w:pPr>
              <w:spacing w:after="0"/>
              <w:ind w:left="147" w:right="142"/>
              <w:jc w:val="both"/>
              <w:rPr>
                <w:rFonts w:ascii="Arial Narrow" w:eastAsia="Calibri" w:hAnsi="Arial Narrow"/>
                <w:sz w:val="18"/>
                <w:szCs w:val="18"/>
              </w:rPr>
            </w:pPr>
            <w:r w:rsidRPr="00372BCB">
              <w:rPr>
                <w:rFonts w:ascii="Arial Narrow" w:eastAsia="Calibri" w:hAnsi="Arial Narrow"/>
                <w:sz w:val="18"/>
                <w:szCs w:val="18"/>
              </w:rPr>
              <w:t>Затрудняюсь ответить</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11,1%</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17,0%</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20,0%</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19,6%</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3,1%</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31,9%</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3,6%</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7,5%</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0,7%</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1,6%</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1,0%</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13,5%</w:t>
            </w:r>
          </w:p>
        </w:tc>
        <w:tc>
          <w:tcPr>
            <w:tcW w:w="505"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14,3%</w:t>
            </w:r>
          </w:p>
        </w:tc>
        <w:tc>
          <w:tcPr>
            <w:tcW w:w="572"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10,1%</w:t>
            </w:r>
          </w:p>
        </w:tc>
      </w:tr>
      <w:tr w:rsidR="00A64028" w:rsidRPr="00422331" w:rsidTr="00A64028">
        <w:trPr>
          <w:gridAfter w:val="1"/>
          <w:wAfter w:w="20" w:type="dxa"/>
        </w:trPr>
        <w:tc>
          <w:tcPr>
            <w:tcW w:w="289" w:type="dxa"/>
            <w:vMerge/>
            <w:tcBorders>
              <w:top w:val="single" w:sz="4" w:space="0" w:color="auto"/>
              <w:left w:val="single" w:sz="4" w:space="0" w:color="auto"/>
              <w:bottom w:val="single" w:sz="4" w:space="0" w:color="auto"/>
              <w:right w:val="single" w:sz="4" w:space="0" w:color="auto"/>
            </w:tcBorders>
            <w:vAlign w:val="center"/>
            <w:hideMark/>
          </w:tcPr>
          <w:p w:rsidR="00A64028" w:rsidRPr="00422331" w:rsidRDefault="00A64028" w:rsidP="00103148">
            <w:pPr>
              <w:spacing w:after="0"/>
              <w:rPr>
                <w:rFonts w:ascii="Arial Narrow" w:hAnsi="Arial Narrow" w:cs="Arial"/>
              </w:rPr>
            </w:pPr>
          </w:p>
        </w:tc>
        <w:tc>
          <w:tcPr>
            <w:tcW w:w="1990" w:type="dxa"/>
            <w:tcBorders>
              <w:top w:val="single" w:sz="4" w:space="0" w:color="auto"/>
              <w:left w:val="nil"/>
              <w:bottom w:val="single" w:sz="4" w:space="0" w:color="auto"/>
              <w:right w:val="single" w:sz="4" w:space="0" w:color="auto"/>
            </w:tcBorders>
            <w:vAlign w:val="center"/>
            <w:hideMark/>
          </w:tcPr>
          <w:p w:rsidR="00A64028" w:rsidRPr="00372BCB" w:rsidRDefault="00A64028" w:rsidP="00086001">
            <w:pPr>
              <w:spacing w:after="0"/>
              <w:ind w:left="147" w:right="142"/>
              <w:jc w:val="both"/>
              <w:rPr>
                <w:rFonts w:ascii="Arial Narrow" w:eastAsia="Calibri" w:hAnsi="Arial Narrow"/>
                <w:b/>
                <w:sz w:val="18"/>
                <w:szCs w:val="18"/>
              </w:rPr>
            </w:pPr>
            <w:r w:rsidRPr="00372BCB">
              <w:rPr>
                <w:rFonts w:ascii="Arial Narrow" w:eastAsia="Calibri" w:hAnsi="Arial Narrow"/>
                <w:b/>
                <w:sz w:val="18"/>
                <w:szCs w:val="18"/>
              </w:rPr>
              <w:t>Количество участников рынка в течение последних 3 лет:</w:t>
            </w:r>
          </w:p>
        </w:tc>
        <w:tc>
          <w:tcPr>
            <w:tcW w:w="567" w:type="dxa"/>
            <w:tcBorders>
              <w:top w:val="single" w:sz="4" w:space="0" w:color="auto"/>
              <w:left w:val="nil"/>
              <w:bottom w:val="single" w:sz="4" w:space="0" w:color="auto"/>
              <w:right w:val="single" w:sz="4" w:space="0" w:color="auto"/>
            </w:tcBorders>
            <w:noWrap/>
            <w:vAlign w:val="bottom"/>
          </w:tcPr>
          <w:p w:rsidR="00A64028" w:rsidRPr="00372BCB" w:rsidRDefault="00A64028" w:rsidP="00103148">
            <w:pPr>
              <w:spacing w:after="0"/>
              <w:jc w:val="center"/>
              <w:rPr>
                <w:rFonts w:ascii="Arial Narrow" w:eastAsia="Calibri" w:hAnsi="Arial Narrow"/>
                <w:sz w:val="18"/>
                <w:szCs w:val="18"/>
              </w:rPr>
            </w:pPr>
          </w:p>
        </w:tc>
        <w:tc>
          <w:tcPr>
            <w:tcW w:w="567" w:type="dxa"/>
            <w:tcBorders>
              <w:top w:val="single" w:sz="4" w:space="0" w:color="auto"/>
              <w:left w:val="nil"/>
              <w:bottom w:val="single" w:sz="4" w:space="0" w:color="auto"/>
              <w:right w:val="single" w:sz="4" w:space="0" w:color="auto"/>
            </w:tcBorders>
            <w:noWrap/>
            <w:vAlign w:val="bottom"/>
          </w:tcPr>
          <w:p w:rsidR="00A64028" w:rsidRPr="00372BCB" w:rsidRDefault="00A64028" w:rsidP="00103148">
            <w:pPr>
              <w:spacing w:after="0"/>
              <w:jc w:val="center"/>
              <w:rPr>
                <w:rFonts w:ascii="Arial Narrow" w:eastAsia="Calibri" w:hAnsi="Arial Narrow"/>
                <w:sz w:val="18"/>
                <w:szCs w:val="18"/>
              </w:rPr>
            </w:pPr>
          </w:p>
        </w:tc>
        <w:tc>
          <w:tcPr>
            <w:tcW w:w="567" w:type="dxa"/>
            <w:tcBorders>
              <w:top w:val="single" w:sz="4" w:space="0" w:color="auto"/>
              <w:left w:val="nil"/>
              <w:bottom w:val="single" w:sz="4" w:space="0" w:color="auto"/>
              <w:right w:val="single" w:sz="4" w:space="0" w:color="auto"/>
            </w:tcBorders>
            <w:noWrap/>
            <w:vAlign w:val="bottom"/>
          </w:tcPr>
          <w:p w:rsidR="00A64028" w:rsidRPr="00372BCB" w:rsidRDefault="00A64028" w:rsidP="00103148">
            <w:pPr>
              <w:spacing w:after="0"/>
              <w:jc w:val="center"/>
              <w:rPr>
                <w:rFonts w:ascii="Arial Narrow" w:eastAsia="Calibri" w:hAnsi="Arial Narrow"/>
                <w:sz w:val="18"/>
                <w:szCs w:val="18"/>
              </w:rPr>
            </w:pPr>
          </w:p>
        </w:tc>
        <w:tc>
          <w:tcPr>
            <w:tcW w:w="567" w:type="dxa"/>
            <w:tcBorders>
              <w:top w:val="single" w:sz="4" w:space="0" w:color="auto"/>
              <w:left w:val="nil"/>
              <w:bottom w:val="single" w:sz="4" w:space="0" w:color="auto"/>
              <w:right w:val="single" w:sz="4" w:space="0" w:color="auto"/>
            </w:tcBorders>
            <w:noWrap/>
            <w:vAlign w:val="bottom"/>
          </w:tcPr>
          <w:p w:rsidR="00A64028" w:rsidRPr="00372BCB" w:rsidRDefault="00A64028" w:rsidP="00103148">
            <w:pPr>
              <w:spacing w:after="0"/>
              <w:jc w:val="center"/>
              <w:rPr>
                <w:rFonts w:ascii="Arial Narrow" w:eastAsia="Calibri" w:hAnsi="Arial Narrow"/>
                <w:sz w:val="18"/>
                <w:szCs w:val="18"/>
              </w:rPr>
            </w:pPr>
          </w:p>
        </w:tc>
        <w:tc>
          <w:tcPr>
            <w:tcW w:w="567" w:type="dxa"/>
            <w:tcBorders>
              <w:top w:val="single" w:sz="4" w:space="0" w:color="auto"/>
              <w:left w:val="nil"/>
              <w:bottom w:val="single" w:sz="4" w:space="0" w:color="auto"/>
              <w:right w:val="single" w:sz="4" w:space="0" w:color="auto"/>
            </w:tcBorders>
            <w:noWrap/>
            <w:vAlign w:val="bottom"/>
          </w:tcPr>
          <w:p w:rsidR="00A64028" w:rsidRPr="00372BCB" w:rsidRDefault="00A64028" w:rsidP="00103148">
            <w:pPr>
              <w:spacing w:after="0"/>
              <w:jc w:val="center"/>
              <w:rPr>
                <w:rFonts w:ascii="Arial Narrow" w:eastAsia="Calibri" w:hAnsi="Arial Narrow"/>
                <w:sz w:val="18"/>
                <w:szCs w:val="18"/>
              </w:rPr>
            </w:pPr>
          </w:p>
        </w:tc>
        <w:tc>
          <w:tcPr>
            <w:tcW w:w="567" w:type="dxa"/>
            <w:tcBorders>
              <w:top w:val="single" w:sz="4" w:space="0" w:color="auto"/>
              <w:left w:val="nil"/>
              <w:bottom w:val="single" w:sz="4" w:space="0" w:color="auto"/>
              <w:right w:val="single" w:sz="4" w:space="0" w:color="auto"/>
            </w:tcBorders>
            <w:noWrap/>
            <w:vAlign w:val="bottom"/>
          </w:tcPr>
          <w:p w:rsidR="00A64028" w:rsidRPr="00372BCB" w:rsidRDefault="00A64028" w:rsidP="00103148">
            <w:pPr>
              <w:spacing w:after="0"/>
              <w:jc w:val="center"/>
              <w:rPr>
                <w:rFonts w:ascii="Arial Narrow" w:eastAsia="Calibri" w:hAnsi="Arial Narrow"/>
                <w:sz w:val="18"/>
                <w:szCs w:val="18"/>
              </w:rPr>
            </w:pPr>
          </w:p>
        </w:tc>
        <w:tc>
          <w:tcPr>
            <w:tcW w:w="567" w:type="dxa"/>
            <w:tcBorders>
              <w:top w:val="single" w:sz="4" w:space="0" w:color="auto"/>
              <w:left w:val="nil"/>
              <w:bottom w:val="single" w:sz="4" w:space="0" w:color="auto"/>
              <w:right w:val="single" w:sz="4" w:space="0" w:color="auto"/>
            </w:tcBorders>
            <w:noWrap/>
            <w:vAlign w:val="bottom"/>
          </w:tcPr>
          <w:p w:rsidR="00A64028" w:rsidRPr="00372BCB" w:rsidRDefault="00A64028" w:rsidP="00103148">
            <w:pPr>
              <w:spacing w:after="0"/>
              <w:jc w:val="center"/>
              <w:rPr>
                <w:rFonts w:ascii="Arial Narrow" w:eastAsia="Calibri" w:hAnsi="Arial Narrow"/>
                <w:sz w:val="18"/>
                <w:szCs w:val="18"/>
              </w:rPr>
            </w:pPr>
          </w:p>
        </w:tc>
        <w:tc>
          <w:tcPr>
            <w:tcW w:w="567" w:type="dxa"/>
            <w:tcBorders>
              <w:top w:val="single" w:sz="4" w:space="0" w:color="auto"/>
              <w:left w:val="nil"/>
              <w:bottom w:val="single" w:sz="4" w:space="0" w:color="auto"/>
              <w:right w:val="single" w:sz="4" w:space="0" w:color="auto"/>
            </w:tcBorders>
            <w:noWrap/>
            <w:vAlign w:val="bottom"/>
          </w:tcPr>
          <w:p w:rsidR="00A64028" w:rsidRPr="00372BCB" w:rsidRDefault="00A64028" w:rsidP="00103148">
            <w:pPr>
              <w:spacing w:after="0"/>
              <w:jc w:val="center"/>
              <w:rPr>
                <w:rFonts w:ascii="Arial Narrow" w:eastAsia="Calibri" w:hAnsi="Arial Narrow"/>
                <w:sz w:val="18"/>
                <w:szCs w:val="18"/>
              </w:rPr>
            </w:pPr>
          </w:p>
        </w:tc>
        <w:tc>
          <w:tcPr>
            <w:tcW w:w="567" w:type="dxa"/>
            <w:tcBorders>
              <w:top w:val="single" w:sz="4" w:space="0" w:color="auto"/>
              <w:left w:val="nil"/>
              <w:bottom w:val="single" w:sz="4" w:space="0" w:color="auto"/>
              <w:right w:val="single" w:sz="4" w:space="0" w:color="auto"/>
            </w:tcBorders>
            <w:noWrap/>
            <w:vAlign w:val="bottom"/>
          </w:tcPr>
          <w:p w:rsidR="00A64028" w:rsidRPr="00372BCB" w:rsidRDefault="00A64028" w:rsidP="00103148">
            <w:pPr>
              <w:spacing w:after="0"/>
              <w:jc w:val="center"/>
              <w:rPr>
                <w:rFonts w:ascii="Arial Narrow" w:eastAsia="Calibri" w:hAnsi="Arial Narrow"/>
                <w:sz w:val="18"/>
                <w:szCs w:val="18"/>
              </w:rPr>
            </w:pPr>
          </w:p>
        </w:tc>
        <w:tc>
          <w:tcPr>
            <w:tcW w:w="567" w:type="dxa"/>
            <w:tcBorders>
              <w:top w:val="single" w:sz="4" w:space="0" w:color="auto"/>
              <w:left w:val="nil"/>
              <w:bottom w:val="single" w:sz="4" w:space="0" w:color="auto"/>
              <w:right w:val="single" w:sz="4" w:space="0" w:color="auto"/>
            </w:tcBorders>
            <w:noWrap/>
            <w:vAlign w:val="bottom"/>
          </w:tcPr>
          <w:p w:rsidR="00A64028" w:rsidRPr="00372BCB" w:rsidRDefault="00A64028" w:rsidP="00103148">
            <w:pPr>
              <w:spacing w:after="0"/>
              <w:jc w:val="center"/>
              <w:rPr>
                <w:rFonts w:ascii="Arial Narrow" w:eastAsia="Calibri" w:hAnsi="Arial Narrow"/>
                <w:sz w:val="18"/>
                <w:szCs w:val="18"/>
              </w:rPr>
            </w:pPr>
          </w:p>
        </w:tc>
        <w:tc>
          <w:tcPr>
            <w:tcW w:w="567" w:type="dxa"/>
            <w:tcBorders>
              <w:top w:val="single" w:sz="4" w:space="0" w:color="auto"/>
              <w:left w:val="nil"/>
              <w:bottom w:val="single" w:sz="4" w:space="0" w:color="auto"/>
              <w:right w:val="single" w:sz="4" w:space="0" w:color="auto"/>
            </w:tcBorders>
            <w:noWrap/>
            <w:vAlign w:val="bottom"/>
          </w:tcPr>
          <w:p w:rsidR="00A64028" w:rsidRPr="00372BCB" w:rsidRDefault="00A64028" w:rsidP="00103148">
            <w:pPr>
              <w:spacing w:after="0"/>
              <w:jc w:val="center"/>
              <w:rPr>
                <w:rFonts w:ascii="Arial Narrow" w:eastAsia="Calibri" w:hAnsi="Arial Narrow"/>
                <w:sz w:val="18"/>
                <w:szCs w:val="18"/>
              </w:rPr>
            </w:pPr>
          </w:p>
        </w:tc>
        <w:tc>
          <w:tcPr>
            <w:tcW w:w="567" w:type="dxa"/>
            <w:tcBorders>
              <w:top w:val="single" w:sz="4" w:space="0" w:color="auto"/>
              <w:left w:val="nil"/>
              <w:bottom w:val="single" w:sz="4" w:space="0" w:color="auto"/>
              <w:right w:val="single" w:sz="4" w:space="0" w:color="auto"/>
            </w:tcBorders>
            <w:noWrap/>
            <w:vAlign w:val="bottom"/>
          </w:tcPr>
          <w:p w:rsidR="00A64028" w:rsidRPr="00372BCB" w:rsidRDefault="00A64028" w:rsidP="00103148">
            <w:pPr>
              <w:spacing w:after="0"/>
              <w:jc w:val="center"/>
              <w:rPr>
                <w:rFonts w:ascii="Arial Narrow" w:eastAsia="Calibri" w:hAnsi="Arial Narrow"/>
                <w:sz w:val="18"/>
                <w:szCs w:val="18"/>
              </w:rPr>
            </w:pPr>
          </w:p>
        </w:tc>
        <w:tc>
          <w:tcPr>
            <w:tcW w:w="505" w:type="dxa"/>
            <w:tcBorders>
              <w:top w:val="single" w:sz="4" w:space="0" w:color="auto"/>
              <w:left w:val="nil"/>
              <w:bottom w:val="single" w:sz="4" w:space="0" w:color="auto"/>
              <w:right w:val="single" w:sz="4" w:space="0" w:color="auto"/>
            </w:tcBorders>
            <w:noWrap/>
            <w:vAlign w:val="bottom"/>
          </w:tcPr>
          <w:p w:rsidR="00A64028" w:rsidRPr="00372BCB" w:rsidRDefault="00A64028" w:rsidP="00103148">
            <w:pPr>
              <w:spacing w:after="0"/>
              <w:jc w:val="center"/>
              <w:rPr>
                <w:rFonts w:ascii="Arial Narrow" w:eastAsia="Calibri" w:hAnsi="Arial Narrow"/>
                <w:sz w:val="18"/>
                <w:szCs w:val="18"/>
              </w:rPr>
            </w:pPr>
          </w:p>
        </w:tc>
        <w:tc>
          <w:tcPr>
            <w:tcW w:w="572" w:type="dxa"/>
            <w:tcBorders>
              <w:top w:val="single" w:sz="4" w:space="0" w:color="auto"/>
              <w:left w:val="nil"/>
              <w:bottom w:val="single" w:sz="4" w:space="0" w:color="auto"/>
              <w:right w:val="single" w:sz="4" w:space="0" w:color="auto"/>
            </w:tcBorders>
            <w:noWrap/>
            <w:vAlign w:val="bottom"/>
          </w:tcPr>
          <w:p w:rsidR="00A64028" w:rsidRPr="00372BCB" w:rsidRDefault="00A64028" w:rsidP="00103148">
            <w:pPr>
              <w:spacing w:after="0"/>
              <w:jc w:val="center"/>
              <w:rPr>
                <w:rFonts w:ascii="Arial Narrow" w:eastAsia="Calibri" w:hAnsi="Arial Narrow"/>
                <w:sz w:val="18"/>
                <w:szCs w:val="18"/>
              </w:rPr>
            </w:pPr>
          </w:p>
        </w:tc>
      </w:tr>
      <w:tr w:rsidR="00A64028" w:rsidRPr="00422331" w:rsidTr="00A64028">
        <w:trPr>
          <w:gridAfter w:val="1"/>
          <w:wAfter w:w="20" w:type="dxa"/>
        </w:trPr>
        <w:tc>
          <w:tcPr>
            <w:tcW w:w="289" w:type="dxa"/>
            <w:vMerge/>
            <w:tcBorders>
              <w:top w:val="single" w:sz="4" w:space="0" w:color="auto"/>
              <w:left w:val="single" w:sz="4" w:space="0" w:color="auto"/>
              <w:bottom w:val="single" w:sz="4" w:space="0" w:color="auto"/>
              <w:right w:val="single" w:sz="4" w:space="0" w:color="auto"/>
            </w:tcBorders>
            <w:vAlign w:val="center"/>
            <w:hideMark/>
          </w:tcPr>
          <w:p w:rsidR="00A64028" w:rsidRPr="00422331" w:rsidRDefault="00A64028" w:rsidP="00103148">
            <w:pPr>
              <w:spacing w:after="0"/>
              <w:rPr>
                <w:rFonts w:ascii="Arial Narrow" w:hAnsi="Arial Narrow" w:cs="Arial"/>
              </w:rPr>
            </w:pPr>
          </w:p>
        </w:tc>
        <w:tc>
          <w:tcPr>
            <w:tcW w:w="1990" w:type="dxa"/>
            <w:tcBorders>
              <w:top w:val="single" w:sz="4" w:space="0" w:color="auto"/>
              <w:left w:val="nil"/>
              <w:bottom w:val="single" w:sz="4" w:space="0" w:color="auto"/>
              <w:right w:val="single" w:sz="4" w:space="0" w:color="auto"/>
            </w:tcBorders>
            <w:vAlign w:val="center"/>
            <w:hideMark/>
          </w:tcPr>
          <w:p w:rsidR="00A64028" w:rsidRPr="00372BCB" w:rsidRDefault="00A64028" w:rsidP="00086001">
            <w:pPr>
              <w:spacing w:after="0"/>
              <w:ind w:left="147" w:right="142"/>
              <w:jc w:val="both"/>
              <w:rPr>
                <w:rFonts w:ascii="Arial Narrow" w:eastAsia="Calibri" w:hAnsi="Arial Narrow"/>
                <w:sz w:val="18"/>
                <w:szCs w:val="18"/>
              </w:rPr>
            </w:pPr>
            <w:r w:rsidRPr="00372BCB">
              <w:rPr>
                <w:rFonts w:ascii="Arial Narrow" w:eastAsia="Calibri" w:hAnsi="Arial Narrow"/>
                <w:sz w:val="18"/>
                <w:szCs w:val="18"/>
              </w:rPr>
              <w:t>Снизилось</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9,6%</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9,2%</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8,9%</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8,3%</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21,0%</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7,5%</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7,9%</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8,9%</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7,3%</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7,6%</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6,6%</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7,4%</w:t>
            </w:r>
          </w:p>
        </w:tc>
        <w:tc>
          <w:tcPr>
            <w:tcW w:w="505"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14,3%</w:t>
            </w:r>
          </w:p>
        </w:tc>
        <w:tc>
          <w:tcPr>
            <w:tcW w:w="572"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8,8%</w:t>
            </w:r>
          </w:p>
        </w:tc>
      </w:tr>
      <w:tr w:rsidR="00A64028" w:rsidRPr="00422331" w:rsidTr="00A64028">
        <w:trPr>
          <w:gridAfter w:val="1"/>
          <w:wAfter w:w="20" w:type="dxa"/>
        </w:trPr>
        <w:tc>
          <w:tcPr>
            <w:tcW w:w="289" w:type="dxa"/>
            <w:vMerge/>
            <w:tcBorders>
              <w:top w:val="single" w:sz="4" w:space="0" w:color="auto"/>
              <w:left w:val="single" w:sz="4" w:space="0" w:color="auto"/>
              <w:bottom w:val="single" w:sz="4" w:space="0" w:color="auto"/>
              <w:right w:val="single" w:sz="4" w:space="0" w:color="auto"/>
            </w:tcBorders>
            <w:vAlign w:val="center"/>
            <w:hideMark/>
          </w:tcPr>
          <w:p w:rsidR="00A64028" w:rsidRPr="00422331" w:rsidRDefault="00A64028" w:rsidP="00103148">
            <w:pPr>
              <w:spacing w:after="0"/>
              <w:rPr>
                <w:rFonts w:ascii="Arial Narrow" w:hAnsi="Arial Narrow" w:cs="Arial"/>
              </w:rPr>
            </w:pPr>
          </w:p>
        </w:tc>
        <w:tc>
          <w:tcPr>
            <w:tcW w:w="1990" w:type="dxa"/>
            <w:tcBorders>
              <w:top w:val="single" w:sz="4" w:space="0" w:color="auto"/>
              <w:left w:val="nil"/>
              <w:bottom w:val="single" w:sz="4" w:space="0" w:color="auto"/>
              <w:right w:val="single" w:sz="4" w:space="0" w:color="auto"/>
            </w:tcBorders>
            <w:vAlign w:val="center"/>
            <w:hideMark/>
          </w:tcPr>
          <w:p w:rsidR="00A64028" w:rsidRPr="00372BCB" w:rsidRDefault="00A64028" w:rsidP="00086001">
            <w:pPr>
              <w:spacing w:after="0"/>
              <w:ind w:left="147" w:right="142"/>
              <w:jc w:val="both"/>
              <w:rPr>
                <w:rFonts w:ascii="Arial Narrow" w:eastAsia="Calibri" w:hAnsi="Arial Narrow"/>
                <w:sz w:val="18"/>
                <w:szCs w:val="18"/>
              </w:rPr>
            </w:pPr>
            <w:r w:rsidRPr="00372BCB">
              <w:rPr>
                <w:rFonts w:ascii="Arial Narrow" w:eastAsia="Calibri" w:hAnsi="Arial Narrow"/>
                <w:sz w:val="18"/>
                <w:szCs w:val="18"/>
              </w:rPr>
              <w:t>Увеличилось</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18,5%</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20,7%</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14,4%</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16,2%</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14,2%</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10,1%</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16,1%</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14,9%</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50,5%</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29,9%</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25,0%</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10,8%</w:t>
            </w:r>
          </w:p>
        </w:tc>
        <w:tc>
          <w:tcPr>
            <w:tcW w:w="505"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8,8%</w:t>
            </w:r>
          </w:p>
        </w:tc>
        <w:tc>
          <w:tcPr>
            <w:tcW w:w="572"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9,0%</w:t>
            </w:r>
          </w:p>
        </w:tc>
      </w:tr>
      <w:tr w:rsidR="00A64028" w:rsidRPr="00422331" w:rsidTr="00A64028">
        <w:trPr>
          <w:gridAfter w:val="1"/>
          <w:wAfter w:w="20" w:type="dxa"/>
        </w:trPr>
        <w:tc>
          <w:tcPr>
            <w:tcW w:w="289" w:type="dxa"/>
            <w:vMerge/>
            <w:tcBorders>
              <w:top w:val="single" w:sz="4" w:space="0" w:color="auto"/>
              <w:left w:val="single" w:sz="4" w:space="0" w:color="auto"/>
              <w:bottom w:val="single" w:sz="4" w:space="0" w:color="auto"/>
              <w:right w:val="single" w:sz="4" w:space="0" w:color="auto"/>
            </w:tcBorders>
            <w:vAlign w:val="center"/>
            <w:hideMark/>
          </w:tcPr>
          <w:p w:rsidR="00A64028" w:rsidRPr="00422331" w:rsidRDefault="00A64028" w:rsidP="00103148">
            <w:pPr>
              <w:spacing w:after="0"/>
              <w:rPr>
                <w:rFonts w:ascii="Arial Narrow" w:hAnsi="Arial Narrow" w:cs="Arial"/>
              </w:rPr>
            </w:pPr>
          </w:p>
        </w:tc>
        <w:tc>
          <w:tcPr>
            <w:tcW w:w="1990" w:type="dxa"/>
            <w:tcBorders>
              <w:top w:val="single" w:sz="4" w:space="0" w:color="auto"/>
              <w:left w:val="nil"/>
              <w:bottom w:val="single" w:sz="4" w:space="0" w:color="auto"/>
              <w:right w:val="single" w:sz="4" w:space="0" w:color="auto"/>
            </w:tcBorders>
            <w:vAlign w:val="center"/>
            <w:hideMark/>
          </w:tcPr>
          <w:p w:rsidR="00A64028" w:rsidRPr="00372BCB" w:rsidRDefault="00A64028" w:rsidP="00086001">
            <w:pPr>
              <w:spacing w:after="0"/>
              <w:ind w:left="147" w:right="142"/>
              <w:jc w:val="both"/>
              <w:rPr>
                <w:rFonts w:ascii="Arial Narrow" w:eastAsia="Calibri" w:hAnsi="Arial Narrow"/>
                <w:sz w:val="18"/>
                <w:szCs w:val="18"/>
              </w:rPr>
            </w:pPr>
            <w:r w:rsidRPr="00372BCB">
              <w:rPr>
                <w:rFonts w:ascii="Arial Narrow" w:eastAsia="Calibri" w:hAnsi="Arial Narrow"/>
                <w:sz w:val="18"/>
                <w:szCs w:val="18"/>
              </w:rPr>
              <w:t>Не изменилось</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58,3%</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50,4%</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55,8%</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55,4%</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58,8%</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50,6%</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70,0%</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67,3%</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39,1%</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57,7%</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63,7%</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66,9%</w:t>
            </w:r>
          </w:p>
        </w:tc>
        <w:tc>
          <w:tcPr>
            <w:tcW w:w="505"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58,6%</w:t>
            </w:r>
          </w:p>
        </w:tc>
        <w:tc>
          <w:tcPr>
            <w:tcW w:w="572"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63,0%</w:t>
            </w:r>
          </w:p>
        </w:tc>
      </w:tr>
      <w:tr w:rsidR="00A64028" w:rsidRPr="00422331" w:rsidTr="00A64028">
        <w:trPr>
          <w:gridAfter w:val="1"/>
          <w:wAfter w:w="20" w:type="dxa"/>
        </w:trPr>
        <w:tc>
          <w:tcPr>
            <w:tcW w:w="289" w:type="dxa"/>
            <w:vMerge/>
            <w:tcBorders>
              <w:top w:val="single" w:sz="4" w:space="0" w:color="auto"/>
              <w:left w:val="single" w:sz="4" w:space="0" w:color="auto"/>
              <w:bottom w:val="single" w:sz="4" w:space="0" w:color="auto"/>
              <w:right w:val="single" w:sz="4" w:space="0" w:color="auto"/>
            </w:tcBorders>
            <w:vAlign w:val="center"/>
            <w:hideMark/>
          </w:tcPr>
          <w:p w:rsidR="00A64028" w:rsidRPr="00422331" w:rsidRDefault="00A64028" w:rsidP="00103148">
            <w:pPr>
              <w:spacing w:after="0"/>
              <w:rPr>
                <w:rFonts w:ascii="Arial Narrow" w:hAnsi="Arial Narrow" w:cs="Arial"/>
              </w:rPr>
            </w:pPr>
          </w:p>
        </w:tc>
        <w:tc>
          <w:tcPr>
            <w:tcW w:w="1990" w:type="dxa"/>
            <w:tcBorders>
              <w:top w:val="single" w:sz="4" w:space="0" w:color="auto"/>
              <w:left w:val="nil"/>
              <w:bottom w:val="single" w:sz="4" w:space="0" w:color="auto"/>
              <w:right w:val="single" w:sz="4" w:space="0" w:color="auto"/>
            </w:tcBorders>
            <w:vAlign w:val="center"/>
            <w:hideMark/>
          </w:tcPr>
          <w:p w:rsidR="00A64028" w:rsidRPr="00372BCB" w:rsidRDefault="00A64028" w:rsidP="00086001">
            <w:pPr>
              <w:spacing w:after="0"/>
              <w:ind w:left="147" w:right="142"/>
              <w:jc w:val="both"/>
              <w:rPr>
                <w:rFonts w:ascii="Arial Narrow" w:eastAsia="Calibri" w:hAnsi="Arial Narrow"/>
                <w:sz w:val="18"/>
                <w:szCs w:val="18"/>
              </w:rPr>
            </w:pPr>
            <w:r w:rsidRPr="00372BCB">
              <w:rPr>
                <w:rFonts w:ascii="Arial Narrow" w:eastAsia="Calibri" w:hAnsi="Arial Narrow"/>
                <w:sz w:val="18"/>
                <w:szCs w:val="18"/>
              </w:rPr>
              <w:t>Затрудняюсь ответить</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13,7%</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19,6%</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20,9%</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20,1%</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5,9%</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31,7%</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6,0%</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8,8%</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3,1%</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4,8%</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4,7%</w:t>
            </w:r>
          </w:p>
        </w:tc>
        <w:tc>
          <w:tcPr>
            <w:tcW w:w="567"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14,9%</w:t>
            </w:r>
          </w:p>
        </w:tc>
        <w:tc>
          <w:tcPr>
            <w:tcW w:w="505"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18,3%</w:t>
            </w:r>
          </w:p>
        </w:tc>
        <w:tc>
          <w:tcPr>
            <w:tcW w:w="572" w:type="dxa"/>
            <w:tcBorders>
              <w:top w:val="single" w:sz="4" w:space="0" w:color="auto"/>
              <w:left w:val="nil"/>
              <w:bottom w:val="single" w:sz="4" w:space="0" w:color="auto"/>
              <w:right w:val="single" w:sz="4" w:space="0" w:color="auto"/>
            </w:tcBorders>
            <w:noWrap/>
            <w:vAlign w:val="bottom"/>
            <w:hideMark/>
          </w:tcPr>
          <w:p w:rsidR="00A64028" w:rsidRPr="00372BCB" w:rsidRDefault="00A64028" w:rsidP="00103148">
            <w:pPr>
              <w:spacing w:after="0"/>
              <w:jc w:val="center"/>
              <w:rPr>
                <w:rFonts w:ascii="Arial Narrow" w:eastAsia="Calibri" w:hAnsi="Arial Narrow"/>
                <w:sz w:val="18"/>
                <w:szCs w:val="18"/>
              </w:rPr>
            </w:pPr>
            <w:r w:rsidRPr="00372BCB">
              <w:rPr>
                <w:rFonts w:ascii="Arial Narrow" w:eastAsia="Calibri" w:hAnsi="Arial Narrow"/>
                <w:sz w:val="18"/>
                <w:szCs w:val="18"/>
              </w:rPr>
              <w:t>19,2%</w:t>
            </w:r>
          </w:p>
        </w:tc>
      </w:tr>
    </w:tbl>
    <w:p w:rsidR="00A64028" w:rsidRPr="000D5501" w:rsidRDefault="00A64028" w:rsidP="00103148">
      <w:pPr>
        <w:spacing w:after="0" w:line="360" w:lineRule="auto"/>
        <w:ind w:firstLine="284"/>
        <w:jc w:val="both"/>
        <w:rPr>
          <w:rFonts w:ascii="Arial Narrow" w:hAnsi="Arial Narrow" w:cs="Arial"/>
          <w:b/>
          <w:sz w:val="24"/>
          <w:szCs w:val="24"/>
        </w:rPr>
      </w:pPr>
    </w:p>
    <w:p w:rsidR="00363A76" w:rsidRDefault="00363A76" w:rsidP="00103148">
      <w:pPr>
        <w:spacing w:after="0" w:line="360" w:lineRule="auto"/>
        <w:ind w:firstLine="284"/>
        <w:jc w:val="both"/>
        <w:rPr>
          <w:rFonts w:ascii="Arial Narrow" w:hAnsi="Arial Narrow" w:cs="Arial"/>
          <w:b/>
          <w:sz w:val="24"/>
          <w:szCs w:val="24"/>
        </w:rPr>
      </w:pPr>
    </w:p>
    <w:p w:rsidR="00363A76" w:rsidRDefault="00363A76" w:rsidP="00103148">
      <w:pPr>
        <w:spacing w:after="0" w:line="360" w:lineRule="auto"/>
        <w:ind w:firstLine="284"/>
        <w:jc w:val="both"/>
        <w:rPr>
          <w:rFonts w:ascii="Arial Narrow" w:hAnsi="Arial Narrow" w:cs="Arial"/>
          <w:b/>
          <w:sz w:val="24"/>
          <w:szCs w:val="24"/>
        </w:rPr>
      </w:pPr>
    </w:p>
    <w:p w:rsidR="00A64028" w:rsidRPr="000D5501" w:rsidRDefault="00A64028" w:rsidP="00103148">
      <w:pPr>
        <w:spacing w:after="0" w:line="360" w:lineRule="auto"/>
        <w:ind w:firstLine="284"/>
        <w:jc w:val="both"/>
        <w:rPr>
          <w:rFonts w:ascii="Arial Narrow" w:hAnsi="Arial Narrow" w:cs="Arial"/>
          <w:b/>
          <w:sz w:val="24"/>
          <w:szCs w:val="24"/>
        </w:rPr>
      </w:pPr>
      <w:r w:rsidRPr="000D5501">
        <w:rPr>
          <w:rFonts w:ascii="Arial Narrow" w:hAnsi="Arial Narrow" w:cs="Arial"/>
          <w:b/>
          <w:sz w:val="24"/>
          <w:szCs w:val="24"/>
        </w:rPr>
        <w:lastRenderedPageBreak/>
        <w:t xml:space="preserve">Значения показателя 2.2. </w:t>
      </w:r>
      <w:r w:rsidRPr="000D5501">
        <w:rPr>
          <w:rFonts w:ascii="Arial Narrow" w:hAnsi="Arial Narrow" w:cs="Arial"/>
          <w:b/>
          <w:bCs/>
          <w:sz w:val="24"/>
          <w:szCs w:val="24"/>
        </w:rPr>
        <w:t>Доля потребителей, удовлетворенных качеством товаров, работ и услуг на социально значимых и приоритетных рынках (% от числа опрошенных потребителей)</w:t>
      </w:r>
      <w:r w:rsidRPr="000D5501">
        <w:rPr>
          <w:rFonts w:ascii="Arial Narrow" w:hAnsi="Arial Narrow" w:cs="Arial"/>
          <w:b/>
          <w:sz w:val="24"/>
          <w:szCs w:val="24"/>
        </w:rPr>
        <w:t>.</w:t>
      </w:r>
    </w:p>
    <w:p w:rsidR="00A64028" w:rsidRPr="000D5501" w:rsidRDefault="00A64028" w:rsidP="00103148">
      <w:pPr>
        <w:spacing w:after="0" w:line="360" w:lineRule="auto"/>
        <w:ind w:firstLine="284"/>
        <w:jc w:val="both"/>
        <w:rPr>
          <w:rFonts w:ascii="Arial Narrow" w:hAnsi="Arial Narrow" w:cs="Arial"/>
          <w:sz w:val="24"/>
          <w:szCs w:val="24"/>
        </w:rPr>
      </w:pPr>
      <w:r w:rsidRPr="000D5501">
        <w:rPr>
          <w:rFonts w:ascii="Arial Narrow" w:hAnsi="Arial Narrow" w:cs="Arial"/>
          <w:sz w:val="24"/>
          <w:szCs w:val="24"/>
        </w:rPr>
        <w:t xml:space="preserve">В среднем по всем социально значимым и приоритетным рынкам по Новосибирской области доля потребителей, удовлетворенных </w:t>
      </w:r>
      <w:r w:rsidRPr="000D5501">
        <w:rPr>
          <w:rFonts w:ascii="Arial Narrow" w:hAnsi="Arial Narrow" w:cs="Arial"/>
          <w:b/>
          <w:sz w:val="24"/>
          <w:szCs w:val="24"/>
        </w:rPr>
        <w:t>качеством товаров, работ и услуг</w:t>
      </w:r>
      <w:r w:rsidRPr="000D5501">
        <w:rPr>
          <w:rFonts w:ascii="Arial Narrow" w:hAnsi="Arial Narrow" w:cs="Arial"/>
          <w:sz w:val="24"/>
          <w:szCs w:val="24"/>
        </w:rPr>
        <w:t xml:space="preserve">, составляет 51,4 %. По отдельным рынкам показатель варьируется от 33,1 % до 73,6 %. </w:t>
      </w:r>
    </w:p>
    <w:p w:rsidR="00A64028" w:rsidRPr="000D5501" w:rsidRDefault="00A64028" w:rsidP="00103148">
      <w:pPr>
        <w:spacing w:after="0" w:line="360" w:lineRule="auto"/>
        <w:ind w:firstLine="284"/>
        <w:jc w:val="both"/>
        <w:rPr>
          <w:rFonts w:ascii="Arial Narrow" w:hAnsi="Arial Narrow" w:cs="Arial"/>
          <w:sz w:val="24"/>
          <w:szCs w:val="24"/>
        </w:rPr>
      </w:pPr>
      <w:r w:rsidRPr="000D5501">
        <w:rPr>
          <w:rFonts w:ascii="Arial Narrow" w:hAnsi="Arial Narrow" w:cs="Arial"/>
          <w:sz w:val="24"/>
          <w:szCs w:val="24"/>
        </w:rPr>
        <w:t>Наибольшая удовлетворенность качеством услуг зафиксирована в отношении 4 рынков: рынка услуг связи (73,6 %), рынка услуг перевозок пассажиров наземным транспортом (72,6 %), рынка услуг в сфере культуры (67,9 %), рынка розничной торговли (68,3 %).</w:t>
      </w:r>
    </w:p>
    <w:p w:rsidR="00A64028" w:rsidRPr="000D5501" w:rsidRDefault="00A64028" w:rsidP="00103148">
      <w:pPr>
        <w:spacing w:after="0" w:line="360" w:lineRule="auto"/>
        <w:ind w:firstLine="284"/>
        <w:jc w:val="both"/>
        <w:rPr>
          <w:rFonts w:ascii="Arial Narrow" w:hAnsi="Arial Narrow" w:cs="Arial"/>
          <w:sz w:val="24"/>
          <w:szCs w:val="24"/>
        </w:rPr>
      </w:pPr>
      <w:r w:rsidRPr="000D5501">
        <w:rPr>
          <w:rFonts w:ascii="Arial Narrow" w:hAnsi="Arial Narrow" w:cs="Arial"/>
          <w:sz w:val="24"/>
          <w:szCs w:val="24"/>
        </w:rPr>
        <w:t>Наименее удовлетворены качеством услуг потребители следующих 5 рынков: услуг психолого-педагогического сопровождения детей с ограниченными возможностями здоровья (33,1 %), развития, производства, переработки и хранения сельскохозяйственной продукции (37,7 %), услуг по сбору, сортировке и переработке твердых коммунальных (бытовых) отходов (37,5 %), медицинских услуг (37,6 %), услуг детского отдыха и оздоровления (41,6 %).</w:t>
      </w:r>
    </w:p>
    <w:p w:rsidR="00A64028" w:rsidRPr="000D5501" w:rsidRDefault="00A64028" w:rsidP="00103148">
      <w:pPr>
        <w:spacing w:after="0" w:line="360" w:lineRule="auto"/>
        <w:ind w:firstLine="284"/>
        <w:jc w:val="both"/>
        <w:rPr>
          <w:rFonts w:ascii="Arial Narrow" w:hAnsi="Arial Narrow" w:cs="Arial"/>
          <w:sz w:val="24"/>
          <w:szCs w:val="24"/>
        </w:rPr>
      </w:pPr>
      <w:r w:rsidRPr="000D5501">
        <w:rPr>
          <w:rFonts w:ascii="Arial Narrow" w:hAnsi="Arial Narrow" w:cs="Arial"/>
          <w:sz w:val="24"/>
          <w:szCs w:val="24"/>
        </w:rPr>
        <w:t>Представители остальных 4 социально значимых и приоритетных рынков (рынок услуг дошкольного образования, дополнительного образования детей, услуг ЖКХ (управляющих компаний), услуг социального обслуживания населения) удовлетворены качеством услуг в пределах 44,9–55,0 %, эти результаты близки к среднему значению (51,4 %).</w:t>
      </w:r>
    </w:p>
    <w:p w:rsidR="00372BCB" w:rsidRDefault="00372BCB" w:rsidP="00103148">
      <w:pPr>
        <w:spacing w:after="0"/>
        <w:rPr>
          <w:rFonts w:ascii="Arial Narrow" w:hAnsi="Arial Narrow" w:cs="Arial"/>
          <w:sz w:val="24"/>
          <w:szCs w:val="24"/>
        </w:rPr>
      </w:pPr>
    </w:p>
    <w:p w:rsidR="00A64028" w:rsidRPr="001820C5" w:rsidRDefault="00262F71" w:rsidP="00103148">
      <w:pPr>
        <w:spacing w:after="0"/>
        <w:rPr>
          <w:rFonts w:ascii="Arial Narrow" w:hAnsi="Arial Narrow" w:cs="Arial"/>
          <w:b/>
          <w:sz w:val="24"/>
          <w:szCs w:val="24"/>
        </w:rPr>
      </w:pPr>
      <w:r w:rsidRPr="001820C5">
        <w:rPr>
          <w:rFonts w:ascii="Arial Narrow" w:hAnsi="Arial Narrow" w:cs="Arial"/>
          <w:sz w:val="24"/>
          <w:szCs w:val="24"/>
        </w:rPr>
        <w:t>Таблица 7.38.</w:t>
      </w:r>
      <w:r w:rsidR="00A64028" w:rsidRPr="001820C5">
        <w:rPr>
          <w:rFonts w:ascii="Arial Narrow" w:hAnsi="Arial Narrow" w:cs="Arial"/>
          <w:sz w:val="24"/>
          <w:szCs w:val="24"/>
        </w:rPr>
        <w:t xml:space="preserve"> – </w:t>
      </w:r>
      <w:r w:rsidR="00A64028" w:rsidRPr="001820C5">
        <w:rPr>
          <w:rFonts w:ascii="Arial Narrow" w:hAnsi="Arial Narrow" w:cs="Arial"/>
          <w:b/>
          <w:sz w:val="24"/>
          <w:szCs w:val="24"/>
        </w:rPr>
        <w:t xml:space="preserve">Значения показателя 2.2. </w:t>
      </w:r>
      <w:r w:rsidR="00A64028" w:rsidRPr="001820C5">
        <w:rPr>
          <w:rFonts w:ascii="Arial Narrow" w:hAnsi="Arial Narrow" w:cs="Arial"/>
          <w:b/>
          <w:bCs/>
          <w:sz w:val="24"/>
          <w:szCs w:val="24"/>
        </w:rPr>
        <w:t>Доля потребителей, удовлетворенных качеством товаров, работ и услуг на социально значимых и приоритетных рынках (% от числа опрошенных потребителей)</w:t>
      </w:r>
    </w:p>
    <w:tbl>
      <w:tblPr>
        <w:tblW w:w="10078" w:type="dxa"/>
        <w:tblInd w:w="-289" w:type="dxa"/>
        <w:tblLayout w:type="fixed"/>
        <w:tblCellMar>
          <w:left w:w="0" w:type="dxa"/>
          <w:right w:w="0" w:type="dxa"/>
        </w:tblCellMar>
        <w:tblLook w:val="04A0"/>
      </w:tblPr>
      <w:tblGrid>
        <w:gridCol w:w="289"/>
        <w:gridCol w:w="2557"/>
        <w:gridCol w:w="644"/>
        <w:gridCol w:w="573"/>
        <w:gridCol w:w="425"/>
        <w:gridCol w:w="426"/>
        <w:gridCol w:w="425"/>
        <w:gridCol w:w="567"/>
        <w:gridCol w:w="425"/>
        <w:gridCol w:w="425"/>
        <w:gridCol w:w="567"/>
        <w:gridCol w:w="567"/>
        <w:gridCol w:w="426"/>
        <w:gridCol w:w="425"/>
        <w:gridCol w:w="708"/>
        <w:gridCol w:w="629"/>
      </w:tblGrid>
      <w:tr w:rsidR="00A64028" w:rsidRPr="000D5501" w:rsidTr="00F34DD1">
        <w:trPr>
          <w:cantSplit/>
          <w:trHeight w:val="4049"/>
        </w:trPr>
        <w:tc>
          <w:tcPr>
            <w:tcW w:w="289" w:type="dxa"/>
            <w:tcBorders>
              <w:top w:val="single" w:sz="4" w:space="0" w:color="auto"/>
              <w:left w:val="single" w:sz="4" w:space="0" w:color="auto"/>
              <w:bottom w:val="single" w:sz="4" w:space="0" w:color="auto"/>
              <w:right w:val="single" w:sz="4" w:space="0" w:color="auto"/>
            </w:tcBorders>
            <w:vAlign w:val="center"/>
            <w:hideMark/>
          </w:tcPr>
          <w:p w:rsidR="00A64028" w:rsidRPr="000D5501" w:rsidRDefault="00A64028" w:rsidP="00103148">
            <w:pPr>
              <w:spacing w:after="0"/>
              <w:jc w:val="center"/>
              <w:rPr>
                <w:rFonts w:ascii="Arial Narrow" w:hAnsi="Arial Narrow" w:cs="Arial"/>
                <w:sz w:val="20"/>
                <w:szCs w:val="20"/>
              </w:rPr>
            </w:pPr>
            <w:r w:rsidRPr="000D5501">
              <w:rPr>
                <w:rFonts w:ascii="Arial Narrow" w:hAnsi="Arial Narrow" w:cs="Arial"/>
                <w:sz w:val="20"/>
                <w:szCs w:val="20"/>
              </w:rPr>
              <w:t>№</w:t>
            </w:r>
          </w:p>
        </w:tc>
        <w:tc>
          <w:tcPr>
            <w:tcW w:w="2557" w:type="dxa"/>
            <w:tcBorders>
              <w:top w:val="single" w:sz="4" w:space="0" w:color="auto"/>
              <w:left w:val="nil"/>
              <w:bottom w:val="single" w:sz="4" w:space="0" w:color="auto"/>
              <w:right w:val="single" w:sz="4" w:space="0" w:color="auto"/>
            </w:tcBorders>
            <w:vAlign w:val="center"/>
            <w:hideMark/>
          </w:tcPr>
          <w:p w:rsidR="00A64028" w:rsidRPr="00086001" w:rsidRDefault="00A64028" w:rsidP="00103148">
            <w:pPr>
              <w:spacing w:after="0"/>
              <w:ind w:left="148" w:right="141"/>
              <w:rPr>
                <w:rFonts w:ascii="Arial Narrow" w:hAnsi="Arial Narrow" w:cs="Arial"/>
                <w:sz w:val="18"/>
                <w:szCs w:val="18"/>
              </w:rPr>
            </w:pPr>
            <w:r w:rsidRPr="00086001">
              <w:rPr>
                <w:rFonts w:ascii="Arial Narrow" w:hAnsi="Arial Narrow" w:cs="Arial"/>
                <w:sz w:val="18"/>
                <w:szCs w:val="18"/>
              </w:rPr>
              <w:t>Наименование показателя, единица измерения</w:t>
            </w:r>
          </w:p>
        </w:tc>
        <w:tc>
          <w:tcPr>
            <w:tcW w:w="644" w:type="dxa"/>
            <w:tcBorders>
              <w:top w:val="single" w:sz="4" w:space="0" w:color="auto"/>
              <w:left w:val="nil"/>
              <w:bottom w:val="single" w:sz="4" w:space="0" w:color="auto"/>
              <w:right w:val="single" w:sz="4" w:space="0" w:color="auto"/>
            </w:tcBorders>
            <w:textDirection w:val="btLr"/>
            <w:vAlign w:val="center"/>
            <w:hideMark/>
          </w:tcPr>
          <w:p w:rsidR="00A64028" w:rsidRPr="00086001" w:rsidRDefault="00A64028" w:rsidP="00F34DD1">
            <w:pPr>
              <w:spacing w:after="0" w:line="240" w:lineRule="auto"/>
              <w:ind w:left="113" w:right="113"/>
              <w:jc w:val="center"/>
              <w:rPr>
                <w:rFonts w:ascii="Arial Narrow" w:hAnsi="Arial Narrow" w:cs="Arial"/>
                <w:sz w:val="18"/>
                <w:szCs w:val="18"/>
              </w:rPr>
            </w:pPr>
            <w:r w:rsidRPr="00086001">
              <w:rPr>
                <w:rFonts w:ascii="Arial Narrow" w:hAnsi="Arial Narrow" w:cs="Arial"/>
                <w:sz w:val="18"/>
                <w:szCs w:val="18"/>
              </w:rPr>
              <w:t>Общий по Новосибирской области</w:t>
            </w:r>
          </w:p>
        </w:tc>
        <w:tc>
          <w:tcPr>
            <w:tcW w:w="573" w:type="dxa"/>
            <w:tcBorders>
              <w:top w:val="single" w:sz="4" w:space="0" w:color="auto"/>
              <w:left w:val="nil"/>
              <w:bottom w:val="single" w:sz="4" w:space="0" w:color="auto"/>
              <w:right w:val="single" w:sz="4" w:space="0" w:color="auto"/>
            </w:tcBorders>
            <w:noWrap/>
            <w:textDirection w:val="btLr"/>
            <w:vAlign w:val="center"/>
            <w:hideMark/>
          </w:tcPr>
          <w:p w:rsidR="00A64028" w:rsidRPr="00086001" w:rsidRDefault="00A64028" w:rsidP="00F34DD1">
            <w:pPr>
              <w:spacing w:after="0" w:line="240" w:lineRule="auto"/>
              <w:ind w:left="113" w:right="113"/>
              <w:jc w:val="center"/>
              <w:rPr>
                <w:rFonts w:ascii="Arial Narrow" w:hAnsi="Arial Narrow" w:cs="Arial"/>
                <w:sz w:val="18"/>
                <w:szCs w:val="18"/>
              </w:rPr>
            </w:pPr>
            <w:r w:rsidRPr="00086001">
              <w:rPr>
                <w:rFonts w:ascii="Arial Narrow" w:hAnsi="Arial Narrow" w:cs="Arial"/>
                <w:sz w:val="18"/>
                <w:szCs w:val="18"/>
              </w:rPr>
              <w:t>Рынок услуг дошкольного образования (коммерческие детские сады и учреждения пребывания неполного дня)</w:t>
            </w:r>
          </w:p>
        </w:tc>
        <w:tc>
          <w:tcPr>
            <w:tcW w:w="425" w:type="dxa"/>
            <w:tcBorders>
              <w:top w:val="single" w:sz="4" w:space="0" w:color="auto"/>
              <w:left w:val="nil"/>
              <w:bottom w:val="single" w:sz="4" w:space="0" w:color="auto"/>
              <w:right w:val="single" w:sz="4" w:space="0" w:color="auto"/>
            </w:tcBorders>
            <w:noWrap/>
            <w:textDirection w:val="btLr"/>
            <w:vAlign w:val="center"/>
            <w:hideMark/>
          </w:tcPr>
          <w:p w:rsidR="00A64028" w:rsidRPr="00086001" w:rsidRDefault="00A64028" w:rsidP="00F34DD1">
            <w:pPr>
              <w:spacing w:after="0" w:line="240" w:lineRule="auto"/>
              <w:ind w:left="113" w:right="113"/>
              <w:jc w:val="center"/>
              <w:rPr>
                <w:rFonts w:ascii="Arial Narrow" w:hAnsi="Arial Narrow" w:cs="Arial"/>
                <w:sz w:val="18"/>
                <w:szCs w:val="18"/>
              </w:rPr>
            </w:pPr>
            <w:r w:rsidRPr="00086001">
              <w:rPr>
                <w:rFonts w:ascii="Arial Narrow" w:hAnsi="Arial Narrow" w:cs="Arial"/>
                <w:sz w:val="18"/>
                <w:szCs w:val="18"/>
              </w:rPr>
              <w:t>Рынок услуг детского отдыха и оздоровления</w:t>
            </w:r>
          </w:p>
        </w:tc>
        <w:tc>
          <w:tcPr>
            <w:tcW w:w="426" w:type="dxa"/>
            <w:tcBorders>
              <w:top w:val="single" w:sz="4" w:space="0" w:color="auto"/>
              <w:left w:val="nil"/>
              <w:bottom w:val="single" w:sz="4" w:space="0" w:color="auto"/>
              <w:right w:val="single" w:sz="4" w:space="0" w:color="auto"/>
            </w:tcBorders>
            <w:noWrap/>
            <w:textDirection w:val="btLr"/>
            <w:vAlign w:val="center"/>
            <w:hideMark/>
          </w:tcPr>
          <w:p w:rsidR="00A64028" w:rsidRPr="00086001" w:rsidRDefault="00A64028" w:rsidP="00F34DD1">
            <w:pPr>
              <w:spacing w:after="0" w:line="240" w:lineRule="auto"/>
              <w:ind w:left="113" w:right="113"/>
              <w:jc w:val="center"/>
              <w:rPr>
                <w:rFonts w:ascii="Arial Narrow" w:hAnsi="Arial Narrow" w:cs="Arial"/>
                <w:sz w:val="18"/>
                <w:szCs w:val="18"/>
              </w:rPr>
            </w:pPr>
            <w:r w:rsidRPr="00086001">
              <w:rPr>
                <w:rFonts w:ascii="Arial Narrow" w:hAnsi="Arial Narrow" w:cs="Arial"/>
                <w:sz w:val="18"/>
                <w:szCs w:val="18"/>
              </w:rPr>
              <w:t>Рынок дополнительного образования детей</w:t>
            </w:r>
          </w:p>
        </w:tc>
        <w:tc>
          <w:tcPr>
            <w:tcW w:w="425" w:type="dxa"/>
            <w:tcBorders>
              <w:top w:val="single" w:sz="4" w:space="0" w:color="auto"/>
              <w:left w:val="nil"/>
              <w:bottom w:val="single" w:sz="4" w:space="0" w:color="auto"/>
              <w:right w:val="single" w:sz="4" w:space="0" w:color="auto"/>
            </w:tcBorders>
            <w:noWrap/>
            <w:textDirection w:val="btLr"/>
            <w:vAlign w:val="center"/>
            <w:hideMark/>
          </w:tcPr>
          <w:p w:rsidR="00A64028" w:rsidRPr="00086001" w:rsidRDefault="00A64028" w:rsidP="00F34DD1">
            <w:pPr>
              <w:spacing w:after="0" w:line="240" w:lineRule="auto"/>
              <w:ind w:left="113" w:right="113"/>
              <w:jc w:val="center"/>
              <w:rPr>
                <w:rFonts w:ascii="Arial Narrow" w:hAnsi="Arial Narrow" w:cs="Arial"/>
                <w:sz w:val="18"/>
                <w:szCs w:val="18"/>
              </w:rPr>
            </w:pPr>
            <w:r w:rsidRPr="00086001">
              <w:rPr>
                <w:rFonts w:ascii="Arial Narrow" w:hAnsi="Arial Narrow" w:cs="Arial"/>
                <w:sz w:val="18"/>
                <w:szCs w:val="18"/>
              </w:rPr>
              <w:t>Рынок медицинских услуг</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086001" w:rsidRDefault="00A64028" w:rsidP="00F34DD1">
            <w:pPr>
              <w:spacing w:after="0" w:line="240" w:lineRule="auto"/>
              <w:ind w:left="113" w:right="113"/>
              <w:jc w:val="center"/>
              <w:rPr>
                <w:rFonts w:ascii="Arial Narrow" w:hAnsi="Arial Narrow" w:cs="Arial"/>
                <w:sz w:val="18"/>
                <w:szCs w:val="18"/>
              </w:rPr>
            </w:pPr>
            <w:r w:rsidRPr="00086001">
              <w:rPr>
                <w:rFonts w:ascii="Arial Narrow" w:hAnsi="Arial Narrow" w:cs="Arial"/>
                <w:sz w:val="18"/>
                <w:szCs w:val="18"/>
              </w:rPr>
              <w:t>Рынок услуг психолого-педагогического сопровождения детей с ограниченными возможностями здоровья</w:t>
            </w:r>
          </w:p>
        </w:tc>
        <w:tc>
          <w:tcPr>
            <w:tcW w:w="425" w:type="dxa"/>
            <w:tcBorders>
              <w:top w:val="single" w:sz="4" w:space="0" w:color="auto"/>
              <w:left w:val="nil"/>
              <w:bottom w:val="single" w:sz="4" w:space="0" w:color="auto"/>
              <w:right w:val="single" w:sz="4" w:space="0" w:color="auto"/>
            </w:tcBorders>
            <w:noWrap/>
            <w:textDirection w:val="btLr"/>
            <w:vAlign w:val="center"/>
            <w:hideMark/>
          </w:tcPr>
          <w:p w:rsidR="00A64028" w:rsidRPr="00086001" w:rsidRDefault="00A64028" w:rsidP="00F34DD1">
            <w:pPr>
              <w:spacing w:after="0" w:line="240" w:lineRule="auto"/>
              <w:ind w:left="113" w:right="113"/>
              <w:jc w:val="center"/>
              <w:rPr>
                <w:rFonts w:ascii="Arial Narrow" w:hAnsi="Arial Narrow" w:cs="Arial"/>
                <w:sz w:val="18"/>
                <w:szCs w:val="18"/>
              </w:rPr>
            </w:pPr>
            <w:r w:rsidRPr="00086001">
              <w:rPr>
                <w:rFonts w:ascii="Arial Narrow" w:hAnsi="Arial Narrow" w:cs="Arial"/>
                <w:sz w:val="18"/>
                <w:szCs w:val="18"/>
              </w:rPr>
              <w:t>Рынок услуг в сфере культуры</w:t>
            </w:r>
          </w:p>
        </w:tc>
        <w:tc>
          <w:tcPr>
            <w:tcW w:w="425" w:type="dxa"/>
            <w:tcBorders>
              <w:top w:val="single" w:sz="4" w:space="0" w:color="auto"/>
              <w:left w:val="nil"/>
              <w:bottom w:val="single" w:sz="4" w:space="0" w:color="auto"/>
              <w:right w:val="single" w:sz="4" w:space="0" w:color="auto"/>
            </w:tcBorders>
            <w:noWrap/>
            <w:textDirection w:val="btLr"/>
            <w:vAlign w:val="center"/>
            <w:hideMark/>
          </w:tcPr>
          <w:p w:rsidR="00A64028" w:rsidRPr="00086001" w:rsidRDefault="00A64028" w:rsidP="00F34DD1">
            <w:pPr>
              <w:spacing w:after="0" w:line="240" w:lineRule="auto"/>
              <w:ind w:left="113" w:right="113"/>
              <w:jc w:val="center"/>
              <w:rPr>
                <w:rFonts w:ascii="Arial Narrow" w:hAnsi="Arial Narrow" w:cs="Arial"/>
                <w:sz w:val="18"/>
                <w:szCs w:val="18"/>
              </w:rPr>
            </w:pPr>
            <w:r w:rsidRPr="00086001">
              <w:rPr>
                <w:rFonts w:ascii="Arial Narrow" w:hAnsi="Arial Narrow" w:cs="Arial"/>
                <w:sz w:val="18"/>
                <w:szCs w:val="18"/>
              </w:rPr>
              <w:t>Рынок услуг ЖКХ (управляющие компании)</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086001" w:rsidRDefault="00A64028" w:rsidP="00F34DD1">
            <w:pPr>
              <w:spacing w:after="0" w:line="240" w:lineRule="auto"/>
              <w:ind w:left="113" w:right="113"/>
              <w:jc w:val="center"/>
              <w:rPr>
                <w:rFonts w:ascii="Arial Narrow" w:hAnsi="Arial Narrow" w:cs="Arial"/>
                <w:sz w:val="18"/>
                <w:szCs w:val="18"/>
              </w:rPr>
            </w:pPr>
            <w:r w:rsidRPr="00086001">
              <w:rPr>
                <w:rFonts w:ascii="Arial Narrow" w:hAnsi="Arial Narrow" w:cs="Arial"/>
                <w:sz w:val="18"/>
                <w:szCs w:val="18"/>
              </w:rPr>
              <w:t>Розничная торговля (продажа продуктов питания и непродовольственных товаров)</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086001" w:rsidRDefault="00A64028" w:rsidP="00F34DD1">
            <w:pPr>
              <w:spacing w:after="0" w:line="240" w:lineRule="auto"/>
              <w:ind w:left="113" w:right="113"/>
              <w:jc w:val="center"/>
              <w:rPr>
                <w:rFonts w:ascii="Arial Narrow" w:hAnsi="Arial Narrow" w:cs="Arial"/>
                <w:sz w:val="18"/>
                <w:szCs w:val="18"/>
              </w:rPr>
            </w:pPr>
            <w:r w:rsidRPr="00086001">
              <w:rPr>
                <w:rFonts w:ascii="Arial Narrow" w:hAnsi="Arial Narrow" w:cs="Arial"/>
                <w:sz w:val="18"/>
                <w:szCs w:val="18"/>
              </w:rPr>
              <w:t>Рынок услуг перевозок пассажиров наземным транспортом (автобусные перевозки и такси)</w:t>
            </w:r>
          </w:p>
        </w:tc>
        <w:tc>
          <w:tcPr>
            <w:tcW w:w="426" w:type="dxa"/>
            <w:tcBorders>
              <w:top w:val="single" w:sz="4" w:space="0" w:color="auto"/>
              <w:left w:val="nil"/>
              <w:bottom w:val="single" w:sz="4" w:space="0" w:color="auto"/>
              <w:right w:val="single" w:sz="4" w:space="0" w:color="auto"/>
            </w:tcBorders>
            <w:noWrap/>
            <w:textDirection w:val="btLr"/>
            <w:vAlign w:val="center"/>
            <w:hideMark/>
          </w:tcPr>
          <w:p w:rsidR="00A64028" w:rsidRPr="00086001" w:rsidRDefault="00A64028" w:rsidP="00F34DD1">
            <w:pPr>
              <w:spacing w:after="0" w:line="240" w:lineRule="auto"/>
              <w:ind w:left="113" w:right="113"/>
              <w:jc w:val="center"/>
              <w:rPr>
                <w:rFonts w:ascii="Arial Narrow" w:hAnsi="Arial Narrow" w:cs="Arial"/>
                <w:sz w:val="18"/>
                <w:szCs w:val="18"/>
              </w:rPr>
            </w:pPr>
            <w:r w:rsidRPr="00086001">
              <w:rPr>
                <w:rFonts w:ascii="Arial Narrow" w:hAnsi="Arial Narrow" w:cs="Arial"/>
                <w:sz w:val="18"/>
                <w:szCs w:val="18"/>
              </w:rPr>
              <w:t>Рынок услуг связи</w:t>
            </w:r>
          </w:p>
        </w:tc>
        <w:tc>
          <w:tcPr>
            <w:tcW w:w="425" w:type="dxa"/>
            <w:tcBorders>
              <w:top w:val="single" w:sz="4" w:space="0" w:color="auto"/>
              <w:left w:val="nil"/>
              <w:bottom w:val="single" w:sz="4" w:space="0" w:color="auto"/>
              <w:right w:val="single" w:sz="4" w:space="0" w:color="auto"/>
            </w:tcBorders>
            <w:noWrap/>
            <w:textDirection w:val="btLr"/>
            <w:vAlign w:val="center"/>
            <w:hideMark/>
          </w:tcPr>
          <w:p w:rsidR="00A64028" w:rsidRPr="00086001" w:rsidRDefault="00A64028" w:rsidP="00F34DD1">
            <w:pPr>
              <w:spacing w:after="0" w:line="240" w:lineRule="auto"/>
              <w:ind w:left="113" w:right="113"/>
              <w:jc w:val="center"/>
              <w:rPr>
                <w:rFonts w:ascii="Arial Narrow" w:hAnsi="Arial Narrow" w:cs="Arial"/>
                <w:sz w:val="18"/>
                <w:szCs w:val="18"/>
              </w:rPr>
            </w:pPr>
            <w:r w:rsidRPr="00086001">
              <w:rPr>
                <w:rFonts w:ascii="Arial Narrow" w:hAnsi="Arial Narrow" w:cs="Arial"/>
                <w:sz w:val="18"/>
                <w:szCs w:val="18"/>
              </w:rPr>
              <w:t>Рынок услуг социального обслуживания населения</w:t>
            </w:r>
          </w:p>
        </w:tc>
        <w:tc>
          <w:tcPr>
            <w:tcW w:w="708" w:type="dxa"/>
            <w:tcBorders>
              <w:top w:val="single" w:sz="4" w:space="0" w:color="auto"/>
              <w:left w:val="nil"/>
              <w:bottom w:val="single" w:sz="4" w:space="0" w:color="auto"/>
              <w:right w:val="single" w:sz="4" w:space="0" w:color="auto"/>
            </w:tcBorders>
            <w:noWrap/>
            <w:textDirection w:val="btLr"/>
            <w:vAlign w:val="center"/>
            <w:hideMark/>
          </w:tcPr>
          <w:p w:rsidR="00A64028" w:rsidRPr="00086001" w:rsidRDefault="00A64028" w:rsidP="00F34DD1">
            <w:pPr>
              <w:spacing w:after="0" w:line="240" w:lineRule="auto"/>
              <w:ind w:left="113" w:right="113"/>
              <w:jc w:val="center"/>
              <w:rPr>
                <w:rFonts w:ascii="Arial Narrow" w:hAnsi="Arial Narrow" w:cs="Arial"/>
                <w:sz w:val="18"/>
                <w:szCs w:val="18"/>
              </w:rPr>
            </w:pPr>
            <w:r w:rsidRPr="00086001">
              <w:rPr>
                <w:rFonts w:ascii="Arial Narrow" w:hAnsi="Arial Narrow" w:cs="Arial"/>
                <w:sz w:val="18"/>
                <w:szCs w:val="18"/>
              </w:rPr>
              <w:t>Рынок развития, производства, переработки и хранения сельскохозяйственной продукции</w:t>
            </w:r>
          </w:p>
        </w:tc>
        <w:tc>
          <w:tcPr>
            <w:tcW w:w="629" w:type="dxa"/>
            <w:tcBorders>
              <w:top w:val="single" w:sz="4" w:space="0" w:color="auto"/>
              <w:left w:val="nil"/>
              <w:bottom w:val="single" w:sz="4" w:space="0" w:color="auto"/>
              <w:right w:val="single" w:sz="4" w:space="0" w:color="auto"/>
            </w:tcBorders>
            <w:noWrap/>
            <w:textDirection w:val="btLr"/>
            <w:vAlign w:val="center"/>
            <w:hideMark/>
          </w:tcPr>
          <w:p w:rsidR="00A64028" w:rsidRPr="00086001" w:rsidRDefault="00A64028" w:rsidP="00F34DD1">
            <w:pPr>
              <w:spacing w:after="0" w:line="240" w:lineRule="auto"/>
              <w:ind w:left="113" w:right="113"/>
              <w:jc w:val="center"/>
              <w:rPr>
                <w:rFonts w:ascii="Arial Narrow" w:hAnsi="Arial Narrow" w:cs="Arial"/>
                <w:sz w:val="18"/>
                <w:szCs w:val="18"/>
              </w:rPr>
            </w:pPr>
            <w:r w:rsidRPr="00086001">
              <w:rPr>
                <w:rFonts w:ascii="Arial Narrow" w:hAnsi="Arial Narrow" w:cs="Arial"/>
                <w:sz w:val="18"/>
                <w:szCs w:val="18"/>
              </w:rPr>
              <w:t>Рынок услуг по сбору, сортировке и переработке твердых коммунальных (бытовых) отходов</w:t>
            </w:r>
          </w:p>
        </w:tc>
      </w:tr>
      <w:tr w:rsidR="00A64028" w:rsidRPr="000D5501" w:rsidTr="00A64028">
        <w:tc>
          <w:tcPr>
            <w:tcW w:w="289" w:type="dxa"/>
            <w:tcBorders>
              <w:top w:val="nil"/>
              <w:left w:val="single" w:sz="4" w:space="0" w:color="auto"/>
              <w:bottom w:val="single" w:sz="4" w:space="0" w:color="auto"/>
              <w:right w:val="single" w:sz="4" w:space="0" w:color="auto"/>
            </w:tcBorders>
            <w:vAlign w:val="center"/>
            <w:hideMark/>
          </w:tcPr>
          <w:p w:rsidR="00A64028" w:rsidRPr="000D5501" w:rsidRDefault="00A64028" w:rsidP="00103148">
            <w:pPr>
              <w:spacing w:after="0"/>
              <w:jc w:val="center"/>
              <w:rPr>
                <w:rFonts w:ascii="Arial Narrow" w:hAnsi="Arial Narrow" w:cs="Arial"/>
                <w:b/>
                <w:bCs/>
                <w:sz w:val="20"/>
                <w:szCs w:val="20"/>
              </w:rPr>
            </w:pPr>
            <w:r w:rsidRPr="000D5501">
              <w:rPr>
                <w:rFonts w:ascii="Arial Narrow" w:hAnsi="Arial Narrow" w:cs="Arial"/>
                <w:b/>
                <w:bCs/>
                <w:sz w:val="20"/>
                <w:szCs w:val="20"/>
              </w:rPr>
              <w:t>2.</w:t>
            </w:r>
          </w:p>
        </w:tc>
        <w:tc>
          <w:tcPr>
            <w:tcW w:w="9788" w:type="dxa"/>
            <w:gridSpan w:val="15"/>
            <w:tcBorders>
              <w:top w:val="single" w:sz="4" w:space="0" w:color="auto"/>
              <w:left w:val="nil"/>
              <w:bottom w:val="single" w:sz="4" w:space="0" w:color="auto"/>
              <w:right w:val="single" w:sz="4" w:space="0" w:color="000000"/>
            </w:tcBorders>
            <w:vAlign w:val="center"/>
            <w:hideMark/>
          </w:tcPr>
          <w:p w:rsidR="00A64028" w:rsidRPr="00F34DD1" w:rsidRDefault="00A64028" w:rsidP="00103148">
            <w:pPr>
              <w:spacing w:after="0"/>
              <w:ind w:left="148" w:right="142"/>
              <w:rPr>
                <w:rFonts w:ascii="Arial Narrow" w:hAnsi="Arial Narrow" w:cs="Arial"/>
                <w:b/>
                <w:bCs/>
                <w:sz w:val="18"/>
                <w:szCs w:val="18"/>
              </w:rPr>
            </w:pPr>
            <w:r w:rsidRPr="00F34DD1">
              <w:rPr>
                <w:rFonts w:ascii="Arial Narrow" w:hAnsi="Arial Narrow" w:cs="Arial"/>
                <w:b/>
                <w:bCs/>
                <w:sz w:val="18"/>
                <w:szCs w:val="18"/>
              </w:rPr>
              <w:t>Мониторинг удовлетворенности потребителей качеством товаров, работ и услуг на товарных рынках Новосибирской области и состоянием ценовой конкуренции</w:t>
            </w:r>
          </w:p>
        </w:tc>
      </w:tr>
      <w:tr w:rsidR="00A64028" w:rsidRPr="000D5501" w:rsidTr="00A64028">
        <w:tc>
          <w:tcPr>
            <w:tcW w:w="289" w:type="dxa"/>
            <w:tcBorders>
              <w:top w:val="nil"/>
              <w:left w:val="single" w:sz="4" w:space="0" w:color="auto"/>
              <w:bottom w:val="single" w:sz="4" w:space="0" w:color="auto"/>
              <w:right w:val="single" w:sz="4" w:space="0" w:color="auto"/>
            </w:tcBorders>
            <w:vAlign w:val="center"/>
            <w:hideMark/>
          </w:tcPr>
          <w:p w:rsidR="00A64028" w:rsidRPr="000D5501" w:rsidRDefault="00A64028" w:rsidP="00103148">
            <w:pPr>
              <w:spacing w:after="0"/>
              <w:jc w:val="center"/>
              <w:rPr>
                <w:rFonts w:ascii="Arial Narrow" w:hAnsi="Arial Narrow" w:cs="Arial"/>
              </w:rPr>
            </w:pPr>
            <w:r w:rsidRPr="000D5501">
              <w:rPr>
                <w:rFonts w:ascii="Arial Narrow" w:hAnsi="Arial Narrow" w:cs="Arial"/>
              </w:rPr>
              <w:t>2.2</w:t>
            </w:r>
          </w:p>
        </w:tc>
        <w:tc>
          <w:tcPr>
            <w:tcW w:w="2557" w:type="dxa"/>
            <w:tcBorders>
              <w:top w:val="nil"/>
              <w:left w:val="nil"/>
              <w:bottom w:val="single" w:sz="4" w:space="0" w:color="auto"/>
              <w:right w:val="single" w:sz="4" w:space="0" w:color="auto"/>
            </w:tcBorders>
            <w:hideMark/>
          </w:tcPr>
          <w:p w:rsidR="00A64028" w:rsidRPr="00F34DD1" w:rsidRDefault="00A64028" w:rsidP="00103148">
            <w:pPr>
              <w:spacing w:after="0"/>
              <w:ind w:left="148" w:right="141"/>
              <w:rPr>
                <w:rFonts w:ascii="Arial Narrow" w:hAnsi="Arial Narrow" w:cs="Arial"/>
                <w:sz w:val="18"/>
                <w:szCs w:val="18"/>
              </w:rPr>
            </w:pPr>
            <w:r w:rsidRPr="00F34DD1">
              <w:rPr>
                <w:rFonts w:ascii="Arial Narrow" w:hAnsi="Arial Narrow" w:cs="Arial"/>
                <w:bCs/>
                <w:sz w:val="18"/>
                <w:szCs w:val="18"/>
              </w:rPr>
              <w:t>Доля потребителей, удовлетворенных качеством товаров, работ и услуг на социально значимых и приоритетных рынках (% от числа опрошенных потребителей)</w:t>
            </w:r>
          </w:p>
        </w:tc>
        <w:tc>
          <w:tcPr>
            <w:tcW w:w="644" w:type="dxa"/>
            <w:tcBorders>
              <w:top w:val="nil"/>
              <w:left w:val="nil"/>
              <w:bottom w:val="single" w:sz="4" w:space="0" w:color="auto"/>
              <w:right w:val="single" w:sz="4" w:space="0" w:color="auto"/>
            </w:tcBorders>
            <w:noWrap/>
            <w:vAlign w:val="center"/>
            <w:hideMark/>
          </w:tcPr>
          <w:p w:rsidR="00A64028" w:rsidRPr="00372BCB" w:rsidRDefault="00A64028" w:rsidP="00103148">
            <w:pPr>
              <w:spacing w:after="0" w:line="254" w:lineRule="auto"/>
              <w:jc w:val="center"/>
              <w:rPr>
                <w:rFonts w:ascii="Arial Narrow" w:eastAsia="Calibri" w:hAnsi="Arial Narrow"/>
                <w:sz w:val="18"/>
                <w:szCs w:val="18"/>
              </w:rPr>
            </w:pPr>
            <w:r w:rsidRPr="00372BCB">
              <w:rPr>
                <w:rFonts w:ascii="Arial Narrow" w:eastAsia="Calibri" w:hAnsi="Arial Narrow"/>
                <w:sz w:val="18"/>
                <w:szCs w:val="18"/>
              </w:rPr>
              <w:t>51,4%</w:t>
            </w:r>
          </w:p>
        </w:tc>
        <w:tc>
          <w:tcPr>
            <w:tcW w:w="573" w:type="dxa"/>
            <w:tcBorders>
              <w:top w:val="nil"/>
              <w:left w:val="nil"/>
              <w:bottom w:val="single" w:sz="4" w:space="0" w:color="auto"/>
              <w:right w:val="single" w:sz="4" w:space="0" w:color="auto"/>
            </w:tcBorders>
            <w:noWrap/>
            <w:vAlign w:val="center"/>
            <w:hideMark/>
          </w:tcPr>
          <w:p w:rsidR="00A64028" w:rsidRPr="00372BCB" w:rsidRDefault="00A64028" w:rsidP="00103148">
            <w:pPr>
              <w:spacing w:after="0" w:line="254" w:lineRule="auto"/>
              <w:jc w:val="center"/>
              <w:rPr>
                <w:rFonts w:ascii="Arial Narrow" w:eastAsia="Calibri" w:hAnsi="Arial Narrow"/>
                <w:sz w:val="18"/>
                <w:szCs w:val="18"/>
              </w:rPr>
            </w:pPr>
            <w:r w:rsidRPr="00372BCB">
              <w:rPr>
                <w:rFonts w:ascii="Arial Narrow" w:eastAsia="Calibri" w:hAnsi="Arial Narrow"/>
                <w:sz w:val="18"/>
                <w:szCs w:val="18"/>
              </w:rPr>
              <w:t>44,9%</w:t>
            </w:r>
          </w:p>
        </w:tc>
        <w:tc>
          <w:tcPr>
            <w:tcW w:w="425" w:type="dxa"/>
            <w:tcBorders>
              <w:top w:val="nil"/>
              <w:left w:val="nil"/>
              <w:bottom w:val="single" w:sz="4" w:space="0" w:color="auto"/>
              <w:right w:val="single" w:sz="4" w:space="0" w:color="auto"/>
            </w:tcBorders>
            <w:noWrap/>
            <w:vAlign w:val="center"/>
            <w:hideMark/>
          </w:tcPr>
          <w:p w:rsidR="00A64028" w:rsidRPr="00372BCB" w:rsidRDefault="00A64028" w:rsidP="00103148">
            <w:pPr>
              <w:spacing w:after="0" w:line="254" w:lineRule="auto"/>
              <w:jc w:val="center"/>
              <w:rPr>
                <w:rFonts w:ascii="Arial Narrow" w:eastAsia="Calibri" w:hAnsi="Arial Narrow"/>
                <w:sz w:val="18"/>
                <w:szCs w:val="18"/>
              </w:rPr>
            </w:pPr>
            <w:r w:rsidRPr="00372BCB">
              <w:rPr>
                <w:rFonts w:ascii="Arial Narrow" w:eastAsia="Calibri" w:hAnsi="Arial Narrow"/>
                <w:sz w:val="18"/>
                <w:szCs w:val="18"/>
              </w:rPr>
              <w:t>41,6%</w:t>
            </w:r>
          </w:p>
        </w:tc>
        <w:tc>
          <w:tcPr>
            <w:tcW w:w="426" w:type="dxa"/>
            <w:tcBorders>
              <w:top w:val="nil"/>
              <w:left w:val="nil"/>
              <w:bottom w:val="single" w:sz="4" w:space="0" w:color="auto"/>
              <w:right w:val="single" w:sz="4" w:space="0" w:color="auto"/>
            </w:tcBorders>
            <w:noWrap/>
            <w:vAlign w:val="center"/>
            <w:hideMark/>
          </w:tcPr>
          <w:p w:rsidR="00A64028" w:rsidRPr="00372BCB" w:rsidRDefault="00A64028" w:rsidP="00103148">
            <w:pPr>
              <w:spacing w:after="0" w:line="254" w:lineRule="auto"/>
              <w:jc w:val="center"/>
              <w:rPr>
                <w:rFonts w:ascii="Arial Narrow" w:eastAsia="Calibri" w:hAnsi="Arial Narrow"/>
                <w:sz w:val="18"/>
                <w:szCs w:val="18"/>
              </w:rPr>
            </w:pPr>
            <w:r w:rsidRPr="00372BCB">
              <w:rPr>
                <w:rFonts w:ascii="Arial Narrow" w:eastAsia="Calibri" w:hAnsi="Arial Narrow"/>
                <w:sz w:val="18"/>
                <w:szCs w:val="18"/>
              </w:rPr>
              <w:t>45,9%</w:t>
            </w:r>
          </w:p>
        </w:tc>
        <w:tc>
          <w:tcPr>
            <w:tcW w:w="425" w:type="dxa"/>
            <w:tcBorders>
              <w:top w:val="nil"/>
              <w:left w:val="nil"/>
              <w:bottom w:val="single" w:sz="4" w:space="0" w:color="auto"/>
              <w:right w:val="single" w:sz="4" w:space="0" w:color="auto"/>
            </w:tcBorders>
            <w:noWrap/>
            <w:vAlign w:val="center"/>
            <w:hideMark/>
          </w:tcPr>
          <w:p w:rsidR="00A64028" w:rsidRPr="00372BCB" w:rsidRDefault="00A64028" w:rsidP="00103148">
            <w:pPr>
              <w:spacing w:after="0" w:line="254" w:lineRule="auto"/>
              <w:jc w:val="center"/>
              <w:rPr>
                <w:rFonts w:ascii="Arial Narrow" w:eastAsia="Calibri" w:hAnsi="Arial Narrow"/>
                <w:sz w:val="18"/>
                <w:szCs w:val="18"/>
              </w:rPr>
            </w:pPr>
            <w:r w:rsidRPr="00372BCB">
              <w:rPr>
                <w:rFonts w:ascii="Arial Narrow" w:eastAsia="Calibri" w:hAnsi="Arial Narrow"/>
                <w:sz w:val="18"/>
                <w:szCs w:val="18"/>
              </w:rPr>
              <w:t>37,6%</w:t>
            </w:r>
          </w:p>
        </w:tc>
        <w:tc>
          <w:tcPr>
            <w:tcW w:w="567" w:type="dxa"/>
            <w:tcBorders>
              <w:top w:val="nil"/>
              <w:left w:val="nil"/>
              <w:bottom w:val="single" w:sz="4" w:space="0" w:color="auto"/>
              <w:right w:val="single" w:sz="4" w:space="0" w:color="auto"/>
            </w:tcBorders>
            <w:noWrap/>
            <w:vAlign w:val="center"/>
            <w:hideMark/>
          </w:tcPr>
          <w:p w:rsidR="00A64028" w:rsidRPr="00372BCB" w:rsidRDefault="00A64028" w:rsidP="00103148">
            <w:pPr>
              <w:spacing w:after="0" w:line="254" w:lineRule="auto"/>
              <w:jc w:val="center"/>
              <w:rPr>
                <w:rFonts w:ascii="Arial Narrow" w:eastAsia="Calibri" w:hAnsi="Arial Narrow"/>
                <w:sz w:val="18"/>
                <w:szCs w:val="18"/>
              </w:rPr>
            </w:pPr>
            <w:r w:rsidRPr="00372BCB">
              <w:rPr>
                <w:rFonts w:ascii="Arial Narrow" w:eastAsia="Calibri" w:hAnsi="Arial Narrow"/>
                <w:sz w:val="18"/>
                <w:szCs w:val="18"/>
              </w:rPr>
              <w:t>33,1%</w:t>
            </w:r>
          </w:p>
        </w:tc>
        <w:tc>
          <w:tcPr>
            <w:tcW w:w="425" w:type="dxa"/>
            <w:tcBorders>
              <w:top w:val="nil"/>
              <w:left w:val="nil"/>
              <w:bottom w:val="single" w:sz="4" w:space="0" w:color="auto"/>
              <w:right w:val="single" w:sz="4" w:space="0" w:color="auto"/>
            </w:tcBorders>
            <w:noWrap/>
            <w:vAlign w:val="center"/>
            <w:hideMark/>
          </w:tcPr>
          <w:p w:rsidR="00A64028" w:rsidRPr="00372BCB" w:rsidRDefault="00A64028" w:rsidP="00103148">
            <w:pPr>
              <w:spacing w:after="0" w:line="254" w:lineRule="auto"/>
              <w:jc w:val="center"/>
              <w:rPr>
                <w:rFonts w:ascii="Arial Narrow" w:eastAsia="Calibri" w:hAnsi="Arial Narrow"/>
                <w:sz w:val="18"/>
                <w:szCs w:val="18"/>
              </w:rPr>
            </w:pPr>
            <w:r w:rsidRPr="00372BCB">
              <w:rPr>
                <w:rFonts w:ascii="Arial Narrow" w:eastAsia="Calibri" w:hAnsi="Arial Narrow"/>
                <w:sz w:val="18"/>
                <w:szCs w:val="18"/>
              </w:rPr>
              <w:t>67,9%</w:t>
            </w:r>
          </w:p>
        </w:tc>
        <w:tc>
          <w:tcPr>
            <w:tcW w:w="425" w:type="dxa"/>
            <w:tcBorders>
              <w:top w:val="nil"/>
              <w:left w:val="nil"/>
              <w:bottom w:val="single" w:sz="4" w:space="0" w:color="auto"/>
              <w:right w:val="single" w:sz="4" w:space="0" w:color="auto"/>
            </w:tcBorders>
            <w:noWrap/>
            <w:vAlign w:val="center"/>
            <w:hideMark/>
          </w:tcPr>
          <w:p w:rsidR="00A64028" w:rsidRPr="00372BCB" w:rsidRDefault="00A64028" w:rsidP="00103148">
            <w:pPr>
              <w:spacing w:after="0" w:line="254" w:lineRule="auto"/>
              <w:jc w:val="center"/>
              <w:rPr>
                <w:rFonts w:ascii="Arial Narrow" w:eastAsia="Calibri" w:hAnsi="Arial Narrow"/>
                <w:sz w:val="18"/>
                <w:szCs w:val="18"/>
              </w:rPr>
            </w:pPr>
            <w:r w:rsidRPr="00372BCB">
              <w:rPr>
                <w:rFonts w:ascii="Arial Narrow" w:eastAsia="Calibri" w:hAnsi="Arial Narrow"/>
                <w:sz w:val="18"/>
                <w:szCs w:val="18"/>
              </w:rPr>
              <w:t>55,0%</w:t>
            </w:r>
          </w:p>
        </w:tc>
        <w:tc>
          <w:tcPr>
            <w:tcW w:w="567" w:type="dxa"/>
            <w:tcBorders>
              <w:top w:val="nil"/>
              <w:left w:val="nil"/>
              <w:bottom w:val="single" w:sz="4" w:space="0" w:color="auto"/>
              <w:right w:val="single" w:sz="4" w:space="0" w:color="auto"/>
            </w:tcBorders>
            <w:noWrap/>
            <w:vAlign w:val="center"/>
            <w:hideMark/>
          </w:tcPr>
          <w:p w:rsidR="00A64028" w:rsidRPr="00372BCB" w:rsidRDefault="00A64028" w:rsidP="00103148">
            <w:pPr>
              <w:spacing w:after="0" w:line="254" w:lineRule="auto"/>
              <w:jc w:val="center"/>
              <w:rPr>
                <w:rFonts w:ascii="Arial Narrow" w:eastAsia="Calibri" w:hAnsi="Arial Narrow"/>
                <w:sz w:val="18"/>
                <w:szCs w:val="18"/>
              </w:rPr>
            </w:pPr>
            <w:r w:rsidRPr="00372BCB">
              <w:rPr>
                <w:rFonts w:ascii="Arial Narrow" w:eastAsia="Calibri" w:hAnsi="Arial Narrow"/>
                <w:sz w:val="18"/>
                <w:szCs w:val="18"/>
              </w:rPr>
              <w:t>68,3%</w:t>
            </w:r>
          </w:p>
        </w:tc>
        <w:tc>
          <w:tcPr>
            <w:tcW w:w="567" w:type="dxa"/>
            <w:tcBorders>
              <w:top w:val="nil"/>
              <w:left w:val="nil"/>
              <w:bottom w:val="single" w:sz="4" w:space="0" w:color="auto"/>
              <w:right w:val="single" w:sz="4" w:space="0" w:color="auto"/>
            </w:tcBorders>
            <w:noWrap/>
            <w:vAlign w:val="center"/>
            <w:hideMark/>
          </w:tcPr>
          <w:p w:rsidR="00A64028" w:rsidRPr="00372BCB" w:rsidRDefault="00A64028" w:rsidP="00103148">
            <w:pPr>
              <w:spacing w:after="0" w:line="254" w:lineRule="auto"/>
              <w:jc w:val="center"/>
              <w:rPr>
                <w:rFonts w:ascii="Arial Narrow" w:eastAsia="Calibri" w:hAnsi="Arial Narrow"/>
                <w:sz w:val="18"/>
                <w:szCs w:val="18"/>
              </w:rPr>
            </w:pPr>
            <w:r w:rsidRPr="00372BCB">
              <w:rPr>
                <w:rFonts w:ascii="Arial Narrow" w:eastAsia="Calibri" w:hAnsi="Arial Narrow"/>
                <w:sz w:val="18"/>
                <w:szCs w:val="18"/>
              </w:rPr>
              <w:t>72,6%</w:t>
            </w:r>
          </w:p>
        </w:tc>
        <w:tc>
          <w:tcPr>
            <w:tcW w:w="426" w:type="dxa"/>
            <w:tcBorders>
              <w:top w:val="nil"/>
              <w:left w:val="nil"/>
              <w:bottom w:val="single" w:sz="4" w:space="0" w:color="auto"/>
              <w:right w:val="single" w:sz="4" w:space="0" w:color="auto"/>
            </w:tcBorders>
            <w:noWrap/>
            <w:vAlign w:val="center"/>
            <w:hideMark/>
          </w:tcPr>
          <w:p w:rsidR="00A64028" w:rsidRPr="00372BCB" w:rsidRDefault="00A64028" w:rsidP="00103148">
            <w:pPr>
              <w:spacing w:after="0" w:line="254" w:lineRule="auto"/>
              <w:jc w:val="center"/>
              <w:rPr>
                <w:rFonts w:ascii="Arial Narrow" w:eastAsia="Calibri" w:hAnsi="Arial Narrow"/>
                <w:sz w:val="18"/>
                <w:szCs w:val="18"/>
              </w:rPr>
            </w:pPr>
            <w:r w:rsidRPr="00372BCB">
              <w:rPr>
                <w:rFonts w:ascii="Arial Narrow" w:eastAsia="Calibri" w:hAnsi="Arial Narrow"/>
                <w:sz w:val="18"/>
                <w:szCs w:val="18"/>
              </w:rPr>
              <w:t>73,6%</w:t>
            </w:r>
          </w:p>
        </w:tc>
        <w:tc>
          <w:tcPr>
            <w:tcW w:w="425" w:type="dxa"/>
            <w:tcBorders>
              <w:top w:val="nil"/>
              <w:left w:val="nil"/>
              <w:bottom w:val="single" w:sz="4" w:space="0" w:color="auto"/>
              <w:right w:val="single" w:sz="4" w:space="0" w:color="auto"/>
            </w:tcBorders>
            <w:noWrap/>
            <w:vAlign w:val="center"/>
            <w:hideMark/>
          </w:tcPr>
          <w:p w:rsidR="00A64028" w:rsidRPr="00372BCB" w:rsidRDefault="00A64028" w:rsidP="00103148">
            <w:pPr>
              <w:spacing w:after="0" w:line="254" w:lineRule="auto"/>
              <w:jc w:val="center"/>
              <w:rPr>
                <w:rFonts w:ascii="Arial Narrow" w:eastAsia="Calibri" w:hAnsi="Arial Narrow"/>
                <w:sz w:val="18"/>
                <w:szCs w:val="18"/>
              </w:rPr>
            </w:pPr>
            <w:r w:rsidRPr="00372BCB">
              <w:rPr>
                <w:rFonts w:ascii="Arial Narrow" w:eastAsia="Calibri" w:hAnsi="Arial Narrow"/>
                <w:sz w:val="18"/>
                <w:szCs w:val="18"/>
              </w:rPr>
              <w:t>53,0%</w:t>
            </w:r>
          </w:p>
        </w:tc>
        <w:tc>
          <w:tcPr>
            <w:tcW w:w="708" w:type="dxa"/>
            <w:tcBorders>
              <w:top w:val="nil"/>
              <w:left w:val="nil"/>
              <w:bottom w:val="single" w:sz="4" w:space="0" w:color="auto"/>
              <w:right w:val="single" w:sz="4" w:space="0" w:color="auto"/>
            </w:tcBorders>
            <w:noWrap/>
            <w:vAlign w:val="center"/>
            <w:hideMark/>
          </w:tcPr>
          <w:p w:rsidR="00A64028" w:rsidRPr="00372BCB" w:rsidRDefault="00A64028" w:rsidP="00103148">
            <w:pPr>
              <w:spacing w:after="0" w:line="254" w:lineRule="auto"/>
              <w:jc w:val="center"/>
              <w:rPr>
                <w:rFonts w:ascii="Arial Narrow" w:eastAsia="Calibri" w:hAnsi="Arial Narrow"/>
                <w:sz w:val="18"/>
                <w:szCs w:val="18"/>
              </w:rPr>
            </w:pPr>
            <w:r w:rsidRPr="00372BCB">
              <w:rPr>
                <w:rFonts w:ascii="Arial Narrow" w:eastAsia="Calibri" w:hAnsi="Arial Narrow"/>
                <w:sz w:val="18"/>
                <w:szCs w:val="18"/>
              </w:rPr>
              <w:t>37,7%</w:t>
            </w:r>
          </w:p>
        </w:tc>
        <w:tc>
          <w:tcPr>
            <w:tcW w:w="629" w:type="dxa"/>
            <w:tcBorders>
              <w:top w:val="nil"/>
              <w:left w:val="nil"/>
              <w:bottom w:val="single" w:sz="4" w:space="0" w:color="auto"/>
              <w:right w:val="single" w:sz="4" w:space="0" w:color="auto"/>
            </w:tcBorders>
            <w:noWrap/>
            <w:vAlign w:val="center"/>
            <w:hideMark/>
          </w:tcPr>
          <w:p w:rsidR="00A64028" w:rsidRPr="00372BCB" w:rsidRDefault="00A64028" w:rsidP="00103148">
            <w:pPr>
              <w:spacing w:after="0" w:line="254" w:lineRule="auto"/>
              <w:jc w:val="center"/>
              <w:rPr>
                <w:rFonts w:ascii="Arial Narrow" w:eastAsia="Calibri" w:hAnsi="Arial Narrow"/>
                <w:sz w:val="18"/>
                <w:szCs w:val="18"/>
              </w:rPr>
            </w:pPr>
            <w:r w:rsidRPr="00372BCB">
              <w:rPr>
                <w:rFonts w:ascii="Arial Narrow" w:eastAsia="Calibri" w:hAnsi="Arial Narrow"/>
                <w:sz w:val="18"/>
                <w:szCs w:val="18"/>
              </w:rPr>
              <w:t>37,5%</w:t>
            </w:r>
          </w:p>
        </w:tc>
      </w:tr>
    </w:tbl>
    <w:p w:rsidR="00A64028" w:rsidRPr="000D5501" w:rsidRDefault="00A64028" w:rsidP="00103148">
      <w:pPr>
        <w:spacing w:after="0" w:line="360" w:lineRule="auto"/>
        <w:ind w:firstLine="284"/>
        <w:jc w:val="both"/>
        <w:rPr>
          <w:rFonts w:ascii="Arial Narrow" w:hAnsi="Arial Narrow" w:cs="Arial"/>
          <w:b/>
          <w:sz w:val="24"/>
          <w:szCs w:val="24"/>
        </w:rPr>
      </w:pPr>
      <w:r w:rsidRPr="000D5501">
        <w:rPr>
          <w:rFonts w:ascii="Arial Narrow" w:hAnsi="Arial Narrow" w:cs="Arial"/>
          <w:b/>
          <w:sz w:val="24"/>
          <w:szCs w:val="24"/>
        </w:rPr>
        <w:lastRenderedPageBreak/>
        <w:t xml:space="preserve">Значения показателя 2.3. </w:t>
      </w:r>
      <w:r w:rsidRPr="000D5501">
        <w:rPr>
          <w:rFonts w:ascii="Arial Narrow" w:hAnsi="Arial Narrow" w:cs="Arial"/>
          <w:b/>
          <w:bCs/>
          <w:sz w:val="24"/>
          <w:szCs w:val="24"/>
        </w:rPr>
        <w:t>Доля потребителей, удовлетворенных уровнем цен на социально значимых и приоритетных рынках (% от числа опрошенных потребителей)</w:t>
      </w:r>
      <w:r w:rsidRPr="000D5501">
        <w:rPr>
          <w:rFonts w:ascii="Arial Narrow" w:hAnsi="Arial Narrow" w:cs="Arial"/>
          <w:b/>
          <w:sz w:val="24"/>
          <w:szCs w:val="24"/>
        </w:rPr>
        <w:t>.</w:t>
      </w:r>
    </w:p>
    <w:p w:rsidR="00A64028" w:rsidRPr="000D5501" w:rsidRDefault="00A64028" w:rsidP="00103148">
      <w:pPr>
        <w:spacing w:after="0" w:line="360" w:lineRule="auto"/>
        <w:ind w:firstLine="284"/>
        <w:jc w:val="both"/>
        <w:rPr>
          <w:rFonts w:ascii="Arial Narrow" w:hAnsi="Arial Narrow" w:cs="Arial"/>
          <w:sz w:val="24"/>
          <w:szCs w:val="24"/>
        </w:rPr>
      </w:pPr>
      <w:r w:rsidRPr="000D5501">
        <w:rPr>
          <w:rFonts w:ascii="Arial Narrow" w:hAnsi="Arial Narrow" w:cs="Arial"/>
          <w:sz w:val="24"/>
          <w:szCs w:val="24"/>
        </w:rPr>
        <w:t xml:space="preserve">В среднем по всем социально значимым и приоритетным рынкам по Новосибирской области доля потребителей, удовлетворенных </w:t>
      </w:r>
      <w:r w:rsidRPr="000D5501">
        <w:rPr>
          <w:rFonts w:ascii="Arial Narrow" w:hAnsi="Arial Narrow" w:cs="Arial"/>
          <w:b/>
          <w:sz w:val="24"/>
          <w:szCs w:val="24"/>
        </w:rPr>
        <w:t>уровнем цен товаров, работ и услуг</w:t>
      </w:r>
      <w:r w:rsidRPr="000D5501">
        <w:rPr>
          <w:rFonts w:ascii="Arial Narrow" w:hAnsi="Arial Narrow" w:cs="Arial"/>
          <w:sz w:val="24"/>
          <w:szCs w:val="24"/>
        </w:rPr>
        <w:t xml:space="preserve">, составляет 34,1 %. По отдельным рынкам показатель варьируется от 21,2 % до 54,1 %. </w:t>
      </w:r>
    </w:p>
    <w:p w:rsidR="00A64028" w:rsidRPr="000D5501" w:rsidRDefault="00A64028" w:rsidP="00103148">
      <w:pPr>
        <w:spacing w:after="0" w:line="360" w:lineRule="auto"/>
        <w:ind w:firstLine="284"/>
        <w:jc w:val="both"/>
        <w:rPr>
          <w:rFonts w:ascii="Arial Narrow" w:hAnsi="Arial Narrow" w:cs="Arial"/>
          <w:sz w:val="24"/>
          <w:szCs w:val="24"/>
        </w:rPr>
      </w:pPr>
      <w:r w:rsidRPr="000D5501">
        <w:rPr>
          <w:rFonts w:ascii="Arial Narrow" w:hAnsi="Arial Narrow" w:cs="Arial"/>
          <w:sz w:val="24"/>
          <w:szCs w:val="24"/>
        </w:rPr>
        <w:t>Наибольшая удовлетворенность уровнем цен зафиксирована в отношении 3 рынков: рынка услуг связи (54,1 %), рынка услуг перевозок пассажиров наземным транспортом (54,3 %), рынка услуг в сфере культуры (49,8 %). На тех же рынках отмечена наибольшая удовлетворенность качеством услуг (см. показатель 2.2.), за исключением рынка розничной торговли, которому потребители дали высокие оценки качества услуг, но значительно более низкие оценки цен на услуги.</w:t>
      </w:r>
    </w:p>
    <w:p w:rsidR="00A64028" w:rsidRPr="000D5501" w:rsidRDefault="00A64028" w:rsidP="00103148">
      <w:pPr>
        <w:spacing w:after="0" w:line="360" w:lineRule="auto"/>
        <w:ind w:firstLine="284"/>
        <w:jc w:val="both"/>
        <w:rPr>
          <w:rFonts w:ascii="Arial Narrow" w:hAnsi="Arial Narrow" w:cs="Arial"/>
          <w:sz w:val="24"/>
          <w:szCs w:val="24"/>
        </w:rPr>
      </w:pPr>
      <w:r w:rsidRPr="000D5501">
        <w:rPr>
          <w:rFonts w:ascii="Arial Narrow" w:hAnsi="Arial Narrow" w:cs="Arial"/>
          <w:sz w:val="24"/>
          <w:szCs w:val="24"/>
        </w:rPr>
        <w:t>Наименее удовлетворены уровнем цен потребители следующих 6 рынков: услуг психолого-педагогического сопровождения детей с ограниченными возможностями здоровья (21,2 %), развития, производства, переработки и хранения сельскохозяйственной продукции (24,2 %), услуг по сбору, сортировке и переработке твердых коммунальных (бытовых) отходов (26,5 %), медицинских услуг (26,1 %), услуг детского отдыха и оздоровления (25,6 %), дошкольного образования (26,8 %). Аналогичным рынкам были даны и худшие оценки качества услуг, и в данную группу добавился рынок дошкольного образования.</w:t>
      </w:r>
    </w:p>
    <w:p w:rsidR="00A64028" w:rsidRPr="000D5501" w:rsidRDefault="00A64028" w:rsidP="00103148">
      <w:pPr>
        <w:spacing w:after="0" w:line="360" w:lineRule="auto"/>
        <w:ind w:firstLine="284"/>
        <w:jc w:val="both"/>
        <w:rPr>
          <w:rFonts w:ascii="Arial Narrow" w:hAnsi="Arial Narrow" w:cs="Arial"/>
          <w:sz w:val="24"/>
          <w:szCs w:val="24"/>
        </w:rPr>
      </w:pPr>
      <w:r w:rsidRPr="000D5501">
        <w:rPr>
          <w:rFonts w:ascii="Arial Narrow" w:hAnsi="Arial Narrow" w:cs="Arial"/>
          <w:sz w:val="24"/>
          <w:szCs w:val="24"/>
        </w:rPr>
        <w:t xml:space="preserve">Потребители остальных 4 социально значимых и приоритетных рынков (рынок розничной торговли, дополнительного образования детей, услуг ЖКХ (управляющих компаний), услуг социального обслуживания населения) удовлетворены качеством услуг в пределах 30,0–36,9 %, эти результаты близки к среднему значению (34,1 %). </w:t>
      </w:r>
    </w:p>
    <w:p w:rsidR="00372BCB" w:rsidRDefault="00372BCB" w:rsidP="00103148">
      <w:pPr>
        <w:spacing w:after="0"/>
        <w:rPr>
          <w:rFonts w:ascii="Arial Narrow" w:hAnsi="Arial Narrow" w:cs="Arial"/>
          <w:sz w:val="24"/>
          <w:szCs w:val="24"/>
        </w:rPr>
      </w:pPr>
    </w:p>
    <w:p w:rsidR="001820C5" w:rsidRDefault="001820C5">
      <w:pPr>
        <w:rPr>
          <w:rFonts w:ascii="Arial Narrow" w:hAnsi="Arial Narrow" w:cs="Arial"/>
          <w:sz w:val="24"/>
          <w:szCs w:val="24"/>
        </w:rPr>
      </w:pPr>
      <w:r>
        <w:rPr>
          <w:rFonts w:ascii="Arial Narrow" w:hAnsi="Arial Narrow" w:cs="Arial"/>
          <w:sz w:val="24"/>
          <w:szCs w:val="24"/>
        </w:rPr>
        <w:br w:type="page"/>
      </w:r>
    </w:p>
    <w:p w:rsidR="00A64028" w:rsidRPr="000D5501" w:rsidRDefault="00262F71" w:rsidP="00103148">
      <w:pPr>
        <w:spacing w:after="0"/>
        <w:rPr>
          <w:rFonts w:ascii="Arial Narrow" w:hAnsi="Arial Narrow" w:cs="Arial"/>
          <w:b/>
          <w:sz w:val="24"/>
          <w:szCs w:val="24"/>
        </w:rPr>
      </w:pPr>
      <w:r>
        <w:rPr>
          <w:rFonts w:ascii="Arial Narrow" w:hAnsi="Arial Narrow" w:cs="Arial"/>
          <w:sz w:val="24"/>
          <w:szCs w:val="24"/>
        </w:rPr>
        <w:lastRenderedPageBreak/>
        <w:t>Таблица 7.39.</w:t>
      </w:r>
      <w:r w:rsidR="00A64028" w:rsidRPr="000D5501">
        <w:rPr>
          <w:rFonts w:ascii="Arial Narrow" w:hAnsi="Arial Narrow" w:cs="Arial"/>
          <w:sz w:val="24"/>
          <w:szCs w:val="24"/>
        </w:rPr>
        <w:t xml:space="preserve"> – </w:t>
      </w:r>
      <w:r w:rsidR="00A64028" w:rsidRPr="000D5501">
        <w:rPr>
          <w:rFonts w:ascii="Arial Narrow" w:hAnsi="Arial Narrow" w:cs="Arial"/>
          <w:b/>
          <w:sz w:val="24"/>
          <w:szCs w:val="24"/>
        </w:rPr>
        <w:t xml:space="preserve">Значения показателя 2.3. </w:t>
      </w:r>
      <w:r w:rsidR="00A64028" w:rsidRPr="000D5501">
        <w:rPr>
          <w:rFonts w:ascii="Arial Narrow" w:hAnsi="Arial Narrow" w:cs="Arial"/>
          <w:b/>
          <w:bCs/>
          <w:sz w:val="24"/>
          <w:szCs w:val="24"/>
        </w:rPr>
        <w:t>Доля потребителей, удовлетворенных уровнем цен на социально значимых и приоритетных рынках (% от числа опрошенных потребителей)</w:t>
      </w:r>
    </w:p>
    <w:tbl>
      <w:tblPr>
        <w:tblW w:w="10348" w:type="dxa"/>
        <w:tblInd w:w="-562" w:type="dxa"/>
        <w:tblLayout w:type="fixed"/>
        <w:tblCellMar>
          <w:left w:w="0" w:type="dxa"/>
          <w:right w:w="0" w:type="dxa"/>
        </w:tblCellMar>
        <w:tblLook w:val="04A0"/>
      </w:tblPr>
      <w:tblGrid>
        <w:gridCol w:w="287"/>
        <w:gridCol w:w="1992"/>
        <w:gridCol w:w="567"/>
        <w:gridCol w:w="709"/>
        <w:gridCol w:w="566"/>
        <w:gridCol w:w="567"/>
        <w:gridCol w:w="567"/>
        <w:gridCol w:w="568"/>
        <w:gridCol w:w="487"/>
        <w:gridCol w:w="567"/>
        <w:gridCol w:w="567"/>
        <w:gridCol w:w="567"/>
        <w:gridCol w:w="567"/>
        <w:gridCol w:w="425"/>
        <w:gridCol w:w="203"/>
        <w:gridCol w:w="505"/>
        <w:gridCol w:w="637"/>
      </w:tblGrid>
      <w:tr w:rsidR="00A64028" w:rsidRPr="00507E3F" w:rsidTr="00F34DD1">
        <w:trPr>
          <w:cantSplit/>
          <w:trHeight w:val="3456"/>
        </w:trPr>
        <w:tc>
          <w:tcPr>
            <w:tcW w:w="287" w:type="dxa"/>
            <w:tcBorders>
              <w:top w:val="single" w:sz="4" w:space="0" w:color="auto"/>
              <w:left w:val="single" w:sz="4" w:space="0" w:color="auto"/>
              <w:bottom w:val="single" w:sz="4" w:space="0" w:color="auto"/>
              <w:right w:val="single" w:sz="4" w:space="0" w:color="auto"/>
            </w:tcBorders>
            <w:vAlign w:val="center"/>
            <w:hideMark/>
          </w:tcPr>
          <w:p w:rsidR="00A64028" w:rsidRPr="00507E3F" w:rsidRDefault="00A64028" w:rsidP="00103148">
            <w:pPr>
              <w:spacing w:after="0"/>
              <w:jc w:val="center"/>
              <w:rPr>
                <w:rFonts w:ascii="Arial Narrow" w:hAnsi="Arial Narrow" w:cs="Arial"/>
                <w:sz w:val="18"/>
                <w:szCs w:val="18"/>
              </w:rPr>
            </w:pPr>
            <w:r w:rsidRPr="00507E3F">
              <w:rPr>
                <w:rFonts w:ascii="Arial Narrow" w:hAnsi="Arial Narrow" w:cs="Arial"/>
                <w:sz w:val="18"/>
                <w:szCs w:val="18"/>
              </w:rPr>
              <w:t>№</w:t>
            </w:r>
          </w:p>
        </w:tc>
        <w:tc>
          <w:tcPr>
            <w:tcW w:w="1992" w:type="dxa"/>
            <w:tcBorders>
              <w:top w:val="single" w:sz="4" w:space="0" w:color="auto"/>
              <w:left w:val="nil"/>
              <w:bottom w:val="single" w:sz="4" w:space="0" w:color="auto"/>
              <w:right w:val="single" w:sz="4" w:space="0" w:color="auto"/>
            </w:tcBorders>
            <w:vAlign w:val="center"/>
            <w:hideMark/>
          </w:tcPr>
          <w:p w:rsidR="00A64028" w:rsidRPr="00507E3F" w:rsidRDefault="00A64028" w:rsidP="00F34DD1">
            <w:pPr>
              <w:spacing w:after="0" w:line="240" w:lineRule="auto"/>
              <w:ind w:left="148" w:right="131"/>
              <w:rPr>
                <w:rFonts w:ascii="Arial Narrow" w:hAnsi="Arial Narrow" w:cs="Arial"/>
                <w:sz w:val="18"/>
                <w:szCs w:val="18"/>
              </w:rPr>
            </w:pPr>
            <w:r w:rsidRPr="00507E3F">
              <w:rPr>
                <w:rFonts w:ascii="Arial Narrow" w:hAnsi="Arial Narrow" w:cs="Arial"/>
                <w:sz w:val="18"/>
                <w:szCs w:val="18"/>
              </w:rPr>
              <w:t>Наименование показателя, единица измерения</w:t>
            </w:r>
          </w:p>
        </w:tc>
        <w:tc>
          <w:tcPr>
            <w:tcW w:w="567" w:type="dxa"/>
            <w:tcBorders>
              <w:top w:val="single" w:sz="4" w:space="0" w:color="auto"/>
              <w:left w:val="nil"/>
              <w:bottom w:val="single" w:sz="4" w:space="0" w:color="auto"/>
              <w:right w:val="single" w:sz="4" w:space="0" w:color="auto"/>
            </w:tcBorders>
            <w:textDirection w:val="btLr"/>
            <w:vAlign w:val="center"/>
            <w:hideMark/>
          </w:tcPr>
          <w:p w:rsidR="00A64028" w:rsidRPr="00507E3F" w:rsidRDefault="00A64028" w:rsidP="00F34DD1">
            <w:pPr>
              <w:spacing w:after="0" w:line="240" w:lineRule="auto"/>
              <w:ind w:left="113" w:right="113"/>
              <w:jc w:val="center"/>
              <w:rPr>
                <w:rFonts w:ascii="Arial Narrow" w:hAnsi="Arial Narrow" w:cs="Arial"/>
                <w:sz w:val="18"/>
                <w:szCs w:val="18"/>
              </w:rPr>
            </w:pPr>
            <w:r w:rsidRPr="00507E3F">
              <w:rPr>
                <w:rFonts w:ascii="Arial Narrow" w:hAnsi="Arial Narrow" w:cs="Arial"/>
                <w:sz w:val="18"/>
                <w:szCs w:val="18"/>
              </w:rPr>
              <w:t>Общий по Новосибирской области</w:t>
            </w:r>
          </w:p>
        </w:tc>
        <w:tc>
          <w:tcPr>
            <w:tcW w:w="709" w:type="dxa"/>
            <w:tcBorders>
              <w:top w:val="single" w:sz="4" w:space="0" w:color="auto"/>
              <w:left w:val="nil"/>
              <w:bottom w:val="single" w:sz="4" w:space="0" w:color="auto"/>
              <w:right w:val="single" w:sz="4" w:space="0" w:color="auto"/>
            </w:tcBorders>
            <w:noWrap/>
            <w:textDirection w:val="btLr"/>
            <w:vAlign w:val="center"/>
            <w:hideMark/>
          </w:tcPr>
          <w:p w:rsidR="00A64028" w:rsidRPr="00507E3F" w:rsidRDefault="00A64028" w:rsidP="00F34DD1">
            <w:pPr>
              <w:spacing w:after="0" w:line="240" w:lineRule="auto"/>
              <w:ind w:left="113" w:right="113"/>
              <w:jc w:val="center"/>
              <w:rPr>
                <w:rFonts w:ascii="Arial Narrow" w:hAnsi="Arial Narrow" w:cs="Arial"/>
                <w:sz w:val="18"/>
                <w:szCs w:val="18"/>
              </w:rPr>
            </w:pPr>
            <w:r w:rsidRPr="00507E3F">
              <w:rPr>
                <w:rFonts w:ascii="Arial Narrow" w:hAnsi="Arial Narrow" w:cs="Arial"/>
                <w:sz w:val="18"/>
                <w:szCs w:val="18"/>
              </w:rPr>
              <w:t>Рынок услуг дошкольного образования (коммерческие детские сады и учреждения пребывания неполного дня)</w:t>
            </w:r>
          </w:p>
        </w:tc>
        <w:tc>
          <w:tcPr>
            <w:tcW w:w="566" w:type="dxa"/>
            <w:tcBorders>
              <w:top w:val="single" w:sz="4" w:space="0" w:color="auto"/>
              <w:left w:val="nil"/>
              <w:bottom w:val="single" w:sz="4" w:space="0" w:color="auto"/>
              <w:right w:val="single" w:sz="4" w:space="0" w:color="auto"/>
            </w:tcBorders>
            <w:noWrap/>
            <w:textDirection w:val="btLr"/>
            <w:vAlign w:val="center"/>
            <w:hideMark/>
          </w:tcPr>
          <w:p w:rsidR="00A64028" w:rsidRPr="00507E3F" w:rsidRDefault="00A64028" w:rsidP="00F34DD1">
            <w:pPr>
              <w:spacing w:after="0" w:line="240" w:lineRule="auto"/>
              <w:ind w:left="113" w:right="113"/>
              <w:jc w:val="center"/>
              <w:rPr>
                <w:rFonts w:ascii="Arial Narrow" w:hAnsi="Arial Narrow" w:cs="Arial"/>
                <w:sz w:val="18"/>
                <w:szCs w:val="18"/>
              </w:rPr>
            </w:pPr>
            <w:r w:rsidRPr="00507E3F">
              <w:rPr>
                <w:rFonts w:ascii="Arial Narrow" w:hAnsi="Arial Narrow" w:cs="Arial"/>
                <w:sz w:val="18"/>
                <w:szCs w:val="18"/>
              </w:rPr>
              <w:t>Рынок услуг детского отдыха и оздоровления</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507E3F" w:rsidRDefault="00A64028" w:rsidP="00F34DD1">
            <w:pPr>
              <w:spacing w:after="0" w:line="240" w:lineRule="auto"/>
              <w:ind w:left="113" w:right="113"/>
              <w:jc w:val="center"/>
              <w:rPr>
                <w:rFonts w:ascii="Arial Narrow" w:hAnsi="Arial Narrow" w:cs="Arial"/>
                <w:sz w:val="18"/>
                <w:szCs w:val="18"/>
              </w:rPr>
            </w:pPr>
            <w:r w:rsidRPr="00507E3F">
              <w:rPr>
                <w:rFonts w:ascii="Arial Narrow" w:hAnsi="Arial Narrow" w:cs="Arial"/>
                <w:sz w:val="18"/>
                <w:szCs w:val="18"/>
              </w:rPr>
              <w:t>Рынок дополнительного образования детей</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507E3F" w:rsidRDefault="00A64028" w:rsidP="00F34DD1">
            <w:pPr>
              <w:spacing w:after="0" w:line="240" w:lineRule="auto"/>
              <w:ind w:left="113" w:right="113"/>
              <w:jc w:val="center"/>
              <w:rPr>
                <w:rFonts w:ascii="Arial Narrow" w:hAnsi="Arial Narrow" w:cs="Arial"/>
                <w:sz w:val="18"/>
                <w:szCs w:val="18"/>
              </w:rPr>
            </w:pPr>
            <w:r w:rsidRPr="00507E3F">
              <w:rPr>
                <w:rFonts w:ascii="Arial Narrow" w:hAnsi="Arial Narrow" w:cs="Arial"/>
                <w:sz w:val="18"/>
                <w:szCs w:val="18"/>
              </w:rPr>
              <w:t>Рынок медицинских услуг</w:t>
            </w:r>
          </w:p>
        </w:tc>
        <w:tc>
          <w:tcPr>
            <w:tcW w:w="568" w:type="dxa"/>
            <w:tcBorders>
              <w:top w:val="single" w:sz="4" w:space="0" w:color="auto"/>
              <w:left w:val="nil"/>
              <w:bottom w:val="single" w:sz="4" w:space="0" w:color="auto"/>
              <w:right w:val="single" w:sz="4" w:space="0" w:color="auto"/>
            </w:tcBorders>
            <w:noWrap/>
            <w:textDirection w:val="btLr"/>
            <w:vAlign w:val="center"/>
            <w:hideMark/>
          </w:tcPr>
          <w:p w:rsidR="00A64028" w:rsidRPr="00507E3F" w:rsidRDefault="00A64028" w:rsidP="00F34DD1">
            <w:pPr>
              <w:spacing w:after="0" w:line="240" w:lineRule="auto"/>
              <w:ind w:left="113" w:right="113"/>
              <w:jc w:val="center"/>
              <w:rPr>
                <w:rFonts w:ascii="Arial Narrow" w:hAnsi="Arial Narrow" w:cs="Arial"/>
                <w:sz w:val="18"/>
                <w:szCs w:val="18"/>
              </w:rPr>
            </w:pPr>
            <w:r w:rsidRPr="00507E3F">
              <w:rPr>
                <w:rFonts w:ascii="Arial Narrow" w:hAnsi="Arial Narrow" w:cs="Arial"/>
                <w:sz w:val="18"/>
                <w:szCs w:val="18"/>
              </w:rPr>
              <w:t>Рынок услуг психолого-педагогического сопровождения детей с ограниченными возможностями здоровья</w:t>
            </w:r>
          </w:p>
        </w:tc>
        <w:tc>
          <w:tcPr>
            <w:tcW w:w="487" w:type="dxa"/>
            <w:tcBorders>
              <w:top w:val="single" w:sz="4" w:space="0" w:color="auto"/>
              <w:left w:val="nil"/>
              <w:bottom w:val="single" w:sz="4" w:space="0" w:color="auto"/>
              <w:right w:val="single" w:sz="4" w:space="0" w:color="auto"/>
            </w:tcBorders>
            <w:noWrap/>
            <w:textDirection w:val="btLr"/>
            <w:vAlign w:val="center"/>
            <w:hideMark/>
          </w:tcPr>
          <w:p w:rsidR="00A64028" w:rsidRPr="00507E3F" w:rsidRDefault="00A64028" w:rsidP="00F34DD1">
            <w:pPr>
              <w:spacing w:after="0" w:line="240" w:lineRule="auto"/>
              <w:ind w:left="113" w:right="113"/>
              <w:jc w:val="center"/>
              <w:rPr>
                <w:rFonts w:ascii="Arial Narrow" w:hAnsi="Arial Narrow" w:cs="Arial"/>
                <w:sz w:val="18"/>
                <w:szCs w:val="18"/>
              </w:rPr>
            </w:pPr>
            <w:r w:rsidRPr="00507E3F">
              <w:rPr>
                <w:rFonts w:ascii="Arial Narrow" w:hAnsi="Arial Narrow" w:cs="Arial"/>
                <w:sz w:val="18"/>
                <w:szCs w:val="18"/>
              </w:rPr>
              <w:t>Рынок услуг в сфере культуры</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507E3F" w:rsidRDefault="00A64028" w:rsidP="00F34DD1">
            <w:pPr>
              <w:spacing w:after="0" w:line="240" w:lineRule="auto"/>
              <w:ind w:left="113" w:right="113"/>
              <w:jc w:val="center"/>
              <w:rPr>
                <w:rFonts w:ascii="Arial Narrow" w:hAnsi="Arial Narrow" w:cs="Arial"/>
                <w:sz w:val="18"/>
                <w:szCs w:val="18"/>
              </w:rPr>
            </w:pPr>
            <w:r w:rsidRPr="00507E3F">
              <w:rPr>
                <w:rFonts w:ascii="Arial Narrow" w:hAnsi="Arial Narrow" w:cs="Arial"/>
                <w:sz w:val="18"/>
                <w:szCs w:val="18"/>
              </w:rPr>
              <w:t>Рынок услуг ЖКХ (управляющие компании)</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507E3F" w:rsidRDefault="00A64028" w:rsidP="00F34DD1">
            <w:pPr>
              <w:spacing w:after="0" w:line="240" w:lineRule="auto"/>
              <w:ind w:left="113" w:right="113"/>
              <w:jc w:val="center"/>
              <w:rPr>
                <w:rFonts w:ascii="Arial Narrow" w:hAnsi="Arial Narrow" w:cs="Arial"/>
                <w:sz w:val="18"/>
                <w:szCs w:val="18"/>
              </w:rPr>
            </w:pPr>
            <w:r w:rsidRPr="00507E3F">
              <w:rPr>
                <w:rFonts w:ascii="Arial Narrow" w:hAnsi="Arial Narrow" w:cs="Arial"/>
                <w:sz w:val="18"/>
                <w:szCs w:val="18"/>
              </w:rPr>
              <w:t>Розничная торговля (продажа продуктов питания и непродовольственных товаров)</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507E3F" w:rsidRDefault="00A64028" w:rsidP="00F34DD1">
            <w:pPr>
              <w:spacing w:after="0" w:line="240" w:lineRule="auto"/>
              <w:ind w:left="113" w:right="113"/>
              <w:jc w:val="center"/>
              <w:rPr>
                <w:rFonts w:ascii="Arial Narrow" w:hAnsi="Arial Narrow" w:cs="Arial"/>
                <w:sz w:val="18"/>
                <w:szCs w:val="18"/>
              </w:rPr>
            </w:pPr>
            <w:r w:rsidRPr="00507E3F">
              <w:rPr>
                <w:rFonts w:ascii="Arial Narrow" w:hAnsi="Arial Narrow" w:cs="Arial"/>
                <w:sz w:val="18"/>
                <w:szCs w:val="18"/>
              </w:rPr>
              <w:t>Рынок услуг перевозок пассажиров наземным транспортом (автобусные перевозки и такси)</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507E3F" w:rsidRDefault="00A64028" w:rsidP="00F34DD1">
            <w:pPr>
              <w:spacing w:after="0" w:line="240" w:lineRule="auto"/>
              <w:ind w:left="113" w:right="113"/>
              <w:jc w:val="center"/>
              <w:rPr>
                <w:rFonts w:ascii="Arial Narrow" w:hAnsi="Arial Narrow" w:cs="Arial"/>
                <w:sz w:val="18"/>
                <w:szCs w:val="18"/>
              </w:rPr>
            </w:pPr>
            <w:r w:rsidRPr="00507E3F">
              <w:rPr>
                <w:rFonts w:ascii="Arial Narrow" w:hAnsi="Arial Narrow" w:cs="Arial"/>
                <w:sz w:val="18"/>
                <w:szCs w:val="18"/>
              </w:rPr>
              <w:t>Рынок услуг связи</w:t>
            </w:r>
          </w:p>
        </w:tc>
        <w:tc>
          <w:tcPr>
            <w:tcW w:w="425" w:type="dxa"/>
            <w:tcBorders>
              <w:top w:val="single" w:sz="4" w:space="0" w:color="auto"/>
              <w:left w:val="nil"/>
              <w:bottom w:val="single" w:sz="4" w:space="0" w:color="auto"/>
              <w:right w:val="single" w:sz="4" w:space="0" w:color="auto"/>
            </w:tcBorders>
            <w:noWrap/>
            <w:textDirection w:val="btLr"/>
            <w:vAlign w:val="center"/>
            <w:hideMark/>
          </w:tcPr>
          <w:p w:rsidR="00A64028" w:rsidRPr="00507E3F" w:rsidRDefault="00A64028" w:rsidP="00F34DD1">
            <w:pPr>
              <w:spacing w:after="0" w:line="240" w:lineRule="auto"/>
              <w:ind w:left="113" w:right="113"/>
              <w:jc w:val="center"/>
              <w:rPr>
                <w:rFonts w:ascii="Arial Narrow" w:hAnsi="Arial Narrow" w:cs="Arial"/>
                <w:sz w:val="18"/>
                <w:szCs w:val="18"/>
              </w:rPr>
            </w:pPr>
            <w:r w:rsidRPr="00507E3F">
              <w:rPr>
                <w:rFonts w:ascii="Arial Narrow" w:hAnsi="Arial Narrow" w:cs="Arial"/>
                <w:sz w:val="18"/>
                <w:szCs w:val="18"/>
              </w:rPr>
              <w:t>Рынок услуг социального обслуживания населения</w:t>
            </w:r>
          </w:p>
        </w:tc>
        <w:tc>
          <w:tcPr>
            <w:tcW w:w="708" w:type="dxa"/>
            <w:gridSpan w:val="2"/>
            <w:tcBorders>
              <w:top w:val="single" w:sz="4" w:space="0" w:color="auto"/>
              <w:left w:val="nil"/>
              <w:bottom w:val="single" w:sz="4" w:space="0" w:color="auto"/>
              <w:right w:val="single" w:sz="4" w:space="0" w:color="auto"/>
            </w:tcBorders>
            <w:noWrap/>
            <w:textDirection w:val="btLr"/>
            <w:vAlign w:val="center"/>
            <w:hideMark/>
          </w:tcPr>
          <w:p w:rsidR="00A64028" w:rsidRPr="00507E3F" w:rsidRDefault="00A64028" w:rsidP="00F34DD1">
            <w:pPr>
              <w:spacing w:after="0" w:line="240" w:lineRule="auto"/>
              <w:ind w:left="113" w:right="113"/>
              <w:jc w:val="center"/>
              <w:rPr>
                <w:rFonts w:ascii="Arial Narrow" w:hAnsi="Arial Narrow" w:cs="Arial"/>
                <w:sz w:val="18"/>
                <w:szCs w:val="18"/>
              </w:rPr>
            </w:pPr>
            <w:r w:rsidRPr="00507E3F">
              <w:rPr>
                <w:rFonts w:ascii="Arial Narrow" w:hAnsi="Arial Narrow" w:cs="Arial"/>
                <w:sz w:val="18"/>
                <w:szCs w:val="18"/>
              </w:rPr>
              <w:t>Рынок развития, производства, переработки и хранения сельскохозяйственной продукции</w:t>
            </w:r>
          </w:p>
        </w:tc>
        <w:tc>
          <w:tcPr>
            <w:tcW w:w="637" w:type="dxa"/>
            <w:tcBorders>
              <w:top w:val="single" w:sz="4" w:space="0" w:color="auto"/>
              <w:left w:val="nil"/>
              <w:bottom w:val="single" w:sz="4" w:space="0" w:color="auto"/>
              <w:right w:val="single" w:sz="4" w:space="0" w:color="auto"/>
            </w:tcBorders>
            <w:noWrap/>
            <w:textDirection w:val="btLr"/>
            <w:vAlign w:val="center"/>
            <w:hideMark/>
          </w:tcPr>
          <w:p w:rsidR="00A64028" w:rsidRPr="00507E3F" w:rsidRDefault="00A64028" w:rsidP="00F34DD1">
            <w:pPr>
              <w:spacing w:after="0" w:line="240" w:lineRule="auto"/>
              <w:ind w:left="113" w:right="113"/>
              <w:jc w:val="center"/>
              <w:rPr>
                <w:rFonts w:ascii="Arial Narrow" w:hAnsi="Arial Narrow" w:cs="Arial"/>
                <w:sz w:val="18"/>
                <w:szCs w:val="18"/>
              </w:rPr>
            </w:pPr>
            <w:r w:rsidRPr="00507E3F">
              <w:rPr>
                <w:rFonts w:ascii="Arial Narrow" w:hAnsi="Arial Narrow" w:cs="Arial"/>
                <w:sz w:val="18"/>
                <w:szCs w:val="18"/>
              </w:rPr>
              <w:t>Рынок услуг по сбору, сортировке и переработке твердых коммунальных (бытовых) отходов</w:t>
            </w:r>
          </w:p>
        </w:tc>
      </w:tr>
      <w:tr w:rsidR="00A64028" w:rsidRPr="00507E3F" w:rsidTr="00F34DD1">
        <w:tc>
          <w:tcPr>
            <w:tcW w:w="287" w:type="dxa"/>
            <w:tcBorders>
              <w:top w:val="nil"/>
              <w:left w:val="single" w:sz="4" w:space="0" w:color="auto"/>
              <w:bottom w:val="single" w:sz="4" w:space="0" w:color="auto"/>
              <w:right w:val="single" w:sz="4" w:space="0" w:color="auto"/>
            </w:tcBorders>
            <w:vAlign w:val="center"/>
            <w:hideMark/>
          </w:tcPr>
          <w:p w:rsidR="00A64028" w:rsidRPr="00507E3F" w:rsidRDefault="00A64028" w:rsidP="00103148">
            <w:pPr>
              <w:spacing w:after="0"/>
              <w:jc w:val="center"/>
              <w:rPr>
                <w:rFonts w:ascii="Arial Narrow" w:hAnsi="Arial Narrow" w:cs="Arial"/>
                <w:b/>
                <w:bCs/>
                <w:sz w:val="18"/>
                <w:szCs w:val="18"/>
              </w:rPr>
            </w:pPr>
            <w:r w:rsidRPr="00507E3F">
              <w:rPr>
                <w:rFonts w:ascii="Arial Narrow" w:hAnsi="Arial Narrow" w:cs="Arial"/>
                <w:b/>
                <w:bCs/>
                <w:sz w:val="18"/>
                <w:szCs w:val="18"/>
              </w:rPr>
              <w:t>2.</w:t>
            </w:r>
          </w:p>
        </w:tc>
        <w:tc>
          <w:tcPr>
            <w:tcW w:w="10061" w:type="dxa"/>
            <w:gridSpan w:val="16"/>
            <w:tcBorders>
              <w:top w:val="single" w:sz="4" w:space="0" w:color="auto"/>
              <w:left w:val="nil"/>
              <w:bottom w:val="single" w:sz="4" w:space="0" w:color="auto"/>
              <w:right w:val="single" w:sz="4" w:space="0" w:color="000000"/>
            </w:tcBorders>
            <w:vAlign w:val="center"/>
            <w:hideMark/>
          </w:tcPr>
          <w:p w:rsidR="00A64028" w:rsidRPr="00507E3F" w:rsidRDefault="00A64028" w:rsidP="00103148">
            <w:pPr>
              <w:spacing w:after="0"/>
              <w:ind w:left="148"/>
              <w:rPr>
                <w:rFonts w:ascii="Arial Narrow" w:hAnsi="Arial Narrow" w:cs="Arial"/>
                <w:b/>
                <w:bCs/>
                <w:sz w:val="18"/>
                <w:szCs w:val="18"/>
              </w:rPr>
            </w:pPr>
            <w:r w:rsidRPr="00507E3F">
              <w:rPr>
                <w:rFonts w:ascii="Arial Narrow" w:hAnsi="Arial Narrow" w:cs="Arial"/>
                <w:b/>
                <w:bCs/>
                <w:sz w:val="18"/>
                <w:szCs w:val="18"/>
              </w:rPr>
              <w:t>Мониторинг удовлетворенности потребителей качеством товаров, работ и услуг на товарных рынках Новосибирской области и состоянием ценовой конкуренции</w:t>
            </w:r>
          </w:p>
        </w:tc>
      </w:tr>
      <w:tr w:rsidR="00A64028" w:rsidRPr="00507E3F" w:rsidTr="00F34DD1">
        <w:tc>
          <w:tcPr>
            <w:tcW w:w="287" w:type="dxa"/>
            <w:tcBorders>
              <w:top w:val="nil"/>
              <w:left w:val="single" w:sz="4" w:space="0" w:color="auto"/>
              <w:bottom w:val="single" w:sz="4" w:space="0" w:color="auto"/>
              <w:right w:val="single" w:sz="4" w:space="0" w:color="auto"/>
            </w:tcBorders>
            <w:vAlign w:val="center"/>
            <w:hideMark/>
          </w:tcPr>
          <w:p w:rsidR="00A64028" w:rsidRPr="00507E3F" w:rsidRDefault="00A64028" w:rsidP="00103148">
            <w:pPr>
              <w:spacing w:after="0"/>
              <w:jc w:val="center"/>
              <w:rPr>
                <w:rFonts w:ascii="Arial Narrow" w:hAnsi="Arial Narrow" w:cs="Arial"/>
                <w:sz w:val="18"/>
                <w:szCs w:val="18"/>
              </w:rPr>
            </w:pPr>
            <w:r w:rsidRPr="00507E3F">
              <w:rPr>
                <w:rFonts w:ascii="Arial Narrow" w:hAnsi="Arial Narrow" w:cs="Arial"/>
                <w:sz w:val="18"/>
                <w:szCs w:val="18"/>
              </w:rPr>
              <w:t>2.3.</w:t>
            </w:r>
          </w:p>
        </w:tc>
        <w:tc>
          <w:tcPr>
            <w:tcW w:w="1992" w:type="dxa"/>
            <w:tcBorders>
              <w:top w:val="nil"/>
              <w:left w:val="nil"/>
              <w:bottom w:val="single" w:sz="4" w:space="0" w:color="auto"/>
              <w:right w:val="single" w:sz="4" w:space="0" w:color="auto"/>
            </w:tcBorders>
            <w:hideMark/>
          </w:tcPr>
          <w:p w:rsidR="00A64028" w:rsidRPr="00507E3F" w:rsidRDefault="00A64028" w:rsidP="00103148">
            <w:pPr>
              <w:spacing w:after="0"/>
              <w:ind w:left="148" w:right="131"/>
              <w:rPr>
                <w:rFonts w:ascii="Arial Narrow" w:hAnsi="Arial Narrow" w:cs="Arial"/>
                <w:sz w:val="18"/>
                <w:szCs w:val="18"/>
              </w:rPr>
            </w:pPr>
            <w:r w:rsidRPr="00507E3F">
              <w:rPr>
                <w:rFonts w:ascii="Arial Narrow" w:hAnsi="Arial Narrow" w:cs="Arial"/>
                <w:bCs/>
                <w:sz w:val="18"/>
                <w:szCs w:val="18"/>
              </w:rPr>
              <w:t>Доля потребителей, удовлетворенных уровнем цен на социально значимых и приоритетных рынках (% от числа опрошенных потребителей)</w:t>
            </w:r>
          </w:p>
        </w:tc>
        <w:tc>
          <w:tcPr>
            <w:tcW w:w="567" w:type="dxa"/>
            <w:tcBorders>
              <w:top w:val="nil"/>
              <w:left w:val="nil"/>
              <w:bottom w:val="single" w:sz="4" w:space="0" w:color="auto"/>
              <w:right w:val="single" w:sz="4" w:space="0" w:color="auto"/>
            </w:tcBorders>
            <w:noWrap/>
            <w:vAlign w:val="center"/>
            <w:hideMark/>
          </w:tcPr>
          <w:p w:rsidR="00A64028" w:rsidRPr="00507E3F" w:rsidRDefault="00A64028" w:rsidP="00372BCB">
            <w:pPr>
              <w:spacing w:after="0" w:line="254" w:lineRule="auto"/>
              <w:jc w:val="center"/>
              <w:rPr>
                <w:rFonts w:ascii="Arial Narrow" w:eastAsia="Calibri" w:hAnsi="Arial Narrow"/>
                <w:sz w:val="18"/>
                <w:szCs w:val="18"/>
              </w:rPr>
            </w:pPr>
            <w:r w:rsidRPr="00507E3F">
              <w:rPr>
                <w:rFonts w:ascii="Arial Narrow" w:eastAsia="Calibri" w:hAnsi="Arial Narrow"/>
                <w:sz w:val="18"/>
                <w:szCs w:val="18"/>
              </w:rPr>
              <w:t>34,1%</w:t>
            </w:r>
          </w:p>
        </w:tc>
        <w:tc>
          <w:tcPr>
            <w:tcW w:w="709" w:type="dxa"/>
            <w:tcBorders>
              <w:top w:val="nil"/>
              <w:left w:val="nil"/>
              <w:bottom w:val="single" w:sz="4" w:space="0" w:color="auto"/>
              <w:right w:val="single" w:sz="4" w:space="0" w:color="auto"/>
            </w:tcBorders>
            <w:noWrap/>
            <w:vAlign w:val="center"/>
            <w:hideMark/>
          </w:tcPr>
          <w:p w:rsidR="00A64028" w:rsidRPr="00507E3F" w:rsidRDefault="00A64028" w:rsidP="00372BCB">
            <w:pPr>
              <w:spacing w:after="0" w:line="254" w:lineRule="auto"/>
              <w:jc w:val="center"/>
              <w:rPr>
                <w:rFonts w:ascii="Arial Narrow" w:eastAsia="Calibri" w:hAnsi="Arial Narrow"/>
                <w:sz w:val="18"/>
                <w:szCs w:val="18"/>
              </w:rPr>
            </w:pPr>
            <w:r w:rsidRPr="00507E3F">
              <w:rPr>
                <w:rFonts w:ascii="Arial Narrow" w:eastAsia="Calibri" w:hAnsi="Arial Narrow"/>
                <w:sz w:val="18"/>
                <w:szCs w:val="18"/>
              </w:rPr>
              <w:t>26,8%</w:t>
            </w:r>
          </w:p>
        </w:tc>
        <w:tc>
          <w:tcPr>
            <w:tcW w:w="566" w:type="dxa"/>
            <w:tcBorders>
              <w:top w:val="nil"/>
              <w:left w:val="nil"/>
              <w:bottom w:val="single" w:sz="4" w:space="0" w:color="auto"/>
              <w:right w:val="single" w:sz="4" w:space="0" w:color="auto"/>
            </w:tcBorders>
            <w:noWrap/>
            <w:vAlign w:val="center"/>
            <w:hideMark/>
          </w:tcPr>
          <w:p w:rsidR="00A64028" w:rsidRPr="00507E3F" w:rsidRDefault="00A64028" w:rsidP="00372BCB">
            <w:pPr>
              <w:spacing w:after="0" w:line="254" w:lineRule="auto"/>
              <w:jc w:val="center"/>
              <w:rPr>
                <w:rFonts w:ascii="Arial Narrow" w:eastAsia="Calibri" w:hAnsi="Arial Narrow"/>
                <w:sz w:val="18"/>
                <w:szCs w:val="18"/>
              </w:rPr>
            </w:pPr>
            <w:r w:rsidRPr="00507E3F">
              <w:rPr>
                <w:rFonts w:ascii="Arial Narrow" w:eastAsia="Calibri" w:hAnsi="Arial Narrow"/>
                <w:sz w:val="18"/>
                <w:szCs w:val="18"/>
              </w:rPr>
              <w:t>25,6%</w:t>
            </w:r>
          </w:p>
        </w:tc>
        <w:tc>
          <w:tcPr>
            <w:tcW w:w="567" w:type="dxa"/>
            <w:tcBorders>
              <w:top w:val="nil"/>
              <w:left w:val="nil"/>
              <w:bottom w:val="single" w:sz="4" w:space="0" w:color="auto"/>
              <w:right w:val="single" w:sz="4" w:space="0" w:color="auto"/>
            </w:tcBorders>
            <w:noWrap/>
            <w:vAlign w:val="center"/>
            <w:hideMark/>
          </w:tcPr>
          <w:p w:rsidR="00A64028" w:rsidRPr="00507E3F" w:rsidRDefault="00A64028" w:rsidP="00372BCB">
            <w:pPr>
              <w:spacing w:after="0" w:line="254" w:lineRule="auto"/>
              <w:jc w:val="center"/>
              <w:rPr>
                <w:rFonts w:ascii="Arial Narrow" w:eastAsia="Calibri" w:hAnsi="Arial Narrow"/>
                <w:sz w:val="18"/>
                <w:szCs w:val="18"/>
              </w:rPr>
            </w:pPr>
            <w:r w:rsidRPr="00507E3F">
              <w:rPr>
                <w:rFonts w:ascii="Arial Narrow" w:eastAsia="Calibri" w:hAnsi="Arial Narrow"/>
                <w:sz w:val="18"/>
                <w:szCs w:val="18"/>
              </w:rPr>
              <w:t>30,3%</w:t>
            </w:r>
          </w:p>
        </w:tc>
        <w:tc>
          <w:tcPr>
            <w:tcW w:w="567" w:type="dxa"/>
            <w:tcBorders>
              <w:top w:val="nil"/>
              <w:left w:val="nil"/>
              <w:bottom w:val="single" w:sz="4" w:space="0" w:color="auto"/>
              <w:right w:val="single" w:sz="4" w:space="0" w:color="auto"/>
            </w:tcBorders>
            <w:noWrap/>
            <w:vAlign w:val="center"/>
            <w:hideMark/>
          </w:tcPr>
          <w:p w:rsidR="00A64028" w:rsidRPr="00507E3F" w:rsidRDefault="00A64028" w:rsidP="00372BCB">
            <w:pPr>
              <w:spacing w:after="0" w:line="254" w:lineRule="auto"/>
              <w:jc w:val="center"/>
              <w:rPr>
                <w:rFonts w:ascii="Arial Narrow" w:eastAsia="Calibri" w:hAnsi="Arial Narrow"/>
                <w:sz w:val="18"/>
                <w:szCs w:val="18"/>
              </w:rPr>
            </w:pPr>
            <w:r w:rsidRPr="00507E3F">
              <w:rPr>
                <w:rFonts w:ascii="Arial Narrow" w:eastAsia="Calibri" w:hAnsi="Arial Narrow"/>
                <w:sz w:val="18"/>
                <w:szCs w:val="18"/>
              </w:rPr>
              <w:t>26,1%</w:t>
            </w:r>
          </w:p>
        </w:tc>
        <w:tc>
          <w:tcPr>
            <w:tcW w:w="568" w:type="dxa"/>
            <w:tcBorders>
              <w:top w:val="nil"/>
              <w:left w:val="nil"/>
              <w:bottom w:val="single" w:sz="4" w:space="0" w:color="auto"/>
              <w:right w:val="single" w:sz="4" w:space="0" w:color="auto"/>
            </w:tcBorders>
            <w:noWrap/>
            <w:vAlign w:val="center"/>
            <w:hideMark/>
          </w:tcPr>
          <w:p w:rsidR="00A64028" w:rsidRPr="00507E3F" w:rsidRDefault="00A64028" w:rsidP="00372BCB">
            <w:pPr>
              <w:spacing w:after="0" w:line="254" w:lineRule="auto"/>
              <w:jc w:val="center"/>
              <w:rPr>
                <w:rFonts w:ascii="Arial Narrow" w:eastAsia="Calibri" w:hAnsi="Arial Narrow"/>
                <w:sz w:val="18"/>
                <w:szCs w:val="18"/>
              </w:rPr>
            </w:pPr>
            <w:r w:rsidRPr="00507E3F">
              <w:rPr>
                <w:rFonts w:ascii="Arial Narrow" w:eastAsia="Calibri" w:hAnsi="Arial Narrow"/>
                <w:sz w:val="18"/>
                <w:szCs w:val="18"/>
              </w:rPr>
              <w:t>21,2%</w:t>
            </w:r>
          </w:p>
        </w:tc>
        <w:tc>
          <w:tcPr>
            <w:tcW w:w="487" w:type="dxa"/>
            <w:tcBorders>
              <w:top w:val="nil"/>
              <w:left w:val="nil"/>
              <w:bottom w:val="single" w:sz="4" w:space="0" w:color="auto"/>
              <w:right w:val="single" w:sz="4" w:space="0" w:color="auto"/>
            </w:tcBorders>
            <w:noWrap/>
            <w:vAlign w:val="center"/>
            <w:hideMark/>
          </w:tcPr>
          <w:p w:rsidR="00A64028" w:rsidRPr="00507E3F" w:rsidRDefault="00A64028" w:rsidP="00372BCB">
            <w:pPr>
              <w:spacing w:after="0" w:line="254" w:lineRule="auto"/>
              <w:jc w:val="center"/>
              <w:rPr>
                <w:rFonts w:ascii="Arial Narrow" w:eastAsia="Calibri" w:hAnsi="Arial Narrow"/>
                <w:sz w:val="18"/>
                <w:szCs w:val="18"/>
              </w:rPr>
            </w:pPr>
            <w:r w:rsidRPr="00507E3F">
              <w:rPr>
                <w:rFonts w:ascii="Arial Narrow" w:eastAsia="Calibri" w:hAnsi="Arial Narrow"/>
                <w:sz w:val="18"/>
                <w:szCs w:val="18"/>
              </w:rPr>
              <w:t>49,8%</w:t>
            </w:r>
          </w:p>
        </w:tc>
        <w:tc>
          <w:tcPr>
            <w:tcW w:w="567" w:type="dxa"/>
            <w:tcBorders>
              <w:top w:val="nil"/>
              <w:left w:val="nil"/>
              <w:bottom w:val="single" w:sz="4" w:space="0" w:color="auto"/>
              <w:right w:val="single" w:sz="4" w:space="0" w:color="auto"/>
            </w:tcBorders>
            <w:noWrap/>
            <w:vAlign w:val="center"/>
            <w:hideMark/>
          </w:tcPr>
          <w:p w:rsidR="00A64028" w:rsidRPr="00507E3F" w:rsidRDefault="00A64028" w:rsidP="00372BCB">
            <w:pPr>
              <w:spacing w:after="0" w:line="254" w:lineRule="auto"/>
              <w:jc w:val="center"/>
              <w:rPr>
                <w:rFonts w:ascii="Arial Narrow" w:eastAsia="Calibri" w:hAnsi="Arial Narrow"/>
                <w:sz w:val="18"/>
                <w:szCs w:val="18"/>
              </w:rPr>
            </w:pPr>
            <w:r w:rsidRPr="00507E3F">
              <w:rPr>
                <w:rFonts w:ascii="Arial Narrow" w:eastAsia="Calibri" w:hAnsi="Arial Narrow"/>
                <w:sz w:val="18"/>
                <w:szCs w:val="18"/>
              </w:rPr>
              <w:t>34,3%</w:t>
            </w:r>
          </w:p>
        </w:tc>
        <w:tc>
          <w:tcPr>
            <w:tcW w:w="567" w:type="dxa"/>
            <w:tcBorders>
              <w:top w:val="nil"/>
              <w:left w:val="nil"/>
              <w:bottom w:val="single" w:sz="4" w:space="0" w:color="auto"/>
              <w:right w:val="single" w:sz="4" w:space="0" w:color="auto"/>
            </w:tcBorders>
            <w:noWrap/>
            <w:vAlign w:val="center"/>
            <w:hideMark/>
          </w:tcPr>
          <w:p w:rsidR="00A64028" w:rsidRPr="00507E3F" w:rsidRDefault="00A64028" w:rsidP="00372BCB">
            <w:pPr>
              <w:spacing w:after="0" w:line="254" w:lineRule="auto"/>
              <w:jc w:val="center"/>
              <w:rPr>
                <w:rFonts w:ascii="Arial Narrow" w:eastAsia="Calibri" w:hAnsi="Arial Narrow"/>
                <w:sz w:val="18"/>
                <w:szCs w:val="18"/>
              </w:rPr>
            </w:pPr>
            <w:r w:rsidRPr="00507E3F">
              <w:rPr>
                <w:rFonts w:ascii="Arial Narrow" w:eastAsia="Calibri" w:hAnsi="Arial Narrow"/>
                <w:sz w:val="18"/>
                <w:szCs w:val="18"/>
              </w:rPr>
              <w:t>33,2%</w:t>
            </w:r>
          </w:p>
        </w:tc>
        <w:tc>
          <w:tcPr>
            <w:tcW w:w="567" w:type="dxa"/>
            <w:tcBorders>
              <w:top w:val="nil"/>
              <w:left w:val="nil"/>
              <w:bottom w:val="single" w:sz="4" w:space="0" w:color="auto"/>
              <w:right w:val="single" w:sz="4" w:space="0" w:color="auto"/>
            </w:tcBorders>
            <w:noWrap/>
            <w:vAlign w:val="center"/>
            <w:hideMark/>
          </w:tcPr>
          <w:p w:rsidR="00A64028" w:rsidRPr="00507E3F" w:rsidRDefault="00A64028" w:rsidP="00372BCB">
            <w:pPr>
              <w:spacing w:after="0" w:line="254" w:lineRule="auto"/>
              <w:jc w:val="center"/>
              <w:rPr>
                <w:rFonts w:ascii="Arial Narrow" w:eastAsia="Calibri" w:hAnsi="Arial Narrow"/>
                <w:sz w:val="18"/>
                <w:szCs w:val="18"/>
              </w:rPr>
            </w:pPr>
            <w:r w:rsidRPr="00507E3F">
              <w:rPr>
                <w:rFonts w:ascii="Arial Narrow" w:eastAsia="Calibri" w:hAnsi="Arial Narrow"/>
                <w:sz w:val="18"/>
                <w:szCs w:val="18"/>
              </w:rPr>
              <w:t>54,3%</w:t>
            </w:r>
          </w:p>
        </w:tc>
        <w:tc>
          <w:tcPr>
            <w:tcW w:w="567" w:type="dxa"/>
            <w:tcBorders>
              <w:top w:val="nil"/>
              <w:left w:val="nil"/>
              <w:bottom w:val="single" w:sz="4" w:space="0" w:color="auto"/>
              <w:right w:val="single" w:sz="4" w:space="0" w:color="auto"/>
            </w:tcBorders>
            <w:noWrap/>
            <w:vAlign w:val="center"/>
            <w:hideMark/>
          </w:tcPr>
          <w:p w:rsidR="00A64028" w:rsidRPr="00507E3F" w:rsidRDefault="00A64028" w:rsidP="00372BCB">
            <w:pPr>
              <w:spacing w:after="0" w:line="254" w:lineRule="auto"/>
              <w:jc w:val="center"/>
              <w:rPr>
                <w:rFonts w:ascii="Arial Narrow" w:eastAsia="Calibri" w:hAnsi="Arial Narrow"/>
                <w:sz w:val="18"/>
                <w:szCs w:val="18"/>
              </w:rPr>
            </w:pPr>
            <w:r w:rsidRPr="00507E3F">
              <w:rPr>
                <w:rFonts w:ascii="Arial Narrow" w:eastAsia="Calibri" w:hAnsi="Arial Narrow"/>
                <w:sz w:val="18"/>
                <w:szCs w:val="18"/>
              </w:rPr>
              <w:t>54,1%</w:t>
            </w:r>
          </w:p>
        </w:tc>
        <w:tc>
          <w:tcPr>
            <w:tcW w:w="628" w:type="dxa"/>
            <w:gridSpan w:val="2"/>
            <w:tcBorders>
              <w:top w:val="nil"/>
              <w:left w:val="nil"/>
              <w:bottom w:val="single" w:sz="4" w:space="0" w:color="auto"/>
              <w:right w:val="single" w:sz="4" w:space="0" w:color="auto"/>
            </w:tcBorders>
            <w:noWrap/>
            <w:vAlign w:val="center"/>
            <w:hideMark/>
          </w:tcPr>
          <w:p w:rsidR="00A64028" w:rsidRPr="00507E3F" w:rsidRDefault="00A64028" w:rsidP="00372BCB">
            <w:pPr>
              <w:spacing w:after="0" w:line="254" w:lineRule="auto"/>
              <w:jc w:val="center"/>
              <w:rPr>
                <w:rFonts w:ascii="Arial Narrow" w:eastAsia="Calibri" w:hAnsi="Arial Narrow"/>
                <w:sz w:val="18"/>
                <w:szCs w:val="18"/>
              </w:rPr>
            </w:pPr>
            <w:r w:rsidRPr="00507E3F">
              <w:rPr>
                <w:rFonts w:ascii="Arial Narrow" w:eastAsia="Calibri" w:hAnsi="Arial Narrow"/>
                <w:sz w:val="18"/>
                <w:szCs w:val="18"/>
              </w:rPr>
              <w:t>36,9%</w:t>
            </w:r>
          </w:p>
        </w:tc>
        <w:tc>
          <w:tcPr>
            <w:tcW w:w="505" w:type="dxa"/>
            <w:tcBorders>
              <w:top w:val="nil"/>
              <w:left w:val="nil"/>
              <w:bottom w:val="single" w:sz="4" w:space="0" w:color="auto"/>
              <w:right w:val="single" w:sz="4" w:space="0" w:color="auto"/>
            </w:tcBorders>
            <w:noWrap/>
            <w:vAlign w:val="center"/>
            <w:hideMark/>
          </w:tcPr>
          <w:p w:rsidR="00A64028" w:rsidRPr="00507E3F" w:rsidRDefault="00A64028" w:rsidP="00372BCB">
            <w:pPr>
              <w:spacing w:after="0" w:line="254" w:lineRule="auto"/>
              <w:jc w:val="center"/>
              <w:rPr>
                <w:rFonts w:ascii="Arial Narrow" w:eastAsia="Calibri" w:hAnsi="Arial Narrow"/>
                <w:sz w:val="18"/>
                <w:szCs w:val="18"/>
              </w:rPr>
            </w:pPr>
            <w:r w:rsidRPr="00507E3F">
              <w:rPr>
                <w:rFonts w:ascii="Arial Narrow" w:eastAsia="Calibri" w:hAnsi="Arial Narrow"/>
                <w:sz w:val="18"/>
                <w:szCs w:val="18"/>
              </w:rPr>
              <w:t>24,2%</w:t>
            </w:r>
          </w:p>
        </w:tc>
        <w:tc>
          <w:tcPr>
            <w:tcW w:w="637" w:type="dxa"/>
            <w:tcBorders>
              <w:top w:val="nil"/>
              <w:left w:val="nil"/>
              <w:bottom w:val="single" w:sz="4" w:space="0" w:color="auto"/>
              <w:right w:val="single" w:sz="4" w:space="0" w:color="auto"/>
            </w:tcBorders>
            <w:noWrap/>
            <w:vAlign w:val="center"/>
            <w:hideMark/>
          </w:tcPr>
          <w:p w:rsidR="00A64028" w:rsidRPr="00507E3F" w:rsidRDefault="00A64028" w:rsidP="00372BCB">
            <w:pPr>
              <w:spacing w:after="0" w:line="254" w:lineRule="auto"/>
              <w:jc w:val="center"/>
              <w:rPr>
                <w:rFonts w:ascii="Arial Narrow" w:eastAsia="Calibri" w:hAnsi="Arial Narrow"/>
                <w:sz w:val="18"/>
                <w:szCs w:val="18"/>
              </w:rPr>
            </w:pPr>
            <w:r w:rsidRPr="00507E3F">
              <w:rPr>
                <w:rFonts w:ascii="Arial Narrow" w:eastAsia="Calibri" w:hAnsi="Arial Narrow"/>
                <w:sz w:val="18"/>
                <w:szCs w:val="18"/>
              </w:rPr>
              <w:t>26,5%</w:t>
            </w:r>
          </w:p>
        </w:tc>
      </w:tr>
    </w:tbl>
    <w:p w:rsidR="00372BCB" w:rsidRDefault="00372BCB" w:rsidP="00103148">
      <w:pPr>
        <w:spacing w:after="0" w:line="360" w:lineRule="auto"/>
        <w:ind w:firstLine="284"/>
        <w:jc w:val="both"/>
        <w:rPr>
          <w:rFonts w:ascii="Arial Narrow" w:hAnsi="Arial Narrow" w:cs="Arial"/>
          <w:b/>
          <w:sz w:val="24"/>
          <w:szCs w:val="24"/>
        </w:rPr>
      </w:pPr>
    </w:p>
    <w:p w:rsidR="00A64028" w:rsidRPr="000D5501" w:rsidRDefault="00A64028" w:rsidP="00103148">
      <w:pPr>
        <w:spacing w:after="0" w:line="360" w:lineRule="auto"/>
        <w:ind w:firstLine="284"/>
        <w:jc w:val="both"/>
        <w:rPr>
          <w:rFonts w:ascii="Arial Narrow" w:hAnsi="Arial Narrow" w:cs="Arial"/>
          <w:b/>
          <w:sz w:val="24"/>
          <w:szCs w:val="24"/>
        </w:rPr>
      </w:pPr>
      <w:r w:rsidRPr="000D5501">
        <w:rPr>
          <w:rFonts w:ascii="Arial Narrow" w:hAnsi="Arial Narrow" w:cs="Arial"/>
          <w:b/>
          <w:sz w:val="24"/>
          <w:szCs w:val="24"/>
        </w:rPr>
        <w:t xml:space="preserve">Значения показателя 2.4. </w:t>
      </w:r>
      <w:r w:rsidRPr="000D5501">
        <w:rPr>
          <w:rFonts w:ascii="Arial Narrow" w:hAnsi="Arial Narrow" w:cs="Arial"/>
          <w:b/>
          <w:bCs/>
          <w:sz w:val="24"/>
          <w:szCs w:val="24"/>
        </w:rPr>
        <w:t>Доля потребителей, удовлетворенных возможностью выбора товаров/услуг на социально значимых и приоритетных рынках (% от числа опрошенных потребителей)</w:t>
      </w:r>
      <w:r w:rsidRPr="000D5501">
        <w:rPr>
          <w:rFonts w:ascii="Arial Narrow" w:hAnsi="Arial Narrow" w:cs="Arial"/>
          <w:b/>
          <w:sz w:val="24"/>
          <w:szCs w:val="24"/>
        </w:rPr>
        <w:t>.</w:t>
      </w:r>
    </w:p>
    <w:p w:rsidR="00A64028" w:rsidRDefault="00A64028" w:rsidP="00103148">
      <w:pPr>
        <w:spacing w:after="0" w:line="360" w:lineRule="auto"/>
        <w:ind w:firstLine="284"/>
        <w:jc w:val="both"/>
        <w:rPr>
          <w:rFonts w:ascii="Arial Narrow" w:hAnsi="Arial Narrow" w:cs="Arial"/>
          <w:sz w:val="24"/>
          <w:szCs w:val="24"/>
        </w:rPr>
      </w:pPr>
      <w:r w:rsidRPr="000D5501">
        <w:rPr>
          <w:rFonts w:ascii="Arial Narrow" w:hAnsi="Arial Narrow" w:cs="Arial"/>
          <w:sz w:val="24"/>
          <w:szCs w:val="24"/>
        </w:rPr>
        <w:t>Удовлетворенность потребителей возможностью выбора товаров/услуг является одним из важнейших показателей, характеризующих состояние конкуренции на социально значимых и приоритетных рынках. Этот показатель показывает, насколько потребителям доступны товары, работы или услуги, а возможность выбора говорит о наличии альтернативных, конкурирующих предложений.</w:t>
      </w:r>
    </w:p>
    <w:p w:rsidR="00A64028" w:rsidRPr="000D5501" w:rsidRDefault="00A64028" w:rsidP="00103148">
      <w:pPr>
        <w:spacing w:after="0" w:line="360" w:lineRule="auto"/>
        <w:ind w:firstLine="284"/>
        <w:jc w:val="both"/>
        <w:rPr>
          <w:rFonts w:ascii="Arial Narrow" w:hAnsi="Arial Narrow" w:cs="Arial"/>
          <w:sz w:val="24"/>
          <w:szCs w:val="24"/>
        </w:rPr>
      </w:pPr>
      <w:r w:rsidRPr="000D5501">
        <w:rPr>
          <w:rFonts w:ascii="Arial Narrow" w:hAnsi="Arial Narrow" w:cs="Arial"/>
          <w:sz w:val="24"/>
          <w:szCs w:val="24"/>
        </w:rPr>
        <w:t xml:space="preserve">В среднем по всем социально значимым и приоритетным рынкам по Новосибирской области доля потребителей, удовлетворенных </w:t>
      </w:r>
      <w:r w:rsidRPr="000D5501">
        <w:rPr>
          <w:rFonts w:ascii="Arial Narrow" w:hAnsi="Arial Narrow" w:cs="Arial"/>
          <w:b/>
          <w:sz w:val="24"/>
          <w:szCs w:val="24"/>
        </w:rPr>
        <w:t>возможностью выбора товаров, работ и услуг</w:t>
      </w:r>
      <w:r w:rsidRPr="000D5501">
        <w:rPr>
          <w:rFonts w:ascii="Arial Narrow" w:hAnsi="Arial Narrow" w:cs="Arial"/>
          <w:sz w:val="24"/>
          <w:szCs w:val="24"/>
        </w:rPr>
        <w:t xml:space="preserve">, составляет 48,8 %. По отдельным рынкам показатель варьируется от 31,1 % до 72,9 %. </w:t>
      </w:r>
    </w:p>
    <w:p w:rsidR="00A64028" w:rsidRPr="000D5501" w:rsidRDefault="00A64028" w:rsidP="00103148">
      <w:pPr>
        <w:spacing w:after="0" w:line="360" w:lineRule="auto"/>
        <w:ind w:firstLine="284"/>
        <w:jc w:val="both"/>
        <w:rPr>
          <w:rFonts w:ascii="Arial Narrow" w:hAnsi="Arial Narrow" w:cs="Arial"/>
          <w:sz w:val="24"/>
          <w:szCs w:val="24"/>
        </w:rPr>
      </w:pPr>
      <w:r w:rsidRPr="000D5501">
        <w:rPr>
          <w:rFonts w:ascii="Arial Narrow" w:hAnsi="Arial Narrow" w:cs="Arial"/>
          <w:sz w:val="24"/>
          <w:szCs w:val="24"/>
        </w:rPr>
        <w:t xml:space="preserve">Наибольшая удовлетворенность возможностью выбора товаров, работ и услуг зафиксирована в отношении 4 рынков: рынка розничной торговли (72,9 %), услуг связи (70,3 %), услуг перевозок пассажиров наземным транспортом (70,1%), услуг в сфере культуры (59,6 %). Это те же самые рынки, которым даны самые высокие оценки качества услуг. </w:t>
      </w:r>
    </w:p>
    <w:p w:rsidR="00A64028" w:rsidRPr="000D5501" w:rsidRDefault="00A64028" w:rsidP="00103148">
      <w:pPr>
        <w:spacing w:after="0" w:line="360" w:lineRule="auto"/>
        <w:ind w:firstLine="284"/>
        <w:jc w:val="both"/>
        <w:rPr>
          <w:rFonts w:ascii="Arial Narrow" w:hAnsi="Arial Narrow" w:cs="Arial"/>
          <w:sz w:val="24"/>
          <w:szCs w:val="24"/>
        </w:rPr>
      </w:pPr>
      <w:r w:rsidRPr="000D5501">
        <w:rPr>
          <w:rFonts w:ascii="Arial Narrow" w:hAnsi="Arial Narrow" w:cs="Arial"/>
          <w:sz w:val="24"/>
          <w:szCs w:val="24"/>
        </w:rPr>
        <w:t xml:space="preserve">Наименее удовлетворены возможностью выбора товаров, работ и услуг потребители следующих 6 рынков: услуг психолого-педагогического сопровождения детей с ограниченными возможностями здоровья (31,1 %), развития, производства, переработки и хранения сельскохозяйственной продукции (37,7 %), услуг по сбору, сортировке и переработке твердых коммунальных (бытовых) отходов (34,9 %), </w:t>
      </w:r>
      <w:r w:rsidRPr="000D5501">
        <w:rPr>
          <w:rFonts w:ascii="Arial Narrow" w:hAnsi="Arial Narrow" w:cs="Arial"/>
          <w:sz w:val="24"/>
          <w:szCs w:val="24"/>
        </w:rPr>
        <w:lastRenderedPageBreak/>
        <w:t>медицинских услуг (37,6 %), услуг детского отдыха и оздоровления (37,7 %), дошкольного образования (39,8 %). Аналогичный состав у группы рынков, которым были даны худшие оценки качества услуг.</w:t>
      </w:r>
    </w:p>
    <w:p w:rsidR="00A64028" w:rsidRPr="000D5501" w:rsidRDefault="00A64028" w:rsidP="00103148">
      <w:pPr>
        <w:spacing w:after="0" w:line="360" w:lineRule="auto"/>
        <w:ind w:firstLine="284"/>
        <w:jc w:val="both"/>
        <w:rPr>
          <w:rFonts w:ascii="Arial Narrow" w:hAnsi="Arial Narrow" w:cs="Arial"/>
          <w:sz w:val="24"/>
          <w:szCs w:val="24"/>
        </w:rPr>
      </w:pPr>
      <w:r w:rsidRPr="000D5501">
        <w:rPr>
          <w:rFonts w:ascii="Arial Narrow" w:hAnsi="Arial Narrow" w:cs="Arial"/>
          <w:sz w:val="24"/>
          <w:szCs w:val="24"/>
        </w:rPr>
        <w:t>Представители остальных 3 социально значимых и приоритетных рынков (дополнительного образования детей, услуг ЖКХ (управляющих компаний), услуг социального обслуживания населения) удовлетворены возможностью выбора товаров, работ и услуг в пределах 41,6–52,0 %, эти результаты близки к среднему значению (48,8 %).</w:t>
      </w:r>
    </w:p>
    <w:p w:rsidR="00372BCB" w:rsidRDefault="00372BCB" w:rsidP="00103148">
      <w:pPr>
        <w:spacing w:after="0"/>
        <w:rPr>
          <w:rFonts w:ascii="Arial Narrow" w:hAnsi="Arial Narrow" w:cs="Arial"/>
          <w:sz w:val="24"/>
          <w:szCs w:val="24"/>
        </w:rPr>
      </w:pPr>
    </w:p>
    <w:p w:rsidR="00A64028" w:rsidRPr="000D5501" w:rsidRDefault="00372BCB" w:rsidP="00103148">
      <w:pPr>
        <w:spacing w:after="0"/>
        <w:rPr>
          <w:rFonts w:ascii="Arial Narrow" w:hAnsi="Arial Narrow" w:cs="Arial"/>
          <w:b/>
          <w:sz w:val="24"/>
          <w:szCs w:val="24"/>
        </w:rPr>
      </w:pPr>
      <w:r>
        <w:rPr>
          <w:rFonts w:ascii="Arial Narrow" w:hAnsi="Arial Narrow" w:cs="Arial"/>
          <w:sz w:val="24"/>
          <w:szCs w:val="24"/>
        </w:rPr>
        <w:t>Таблица 7.40.</w:t>
      </w:r>
      <w:r w:rsidR="00A64028" w:rsidRPr="000D5501">
        <w:rPr>
          <w:rFonts w:ascii="Arial Narrow" w:hAnsi="Arial Narrow" w:cs="Arial"/>
          <w:sz w:val="24"/>
          <w:szCs w:val="24"/>
        </w:rPr>
        <w:t xml:space="preserve"> – </w:t>
      </w:r>
      <w:r w:rsidR="00A64028" w:rsidRPr="000D5501">
        <w:rPr>
          <w:rFonts w:ascii="Arial Narrow" w:hAnsi="Arial Narrow" w:cs="Arial"/>
          <w:b/>
          <w:sz w:val="24"/>
          <w:szCs w:val="24"/>
        </w:rPr>
        <w:t xml:space="preserve">Значения показателя 2.4. </w:t>
      </w:r>
      <w:r w:rsidR="00A64028" w:rsidRPr="000D5501">
        <w:rPr>
          <w:rFonts w:ascii="Arial Narrow" w:hAnsi="Arial Narrow" w:cs="Arial"/>
          <w:b/>
          <w:bCs/>
          <w:sz w:val="24"/>
          <w:szCs w:val="24"/>
        </w:rPr>
        <w:t>Доля потребителей, удовлетворенных возможностью выбора товаров/услуг на социально значимых и приоритетных рынках (% от числа опрошенных потребителей).</w:t>
      </w:r>
    </w:p>
    <w:tbl>
      <w:tblPr>
        <w:tblW w:w="10075" w:type="dxa"/>
        <w:tblInd w:w="-289" w:type="dxa"/>
        <w:tblLayout w:type="fixed"/>
        <w:tblCellMar>
          <w:left w:w="0" w:type="dxa"/>
          <w:right w:w="0" w:type="dxa"/>
        </w:tblCellMar>
        <w:tblLook w:val="04A0"/>
      </w:tblPr>
      <w:tblGrid>
        <w:gridCol w:w="287"/>
        <w:gridCol w:w="1850"/>
        <w:gridCol w:w="566"/>
        <w:gridCol w:w="566"/>
        <w:gridCol w:w="566"/>
        <w:gridCol w:w="566"/>
        <w:gridCol w:w="567"/>
        <w:gridCol w:w="567"/>
        <w:gridCol w:w="567"/>
        <w:gridCol w:w="567"/>
        <w:gridCol w:w="567"/>
        <w:gridCol w:w="567"/>
        <w:gridCol w:w="567"/>
        <w:gridCol w:w="567"/>
        <w:gridCol w:w="567"/>
        <w:gridCol w:w="571"/>
      </w:tblGrid>
      <w:tr w:rsidR="00A64028" w:rsidRPr="00507E3F" w:rsidTr="00F34DD1">
        <w:trPr>
          <w:cantSplit/>
          <w:trHeight w:val="3410"/>
        </w:trPr>
        <w:tc>
          <w:tcPr>
            <w:tcW w:w="287" w:type="dxa"/>
            <w:tcBorders>
              <w:top w:val="single" w:sz="4" w:space="0" w:color="auto"/>
              <w:left w:val="single" w:sz="4" w:space="0" w:color="auto"/>
              <w:bottom w:val="single" w:sz="4" w:space="0" w:color="auto"/>
              <w:right w:val="single" w:sz="4" w:space="0" w:color="auto"/>
            </w:tcBorders>
            <w:vAlign w:val="center"/>
            <w:hideMark/>
          </w:tcPr>
          <w:p w:rsidR="00A64028" w:rsidRPr="00507E3F" w:rsidRDefault="00A64028" w:rsidP="00103148">
            <w:pPr>
              <w:spacing w:after="0"/>
              <w:jc w:val="center"/>
              <w:rPr>
                <w:rFonts w:ascii="Arial Narrow" w:hAnsi="Arial Narrow" w:cs="Arial"/>
                <w:sz w:val="18"/>
                <w:szCs w:val="18"/>
              </w:rPr>
            </w:pPr>
            <w:r w:rsidRPr="00507E3F">
              <w:rPr>
                <w:rFonts w:ascii="Arial Narrow" w:hAnsi="Arial Narrow" w:cs="Arial"/>
                <w:sz w:val="18"/>
                <w:szCs w:val="18"/>
              </w:rPr>
              <w:t>№</w:t>
            </w:r>
          </w:p>
        </w:tc>
        <w:tc>
          <w:tcPr>
            <w:tcW w:w="1850" w:type="dxa"/>
            <w:tcBorders>
              <w:top w:val="single" w:sz="4" w:space="0" w:color="auto"/>
              <w:left w:val="nil"/>
              <w:bottom w:val="single" w:sz="4" w:space="0" w:color="auto"/>
              <w:right w:val="single" w:sz="4" w:space="0" w:color="auto"/>
            </w:tcBorders>
            <w:vAlign w:val="center"/>
            <w:hideMark/>
          </w:tcPr>
          <w:p w:rsidR="00A64028" w:rsidRPr="00F34DD1" w:rsidRDefault="00A64028" w:rsidP="00F34DD1">
            <w:pPr>
              <w:spacing w:after="0" w:line="240" w:lineRule="auto"/>
              <w:ind w:left="149"/>
              <w:rPr>
                <w:rFonts w:ascii="Arial Narrow" w:hAnsi="Arial Narrow" w:cs="Arial"/>
                <w:sz w:val="18"/>
                <w:szCs w:val="18"/>
              </w:rPr>
            </w:pPr>
            <w:r w:rsidRPr="00F34DD1">
              <w:rPr>
                <w:rFonts w:ascii="Arial Narrow" w:hAnsi="Arial Narrow" w:cs="Arial"/>
                <w:sz w:val="18"/>
                <w:szCs w:val="18"/>
              </w:rPr>
              <w:t>Наименование показателя, единица измерения</w:t>
            </w:r>
          </w:p>
        </w:tc>
        <w:tc>
          <w:tcPr>
            <w:tcW w:w="566" w:type="dxa"/>
            <w:tcBorders>
              <w:top w:val="single" w:sz="4" w:space="0" w:color="auto"/>
              <w:left w:val="nil"/>
              <w:bottom w:val="single" w:sz="4" w:space="0" w:color="auto"/>
              <w:right w:val="single" w:sz="4" w:space="0" w:color="auto"/>
            </w:tcBorders>
            <w:textDirection w:val="btLr"/>
            <w:vAlign w:val="center"/>
            <w:hideMark/>
          </w:tcPr>
          <w:p w:rsidR="00A64028" w:rsidRPr="00F34DD1" w:rsidRDefault="00A64028" w:rsidP="00F34DD1">
            <w:pPr>
              <w:spacing w:after="0" w:line="240" w:lineRule="auto"/>
              <w:ind w:left="113" w:right="113"/>
              <w:jc w:val="center"/>
              <w:rPr>
                <w:rFonts w:ascii="Arial Narrow" w:hAnsi="Arial Narrow" w:cs="Arial"/>
                <w:sz w:val="18"/>
                <w:szCs w:val="18"/>
              </w:rPr>
            </w:pPr>
            <w:r w:rsidRPr="00F34DD1">
              <w:rPr>
                <w:rFonts w:ascii="Arial Narrow" w:hAnsi="Arial Narrow" w:cs="Arial"/>
                <w:sz w:val="18"/>
                <w:szCs w:val="18"/>
              </w:rPr>
              <w:t>Общий по Новосибирской области</w:t>
            </w:r>
          </w:p>
        </w:tc>
        <w:tc>
          <w:tcPr>
            <w:tcW w:w="566" w:type="dxa"/>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F34DD1">
            <w:pPr>
              <w:spacing w:after="0" w:line="240" w:lineRule="auto"/>
              <w:ind w:left="113" w:right="113"/>
              <w:jc w:val="center"/>
              <w:rPr>
                <w:rFonts w:ascii="Arial Narrow" w:hAnsi="Arial Narrow" w:cs="Arial"/>
                <w:sz w:val="18"/>
                <w:szCs w:val="18"/>
              </w:rPr>
            </w:pPr>
            <w:r w:rsidRPr="00F34DD1">
              <w:rPr>
                <w:rFonts w:ascii="Arial Narrow" w:hAnsi="Arial Narrow" w:cs="Arial"/>
                <w:sz w:val="18"/>
                <w:szCs w:val="18"/>
              </w:rPr>
              <w:t>Рынок услуг дошкольного образования (коммерческие детские сады и учреждения пребывания неполного дня)</w:t>
            </w:r>
          </w:p>
        </w:tc>
        <w:tc>
          <w:tcPr>
            <w:tcW w:w="566" w:type="dxa"/>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F34DD1">
            <w:pPr>
              <w:spacing w:after="0" w:line="240" w:lineRule="auto"/>
              <w:ind w:left="113" w:right="113"/>
              <w:jc w:val="center"/>
              <w:rPr>
                <w:rFonts w:ascii="Arial Narrow" w:hAnsi="Arial Narrow" w:cs="Arial"/>
                <w:sz w:val="18"/>
                <w:szCs w:val="18"/>
              </w:rPr>
            </w:pPr>
            <w:r w:rsidRPr="00F34DD1">
              <w:rPr>
                <w:rFonts w:ascii="Arial Narrow" w:hAnsi="Arial Narrow" w:cs="Arial"/>
                <w:sz w:val="18"/>
                <w:szCs w:val="18"/>
              </w:rPr>
              <w:t>Рынок услуг детского отдыха и оздоровления</w:t>
            </w:r>
          </w:p>
        </w:tc>
        <w:tc>
          <w:tcPr>
            <w:tcW w:w="566" w:type="dxa"/>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F34DD1">
            <w:pPr>
              <w:spacing w:after="0" w:line="240" w:lineRule="auto"/>
              <w:ind w:left="113" w:right="113"/>
              <w:jc w:val="center"/>
              <w:rPr>
                <w:rFonts w:ascii="Arial Narrow" w:hAnsi="Arial Narrow" w:cs="Arial"/>
                <w:sz w:val="18"/>
                <w:szCs w:val="18"/>
              </w:rPr>
            </w:pPr>
            <w:r w:rsidRPr="00F34DD1">
              <w:rPr>
                <w:rFonts w:ascii="Arial Narrow" w:hAnsi="Arial Narrow" w:cs="Arial"/>
                <w:sz w:val="18"/>
                <w:szCs w:val="18"/>
              </w:rPr>
              <w:t>Рынок дополнительного образования детей</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F34DD1">
            <w:pPr>
              <w:spacing w:after="0" w:line="240" w:lineRule="auto"/>
              <w:ind w:left="113" w:right="113"/>
              <w:jc w:val="center"/>
              <w:rPr>
                <w:rFonts w:ascii="Arial Narrow" w:hAnsi="Arial Narrow" w:cs="Arial"/>
                <w:sz w:val="18"/>
                <w:szCs w:val="18"/>
              </w:rPr>
            </w:pPr>
            <w:r w:rsidRPr="00F34DD1">
              <w:rPr>
                <w:rFonts w:ascii="Arial Narrow" w:hAnsi="Arial Narrow" w:cs="Arial"/>
                <w:sz w:val="18"/>
                <w:szCs w:val="18"/>
              </w:rPr>
              <w:t>Рынок медицинских услуг</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F34DD1">
            <w:pPr>
              <w:spacing w:after="0" w:line="240" w:lineRule="auto"/>
              <w:ind w:left="113" w:right="113"/>
              <w:jc w:val="center"/>
              <w:rPr>
                <w:rFonts w:ascii="Arial Narrow" w:hAnsi="Arial Narrow" w:cs="Arial"/>
                <w:sz w:val="18"/>
                <w:szCs w:val="18"/>
              </w:rPr>
            </w:pPr>
            <w:r w:rsidRPr="00F34DD1">
              <w:rPr>
                <w:rFonts w:ascii="Arial Narrow" w:hAnsi="Arial Narrow" w:cs="Arial"/>
                <w:sz w:val="18"/>
                <w:szCs w:val="18"/>
              </w:rPr>
              <w:t>Рынок услуг психолого-педагогического сопровождения детей с ограниченными возможностями здоровья</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F34DD1">
            <w:pPr>
              <w:spacing w:after="0" w:line="240" w:lineRule="auto"/>
              <w:ind w:left="113" w:right="113"/>
              <w:jc w:val="center"/>
              <w:rPr>
                <w:rFonts w:ascii="Arial Narrow" w:hAnsi="Arial Narrow" w:cs="Arial"/>
                <w:sz w:val="18"/>
                <w:szCs w:val="18"/>
              </w:rPr>
            </w:pPr>
            <w:r w:rsidRPr="00F34DD1">
              <w:rPr>
                <w:rFonts w:ascii="Arial Narrow" w:hAnsi="Arial Narrow" w:cs="Arial"/>
                <w:sz w:val="18"/>
                <w:szCs w:val="18"/>
              </w:rPr>
              <w:t>Рынок услуг в сфере культуры</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F34DD1">
            <w:pPr>
              <w:spacing w:after="0" w:line="240" w:lineRule="auto"/>
              <w:ind w:left="113" w:right="113"/>
              <w:jc w:val="center"/>
              <w:rPr>
                <w:rFonts w:ascii="Arial Narrow" w:hAnsi="Arial Narrow" w:cs="Arial"/>
                <w:sz w:val="18"/>
                <w:szCs w:val="18"/>
              </w:rPr>
            </w:pPr>
            <w:r w:rsidRPr="00F34DD1">
              <w:rPr>
                <w:rFonts w:ascii="Arial Narrow" w:hAnsi="Arial Narrow" w:cs="Arial"/>
                <w:sz w:val="18"/>
                <w:szCs w:val="18"/>
              </w:rPr>
              <w:t>Рынок услуг ЖКХ (управляющие компании)</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F34DD1">
            <w:pPr>
              <w:spacing w:after="0" w:line="240" w:lineRule="auto"/>
              <w:ind w:left="113" w:right="113"/>
              <w:jc w:val="center"/>
              <w:rPr>
                <w:rFonts w:ascii="Arial Narrow" w:hAnsi="Arial Narrow" w:cs="Arial"/>
                <w:sz w:val="18"/>
                <w:szCs w:val="18"/>
              </w:rPr>
            </w:pPr>
            <w:r w:rsidRPr="00F34DD1">
              <w:rPr>
                <w:rFonts w:ascii="Arial Narrow" w:hAnsi="Arial Narrow" w:cs="Arial"/>
                <w:sz w:val="18"/>
                <w:szCs w:val="18"/>
              </w:rPr>
              <w:t>Розничная торговля (продажа продуктов питания и непродовольственных товаров)</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F34DD1">
            <w:pPr>
              <w:spacing w:after="0" w:line="240" w:lineRule="auto"/>
              <w:ind w:left="113" w:right="113"/>
              <w:jc w:val="center"/>
              <w:rPr>
                <w:rFonts w:ascii="Arial Narrow" w:hAnsi="Arial Narrow" w:cs="Arial"/>
                <w:sz w:val="18"/>
                <w:szCs w:val="18"/>
              </w:rPr>
            </w:pPr>
            <w:r w:rsidRPr="00F34DD1">
              <w:rPr>
                <w:rFonts w:ascii="Arial Narrow" w:hAnsi="Arial Narrow" w:cs="Arial"/>
                <w:sz w:val="18"/>
                <w:szCs w:val="18"/>
              </w:rPr>
              <w:t>Рынок услуг перевозок пассажиров наземным транспортом (автобусные перевозки и такси)</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F34DD1">
            <w:pPr>
              <w:spacing w:after="0" w:line="240" w:lineRule="auto"/>
              <w:ind w:left="113" w:right="113"/>
              <w:jc w:val="center"/>
              <w:rPr>
                <w:rFonts w:ascii="Arial Narrow" w:hAnsi="Arial Narrow" w:cs="Arial"/>
                <w:sz w:val="18"/>
                <w:szCs w:val="18"/>
              </w:rPr>
            </w:pPr>
            <w:r w:rsidRPr="00F34DD1">
              <w:rPr>
                <w:rFonts w:ascii="Arial Narrow" w:hAnsi="Arial Narrow" w:cs="Arial"/>
                <w:sz w:val="18"/>
                <w:szCs w:val="18"/>
              </w:rPr>
              <w:t>Рынок услуг связи</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F34DD1">
            <w:pPr>
              <w:spacing w:after="0" w:line="240" w:lineRule="auto"/>
              <w:ind w:left="113" w:right="113"/>
              <w:jc w:val="center"/>
              <w:rPr>
                <w:rFonts w:ascii="Arial Narrow" w:hAnsi="Arial Narrow" w:cs="Arial"/>
                <w:sz w:val="18"/>
                <w:szCs w:val="18"/>
              </w:rPr>
            </w:pPr>
            <w:r w:rsidRPr="00F34DD1">
              <w:rPr>
                <w:rFonts w:ascii="Arial Narrow" w:hAnsi="Arial Narrow" w:cs="Arial"/>
                <w:sz w:val="18"/>
                <w:szCs w:val="18"/>
              </w:rPr>
              <w:t>Рынок услуг социального обслуживания населения</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F34DD1">
            <w:pPr>
              <w:spacing w:after="0" w:line="240" w:lineRule="auto"/>
              <w:ind w:left="113" w:right="113"/>
              <w:jc w:val="center"/>
              <w:rPr>
                <w:rFonts w:ascii="Arial Narrow" w:hAnsi="Arial Narrow" w:cs="Arial"/>
                <w:sz w:val="18"/>
                <w:szCs w:val="18"/>
              </w:rPr>
            </w:pPr>
            <w:r w:rsidRPr="00F34DD1">
              <w:rPr>
                <w:rFonts w:ascii="Arial Narrow" w:hAnsi="Arial Narrow" w:cs="Arial"/>
                <w:sz w:val="18"/>
                <w:szCs w:val="18"/>
              </w:rPr>
              <w:t>Рынок развития, производства, переработки и хранения сельскохозяйственной продукции</w:t>
            </w:r>
          </w:p>
        </w:tc>
        <w:tc>
          <w:tcPr>
            <w:tcW w:w="571" w:type="dxa"/>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F34DD1">
            <w:pPr>
              <w:spacing w:after="0" w:line="240" w:lineRule="auto"/>
              <w:ind w:left="113" w:right="113"/>
              <w:jc w:val="center"/>
              <w:rPr>
                <w:rFonts w:ascii="Arial Narrow" w:hAnsi="Arial Narrow" w:cs="Arial"/>
                <w:sz w:val="18"/>
                <w:szCs w:val="18"/>
              </w:rPr>
            </w:pPr>
            <w:r w:rsidRPr="00F34DD1">
              <w:rPr>
                <w:rFonts w:ascii="Arial Narrow" w:hAnsi="Arial Narrow" w:cs="Arial"/>
                <w:sz w:val="18"/>
                <w:szCs w:val="18"/>
              </w:rPr>
              <w:t>Рынок услуг по сбору, сортировке и переработке твердых коммунальных (бытовых) отходов</w:t>
            </w:r>
          </w:p>
        </w:tc>
      </w:tr>
      <w:tr w:rsidR="00A64028" w:rsidRPr="00507E3F" w:rsidTr="00F34DD1">
        <w:tc>
          <w:tcPr>
            <w:tcW w:w="287" w:type="dxa"/>
            <w:tcBorders>
              <w:top w:val="nil"/>
              <w:left w:val="single" w:sz="4" w:space="0" w:color="auto"/>
              <w:bottom w:val="single" w:sz="4" w:space="0" w:color="auto"/>
              <w:right w:val="single" w:sz="4" w:space="0" w:color="auto"/>
            </w:tcBorders>
            <w:vAlign w:val="center"/>
            <w:hideMark/>
          </w:tcPr>
          <w:p w:rsidR="00A64028" w:rsidRPr="00507E3F" w:rsidRDefault="00A64028" w:rsidP="00103148">
            <w:pPr>
              <w:spacing w:after="0"/>
              <w:jc w:val="center"/>
              <w:rPr>
                <w:rFonts w:ascii="Arial Narrow" w:hAnsi="Arial Narrow" w:cs="Arial"/>
                <w:b/>
                <w:bCs/>
                <w:sz w:val="18"/>
                <w:szCs w:val="18"/>
              </w:rPr>
            </w:pPr>
            <w:r w:rsidRPr="00507E3F">
              <w:rPr>
                <w:rFonts w:ascii="Arial Narrow" w:hAnsi="Arial Narrow" w:cs="Arial"/>
                <w:b/>
                <w:bCs/>
                <w:sz w:val="18"/>
                <w:szCs w:val="18"/>
              </w:rPr>
              <w:t>2.</w:t>
            </w:r>
          </w:p>
        </w:tc>
        <w:tc>
          <w:tcPr>
            <w:tcW w:w="9788" w:type="dxa"/>
            <w:gridSpan w:val="15"/>
            <w:tcBorders>
              <w:top w:val="single" w:sz="4" w:space="0" w:color="auto"/>
              <w:left w:val="nil"/>
              <w:bottom w:val="single" w:sz="4" w:space="0" w:color="auto"/>
              <w:right w:val="single" w:sz="4" w:space="0" w:color="000000"/>
            </w:tcBorders>
            <w:vAlign w:val="center"/>
            <w:hideMark/>
          </w:tcPr>
          <w:p w:rsidR="00A64028" w:rsidRPr="00507E3F" w:rsidRDefault="00A64028" w:rsidP="00103148">
            <w:pPr>
              <w:spacing w:after="0"/>
              <w:ind w:left="148"/>
              <w:rPr>
                <w:rFonts w:ascii="Arial Narrow" w:hAnsi="Arial Narrow" w:cs="Arial"/>
                <w:b/>
                <w:bCs/>
                <w:sz w:val="18"/>
                <w:szCs w:val="18"/>
              </w:rPr>
            </w:pPr>
            <w:r w:rsidRPr="00507E3F">
              <w:rPr>
                <w:rFonts w:ascii="Arial Narrow" w:hAnsi="Arial Narrow" w:cs="Arial"/>
                <w:b/>
                <w:bCs/>
                <w:sz w:val="18"/>
                <w:szCs w:val="18"/>
              </w:rPr>
              <w:t>Мониторинг удовлетворенности потребителей качеством товаров, работ и услуг на товарных рынках Новосибирской области и состоянием ценовой конкуренции</w:t>
            </w:r>
          </w:p>
        </w:tc>
      </w:tr>
      <w:tr w:rsidR="00A64028" w:rsidRPr="00507E3F" w:rsidTr="00EB3EA8">
        <w:tc>
          <w:tcPr>
            <w:tcW w:w="287" w:type="dxa"/>
            <w:tcBorders>
              <w:top w:val="nil"/>
              <w:left w:val="single" w:sz="4" w:space="0" w:color="auto"/>
              <w:bottom w:val="single" w:sz="4" w:space="0" w:color="auto"/>
              <w:right w:val="single" w:sz="4" w:space="0" w:color="auto"/>
            </w:tcBorders>
            <w:vAlign w:val="center"/>
            <w:hideMark/>
          </w:tcPr>
          <w:p w:rsidR="00A64028" w:rsidRPr="00507E3F" w:rsidRDefault="00A64028" w:rsidP="00103148">
            <w:pPr>
              <w:spacing w:after="0"/>
              <w:jc w:val="center"/>
              <w:rPr>
                <w:rFonts w:ascii="Arial Narrow" w:hAnsi="Arial Narrow" w:cs="Arial"/>
                <w:sz w:val="18"/>
                <w:szCs w:val="18"/>
              </w:rPr>
            </w:pPr>
            <w:r w:rsidRPr="00507E3F">
              <w:rPr>
                <w:rFonts w:ascii="Arial Narrow" w:hAnsi="Arial Narrow" w:cs="Arial"/>
                <w:sz w:val="18"/>
                <w:szCs w:val="18"/>
              </w:rPr>
              <w:t>2.4.</w:t>
            </w:r>
          </w:p>
        </w:tc>
        <w:tc>
          <w:tcPr>
            <w:tcW w:w="1850" w:type="dxa"/>
            <w:tcBorders>
              <w:top w:val="nil"/>
              <w:left w:val="nil"/>
              <w:bottom w:val="single" w:sz="4" w:space="0" w:color="auto"/>
              <w:right w:val="single" w:sz="4" w:space="0" w:color="auto"/>
            </w:tcBorders>
            <w:hideMark/>
          </w:tcPr>
          <w:p w:rsidR="00A64028" w:rsidRPr="00507E3F" w:rsidRDefault="00A64028" w:rsidP="00103148">
            <w:pPr>
              <w:spacing w:after="0"/>
              <w:ind w:left="148" w:right="142"/>
              <w:rPr>
                <w:rFonts w:ascii="Arial Narrow" w:hAnsi="Arial Narrow" w:cs="Arial"/>
                <w:sz w:val="18"/>
                <w:szCs w:val="18"/>
              </w:rPr>
            </w:pPr>
            <w:r w:rsidRPr="00507E3F">
              <w:rPr>
                <w:rFonts w:ascii="Arial Narrow" w:hAnsi="Arial Narrow" w:cs="Arial"/>
                <w:bCs/>
                <w:sz w:val="18"/>
                <w:szCs w:val="18"/>
              </w:rPr>
              <w:t>Доля потребителей, удовлетворенных возможностью выбора товаров/услуг на социально значимых и приоритетных рынках (% от числа опрошенных потребителей)</w:t>
            </w:r>
          </w:p>
        </w:tc>
        <w:tc>
          <w:tcPr>
            <w:tcW w:w="566" w:type="dxa"/>
            <w:tcBorders>
              <w:top w:val="nil"/>
              <w:left w:val="nil"/>
              <w:bottom w:val="single" w:sz="4" w:space="0" w:color="auto"/>
              <w:right w:val="single" w:sz="4" w:space="0" w:color="auto"/>
            </w:tcBorders>
            <w:noWrap/>
            <w:vAlign w:val="center"/>
            <w:hideMark/>
          </w:tcPr>
          <w:p w:rsidR="00A64028" w:rsidRPr="00507E3F" w:rsidRDefault="00A64028" w:rsidP="00EB3EA8">
            <w:pPr>
              <w:spacing w:after="0" w:line="254" w:lineRule="auto"/>
              <w:jc w:val="center"/>
              <w:rPr>
                <w:rFonts w:ascii="Arial Narrow" w:eastAsia="Calibri" w:hAnsi="Arial Narrow"/>
                <w:sz w:val="18"/>
                <w:szCs w:val="18"/>
              </w:rPr>
            </w:pPr>
            <w:r w:rsidRPr="00507E3F">
              <w:rPr>
                <w:rFonts w:ascii="Arial Narrow" w:eastAsia="Calibri" w:hAnsi="Arial Narrow"/>
                <w:sz w:val="18"/>
                <w:szCs w:val="18"/>
              </w:rPr>
              <w:t>48,8%</w:t>
            </w:r>
          </w:p>
        </w:tc>
        <w:tc>
          <w:tcPr>
            <w:tcW w:w="566" w:type="dxa"/>
            <w:tcBorders>
              <w:top w:val="nil"/>
              <w:left w:val="nil"/>
              <w:bottom w:val="single" w:sz="4" w:space="0" w:color="auto"/>
              <w:right w:val="single" w:sz="4" w:space="0" w:color="auto"/>
            </w:tcBorders>
            <w:noWrap/>
            <w:vAlign w:val="center"/>
            <w:hideMark/>
          </w:tcPr>
          <w:p w:rsidR="00A64028" w:rsidRPr="00507E3F" w:rsidRDefault="00A64028" w:rsidP="00EB3EA8">
            <w:pPr>
              <w:spacing w:after="0" w:line="254" w:lineRule="auto"/>
              <w:jc w:val="center"/>
              <w:rPr>
                <w:rFonts w:ascii="Arial Narrow" w:eastAsia="Calibri" w:hAnsi="Arial Narrow"/>
                <w:sz w:val="18"/>
                <w:szCs w:val="18"/>
              </w:rPr>
            </w:pPr>
            <w:r w:rsidRPr="00507E3F">
              <w:rPr>
                <w:rFonts w:ascii="Arial Narrow" w:eastAsia="Calibri" w:hAnsi="Arial Narrow"/>
                <w:sz w:val="18"/>
                <w:szCs w:val="18"/>
              </w:rPr>
              <w:t>39,8%</w:t>
            </w:r>
          </w:p>
        </w:tc>
        <w:tc>
          <w:tcPr>
            <w:tcW w:w="566" w:type="dxa"/>
            <w:tcBorders>
              <w:top w:val="nil"/>
              <w:left w:val="nil"/>
              <w:bottom w:val="single" w:sz="4" w:space="0" w:color="auto"/>
              <w:right w:val="single" w:sz="4" w:space="0" w:color="auto"/>
            </w:tcBorders>
            <w:noWrap/>
            <w:vAlign w:val="center"/>
            <w:hideMark/>
          </w:tcPr>
          <w:p w:rsidR="00A64028" w:rsidRPr="00507E3F" w:rsidRDefault="00A64028" w:rsidP="00EB3EA8">
            <w:pPr>
              <w:spacing w:after="0" w:line="254" w:lineRule="auto"/>
              <w:jc w:val="center"/>
              <w:rPr>
                <w:rFonts w:ascii="Arial Narrow" w:eastAsia="Calibri" w:hAnsi="Arial Narrow"/>
                <w:sz w:val="18"/>
                <w:szCs w:val="18"/>
              </w:rPr>
            </w:pPr>
            <w:r w:rsidRPr="00507E3F">
              <w:rPr>
                <w:rFonts w:ascii="Arial Narrow" w:eastAsia="Calibri" w:hAnsi="Arial Narrow"/>
                <w:sz w:val="18"/>
                <w:szCs w:val="18"/>
              </w:rPr>
              <w:t>37,7%</w:t>
            </w:r>
          </w:p>
        </w:tc>
        <w:tc>
          <w:tcPr>
            <w:tcW w:w="566" w:type="dxa"/>
            <w:tcBorders>
              <w:top w:val="nil"/>
              <w:left w:val="nil"/>
              <w:bottom w:val="single" w:sz="4" w:space="0" w:color="auto"/>
              <w:right w:val="single" w:sz="4" w:space="0" w:color="auto"/>
            </w:tcBorders>
            <w:noWrap/>
            <w:vAlign w:val="center"/>
            <w:hideMark/>
          </w:tcPr>
          <w:p w:rsidR="00A64028" w:rsidRPr="00507E3F" w:rsidRDefault="00A64028" w:rsidP="00EB3EA8">
            <w:pPr>
              <w:spacing w:after="0" w:line="254" w:lineRule="auto"/>
              <w:jc w:val="center"/>
              <w:rPr>
                <w:rFonts w:ascii="Arial Narrow" w:eastAsia="Calibri" w:hAnsi="Arial Narrow"/>
                <w:sz w:val="18"/>
                <w:szCs w:val="18"/>
              </w:rPr>
            </w:pPr>
            <w:r w:rsidRPr="00507E3F">
              <w:rPr>
                <w:rFonts w:ascii="Arial Narrow" w:eastAsia="Calibri" w:hAnsi="Arial Narrow"/>
                <w:sz w:val="18"/>
                <w:szCs w:val="18"/>
              </w:rPr>
              <w:t>41,6%</w:t>
            </w:r>
          </w:p>
        </w:tc>
        <w:tc>
          <w:tcPr>
            <w:tcW w:w="567" w:type="dxa"/>
            <w:tcBorders>
              <w:top w:val="nil"/>
              <w:left w:val="nil"/>
              <w:bottom w:val="single" w:sz="4" w:space="0" w:color="auto"/>
              <w:right w:val="single" w:sz="4" w:space="0" w:color="auto"/>
            </w:tcBorders>
            <w:noWrap/>
            <w:vAlign w:val="center"/>
            <w:hideMark/>
          </w:tcPr>
          <w:p w:rsidR="00A64028" w:rsidRPr="00507E3F" w:rsidRDefault="00A64028" w:rsidP="00EB3EA8">
            <w:pPr>
              <w:spacing w:after="0" w:line="254" w:lineRule="auto"/>
              <w:jc w:val="center"/>
              <w:rPr>
                <w:rFonts w:ascii="Arial Narrow" w:eastAsia="Calibri" w:hAnsi="Arial Narrow"/>
                <w:sz w:val="18"/>
                <w:szCs w:val="18"/>
              </w:rPr>
            </w:pPr>
            <w:r w:rsidRPr="00507E3F">
              <w:rPr>
                <w:rFonts w:ascii="Arial Narrow" w:eastAsia="Calibri" w:hAnsi="Arial Narrow"/>
                <w:sz w:val="18"/>
                <w:szCs w:val="18"/>
              </w:rPr>
              <w:t>37,6%</w:t>
            </w:r>
          </w:p>
        </w:tc>
        <w:tc>
          <w:tcPr>
            <w:tcW w:w="567" w:type="dxa"/>
            <w:tcBorders>
              <w:top w:val="nil"/>
              <w:left w:val="nil"/>
              <w:bottom w:val="single" w:sz="4" w:space="0" w:color="auto"/>
              <w:right w:val="single" w:sz="4" w:space="0" w:color="auto"/>
            </w:tcBorders>
            <w:noWrap/>
            <w:vAlign w:val="center"/>
            <w:hideMark/>
          </w:tcPr>
          <w:p w:rsidR="00A64028" w:rsidRPr="00507E3F" w:rsidRDefault="00A64028" w:rsidP="00EB3EA8">
            <w:pPr>
              <w:spacing w:after="0" w:line="254" w:lineRule="auto"/>
              <w:jc w:val="center"/>
              <w:rPr>
                <w:rFonts w:ascii="Arial Narrow" w:eastAsia="Calibri" w:hAnsi="Arial Narrow"/>
                <w:sz w:val="18"/>
                <w:szCs w:val="18"/>
              </w:rPr>
            </w:pPr>
            <w:r w:rsidRPr="00507E3F">
              <w:rPr>
                <w:rFonts w:ascii="Arial Narrow" w:eastAsia="Calibri" w:hAnsi="Arial Narrow"/>
                <w:sz w:val="18"/>
                <w:szCs w:val="18"/>
              </w:rPr>
              <w:t>31,1%</w:t>
            </w:r>
          </w:p>
        </w:tc>
        <w:tc>
          <w:tcPr>
            <w:tcW w:w="567" w:type="dxa"/>
            <w:tcBorders>
              <w:top w:val="nil"/>
              <w:left w:val="nil"/>
              <w:bottom w:val="single" w:sz="4" w:space="0" w:color="auto"/>
              <w:right w:val="single" w:sz="4" w:space="0" w:color="auto"/>
            </w:tcBorders>
            <w:noWrap/>
            <w:vAlign w:val="center"/>
            <w:hideMark/>
          </w:tcPr>
          <w:p w:rsidR="00A64028" w:rsidRPr="00507E3F" w:rsidRDefault="00A64028" w:rsidP="00EB3EA8">
            <w:pPr>
              <w:spacing w:after="0" w:line="254" w:lineRule="auto"/>
              <w:jc w:val="center"/>
              <w:rPr>
                <w:rFonts w:ascii="Arial Narrow" w:eastAsia="Calibri" w:hAnsi="Arial Narrow"/>
                <w:sz w:val="18"/>
                <w:szCs w:val="18"/>
              </w:rPr>
            </w:pPr>
            <w:r w:rsidRPr="00507E3F">
              <w:rPr>
                <w:rFonts w:ascii="Arial Narrow" w:eastAsia="Calibri" w:hAnsi="Arial Narrow"/>
                <w:sz w:val="18"/>
                <w:szCs w:val="18"/>
              </w:rPr>
              <w:t>59,6%</w:t>
            </w:r>
          </w:p>
        </w:tc>
        <w:tc>
          <w:tcPr>
            <w:tcW w:w="567" w:type="dxa"/>
            <w:tcBorders>
              <w:top w:val="nil"/>
              <w:left w:val="nil"/>
              <w:bottom w:val="single" w:sz="4" w:space="0" w:color="auto"/>
              <w:right w:val="single" w:sz="4" w:space="0" w:color="auto"/>
            </w:tcBorders>
            <w:noWrap/>
            <w:vAlign w:val="center"/>
            <w:hideMark/>
          </w:tcPr>
          <w:p w:rsidR="00A64028" w:rsidRPr="00507E3F" w:rsidRDefault="00A64028" w:rsidP="00EB3EA8">
            <w:pPr>
              <w:spacing w:after="0" w:line="254" w:lineRule="auto"/>
              <w:jc w:val="center"/>
              <w:rPr>
                <w:rFonts w:ascii="Arial Narrow" w:eastAsia="Calibri" w:hAnsi="Arial Narrow"/>
                <w:sz w:val="18"/>
                <w:szCs w:val="18"/>
              </w:rPr>
            </w:pPr>
            <w:r w:rsidRPr="00507E3F">
              <w:rPr>
                <w:rFonts w:ascii="Arial Narrow" w:eastAsia="Calibri" w:hAnsi="Arial Narrow"/>
                <w:sz w:val="18"/>
                <w:szCs w:val="18"/>
              </w:rPr>
              <w:t>52,0%</w:t>
            </w:r>
          </w:p>
        </w:tc>
        <w:tc>
          <w:tcPr>
            <w:tcW w:w="567" w:type="dxa"/>
            <w:tcBorders>
              <w:top w:val="nil"/>
              <w:left w:val="nil"/>
              <w:bottom w:val="single" w:sz="4" w:space="0" w:color="auto"/>
              <w:right w:val="single" w:sz="4" w:space="0" w:color="auto"/>
            </w:tcBorders>
            <w:noWrap/>
            <w:vAlign w:val="center"/>
            <w:hideMark/>
          </w:tcPr>
          <w:p w:rsidR="00A64028" w:rsidRPr="00507E3F" w:rsidRDefault="00A64028" w:rsidP="00EB3EA8">
            <w:pPr>
              <w:spacing w:after="0" w:line="254" w:lineRule="auto"/>
              <w:jc w:val="center"/>
              <w:rPr>
                <w:rFonts w:ascii="Arial Narrow" w:eastAsia="Calibri" w:hAnsi="Arial Narrow"/>
                <w:sz w:val="18"/>
                <w:szCs w:val="18"/>
              </w:rPr>
            </w:pPr>
            <w:r w:rsidRPr="00507E3F">
              <w:rPr>
                <w:rFonts w:ascii="Arial Narrow" w:eastAsia="Calibri" w:hAnsi="Arial Narrow"/>
                <w:sz w:val="18"/>
                <w:szCs w:val="18"/>
              </w:rPr>
              <w:t>72,9%</w:t>
            </w:r>
          </w:p>
        </w:tc>
        <w:tc>
          <w:tcPr>
            <w:tcW w:w="567" w:type="dxa"/>
            <w:tcBorders>
              <w:top w:val="nil"/>
              <w:left w:val="nil"/>
              <w:bottom w:val="single" w:sz="4" w:space="0" w:color="auto"/>
              <w:right w:val="single" w:sz="4" w:space="0" w:color="auto"/>
            </w:tcBorders>
            <w:noWrap/>
            <w:vAlign w:val="center"/>
            <w:hideMark/>
          </w:tcPr>
          <w:p w:rsidR="00A64028" w:rsidRPr="00507E3F" w:rsidRDefault="00A64028" w:rsidP="00EB3EA8">
            <w:pPr>
              <w:spacing w:after="0" w:line="254" w:lineRule="auto"/>
              <w:jc w:val="center"/>
              <w:rPr>
                <w:rFonts w:ascii="Arial Narrow" w:eastAsia="Calibri" w:hAnsi="Arial Narrow"/>
                <w:sz w:val="18"/>
                <w:szCs w:val="18"/>
              </w:rPr>
            </w:pPr>
            <w:r w:rsidRPr="00507E3F">
              <w:rPr>
                <w:rFonts w:ascii="Arial Narrow" w:eastAsia="Calibri" w:hAnsi="Arial Narrow"/>
                <w:sz w:val="18"/>
                <w:szCs w:val="18"/>
              </w:rPr>
              <w:t>70,1%</w:t>
            </w:r>
          </w:p>
        </w:tc>
        <w:tc>
          <w:tcPr>
            <w:tcW w:w="567" w:type="dxa"/>
            <w:tcBorders>
              <w:top w:val="nil"/>
              <w:left w:val="nil"/>
              <w:bottom w:val="single" w:sz="4" w:space="0" w:color="auto"/>
              <w:right w:val="single" w:sz="4" w:space="0" w:color="auto"/>
            </w:tcBorders>
            <w:noWrap/>
            <w:vAlign w:val="center"/>
            <w:hideMark/>
          </w:tcPr>
          <w:p w:rsidR="00A64028" w:rsidRPr="00507E3F" w:rsidRDefault="00A64028" w:rsidP="00EB3EA8">
            <w:pPr>
              <w:spacing w:after="0" w:line="254" w:lineRule="auto"/>
              <w:jc w:val="center"/>
              <w:rPr>
                <w:rFonts w:ascii="Arial Narrow" w:eastAsia="Calibri" w:hAnsi="Arial Narrow"/>
                <w:sz w:val="18"/>
                <w:szCs w:val="18"/>
              </w:rPr>
            </w:pPr>
            <w:r w:rsidRPr="00507E3F">
              <w:rPr>
                <w:rFonts w:ascii="Arial Narrow" w:eastAsia="Calibri" w:hAnsi="Arial Narrow"/>
                <w:sz w:val="18"/>
                <w:szCs w:val="18"/>
              </w:rPr>
              <w:t>70,3%</w:t>
            </w:r>
          </w:p>
        </w:tc>
        <w:tc>
          <w:tcPr>
            <w:tcW w:w="567" w:type="dxa"/>
            <w:tcBorders>
              <w:top w:val="nil"/>
              <w:left w:val="nil"/>
              <w:bottom w:val="single" w:sz="4" w:space="0" w:color="auto"/>
              <w:right w:val="single" w:sz="4" w:space="0" w:color="auto"/>
            </w:tcBorders>
            <w:noWrap/>
            <w:vAlign w:val="center"/>
            <w:hideMark/>
          </w:tcPr>
          <w:p w:rsidR="00A64028" w:rsidRPr="00507E3F" w:rsidRDefault="00A64028" w:rsidP="00EB3EA8">
            <w:pPr>
              <w:spacing w:after="0" w:line="254" w:lineRule="auto"/>
              <w:jc w:val="center"/>
              <w:rPr>
                <w:rFonts w:ascii="Arial Narrow" w:eastAsia="Calibri" w:hAnsi="Arial Narrow"/>
                <w:sz w:val="18"/>
                <w:szCs w:val="18"/>
              </w:rPr>
            </w:pPr>
            <w:r w:rsidRPr="00507E3F">
              <w:rPr>
                <w:rFonts w:ascii="Arial Narrow" w:eastAsia="Calibri" w:hAnsi="Arial Narrow"/>
                <w:sz w:val="18"/>
                <w:szCs w:val="18"/>
              </w:rPr>
              <w:t>49,1%</w:t>
            </w:r>
          </w:p>
        </w:tc>
        <w:tc>
          <w:tcPr>
            <w:tcW w:w="567" w:type="dxa"/>
            <w:tcBorders>
              <w:top w:val="nil"/>
              <w:left w:val="nil"/>
              <w:bottom w:val="single" w:sz="4" w:space="0" w:color="auto"/>
              <w:right w:val="single" w:sz="4" w:space="0" w:color="auto"/>
            </w:tcBorders>
            <w:noWrap/>
            <w:vAlign w:val="center"/>
            <w:hideMark/>
          </w:tcPr>
          <w:p w:rsidR="00A64028" w:rsidRPr="00507E3F" w:rsidRDefault="00A64028" w:rsidP="00EB3EA8">
            <w:pPr>
              <w:spacing w:after="0" w:line="254" w:lineRule="auto"/>
              <w:jc w:val="center"/>
              <w:rPr>
                <w:rFonts w:ascii="Arial Narrow" w:eastAsia="Calibri" w:hAnsi="Arial Narrow"/>
                <w:sz w:val="18"/>
                <w:szCs w:val="18"/>
              </w:rPr>
            </w:pPr>
            <w:r w:rsidRPr="00507E3F">
              <w:rPr>
                <w:rFonts w:ascii="Arial Narrow" w:eastAsia="Calibri" w:hAnsi="Arial Narrow"/>
                <w:sz w:val="18"/>
                <w:szCs w:val="18"/>
              </w:rPr>
              <w:t>37,7%</w:t>
            </w:r>
          </w:p>
        </w:tc>
        <w:tc>
          <w:tcPr>
            <w:tcW w:w="571" w:type="dxa"/>
            <w:tcBorders>
              <w:top w:val="nil"/>
              <w:left w:val="nil"/>
              <w:bottom w:val="single" w:sz="4" w:space="0" w:color="auto"/>
              <w:right w:val="single" w:sz="4" w:space="0" w:color="auto"/>
            </w:tcBorders>
            <w:noWrap/>
            <w:vAlign w:val="center"/>
            <w:hideMark/>
          </w:tcPr>
          <w:p w:rsidR="00A64028" w:rsidRPr="00507E3F" w:rsidRDefault="00A64028" w:rsidP="00EB3EA8">
            <w:pPr>
              <w:spacing w:after="0" w:line="254" w:lineRule="auto"/>
              <w:jc w:val="center"/>
              <w:rPr>
                <w:rFonts w:ascii="Arial Narrow" w:eastAsia="Calibri" w:hAnsi="Arial Narrow"/>
                <w:sz w:val="18"/>
                <w:szCs w:val="18"/>
              </w:rPr>
            </w:pPr>
            <w:r w:rsidRPr="00507E3F">
              <w:rPr>
                <w:rFonts w:ascii="Arial Narrow" w:eastAsia="Calibri" w:hAnsi="Arial Narrow"/>
                <w:sz w:val="18"/>
                <w:szCs w:val="18"/>
              </w:rPr>
              <w:t>34,9%</w:t>
            </w:r>
          </w:p>
        </w:tc>
      </w:tr>
    </w:tbl>
    <w:p w:rsidR="00EB3EA8" w:rsidRDefault="00EB3EA8" w:rsidP="00103148">
      <w:pPr>
        <w:spacing w:after="0" w:line="360" w:lineRule="auto"/>
        <w:ind w:firstLine="284"/>
        <w:jc w:val="both"/>
        <w:rPr>
          <w:rFonts w:ascii="Arial Narrow" w:hAnsi="Arial Narrow" w:cs="Arial"/>
          <w:sz w:val="24"/>
          <w:szCs w:val="24"/>
        </w:rPr>
      </w:pPr>
    </w:p>
    <w:p w:rsidR="00A64028" w:rsidRPr="000D5501" w:rsidRDefault="00A64028" w:rsidP="00103148">
      <w:pPr>
        <w:spacing w:after="0" w:line="360" w:lineRule="auto"/>
        <w:ind w:firstLine="284"/>
        <w:jc w:val="both"/>
        <w:rPr>
          <w:rFonts w:ascii="Arial Narrow" w:hAnsi="Arial Narrow" w:cs="Arial"/>
          <w:sz w:val="24"/>
          <w:szCs w:val="24"/>
        </w:rPr>
      </w:pPr>
      <w:r w:rsidRPr="000D5501">
        <w:rPr>
          <w:rFonts w:ascii="Arial Narrow" w:hAnsi="Arial Narrow" w:cs="Arial"/>
          <w:sz w:val="24"/>
          <w:szCs w:val="24"/>
        </w:rPr>
        <w:t>В целом удовлетворенность потребителей качеством и возможностью выбора товаров, работ и услуг оценена в одном ключе для каждого из социально значимых и приоритетных рынков. Удовлетворенность стоимостью товаров, работ и услуг на социально значимых и приоритетных рынках пропорциональна оценке качества данных услуг (качество благоприятно оценивается в среднем в 1,5–2 раза выше, чем удовлетворенность ценой).</w:t>
      </w:r>
    </w:p>
    <w:p w:rsidR="00A64028" w:rsidRPr="000D5501" w:rsidRDefault="00A64028" w:rsidP="00103148">
      <w:pPr>
        <w:spacing w:after="0" w:line="360" w:lineRule="auto"/>
        <w:ind w:firstLine="284"/>
        <w:jc w:val="both"/>
        <w:rPr>
          <w:rFonts w:ascii="Arial Narrow" w:hAnsi="Arial Narrow" w:cs="Arial"/>
          <w:b/>
          <w:sz w:val="24"/>
          <w:szCs w:val="24"/>
        </w:rPr>
      </w:pPr>
      <w:r w:rsidRPr="000D5501">
        <w:rPr>
          <w:rFonts w:ascii="Arial Narrow" w:hAnsi="Arial Narrow" w:cs="Arial"/>
          <w:b/>
          <w:sz w:val="24"/>
          <w:szCs w:val="24"/>
        </w:rPr>
        <w:t xml:space="preserve">Значения показателя 2.5. </w:t>
      </w:r>
      <w:r w:rsidRPr="000D5501">
        <w:rPr>
          <w:rFonts w:ascii="Arial Narrow" w:hAnsi="Arial Narrow" w:cs="Arial"/>
          <w:b/>
          <w:bCs/>
          <w:sz w:val="24"/>
          <w:szCs w:val="24"/>
        </w:rPr>
        <w:t>Оценка изменения качества, цен, возможности выбора товаров/услуг на социально значимых и приоритетных рынках (% от числа опрошенных потребителей).</w:t>
      </w:r>
    </w:p>
    <w:p w:rsidR="00A64028" w:rsidRPr="000D5501" w:rsidRDefault="00A64028" w:rsidP="00103148">
      <w:pPr>
        <w:spacing w:after="0" w:line="360" w:lineRule="auto"/>
        <w:ind w:firstLine="284"/>
        <w:jc w:val="both"/>
        <w:rPr>
          <w:rFonts w:ascii="Arial Narrow" w:hAnsi="Arial Narrow" w:cs="Arial"/>
          <w:sz w:val="24"/>
          <w:szCs w:val="24"/>
        </w:rPr>
      </w:pPr>
      <w:r w:rsidRPr="000D5501">
        <w:rPr>
          <w:rFonts w:ascii="Arial Narrow" w:hAnsi="Arial Narrow" w:cs="Arial"/>
          <w:sz w:val="24"/>
          <w:szCs w:val="24"/>
        </w:rPr>
        <w:t xml:space="preserve">Изменения качества товаров, работ и услуг, предоставляемых организациями, ведущими деятельность на социально значимых и приоритетных рынках, за последние 3 года потребители чаще </w:t>
      </w:r>
      <w:r w:rsidRPr="000D5501">
        <w:rPr>
          <w:rFonts w:ascii="Arial Narrow" w:hAnsi="Arial Narrow" w:cs="Arial"/>
          <w:sz w:val="24"/>
          <w:szCs w:val="24"/>
        </w:rPr>
        <w:lastRenderedPageBreak/>
        <w:t>всего не замечали. В среднем по всем социально значимым и приоритетным рынкам оно осталось без изменений для 48,7 % респондентов. Качество улучшилось, по мнению 17,8 % опрошенных, и снизилось, по словам 10,7 % потребителей. Для некоторых рынков зафиксированы значительные отклонения от средних значений. Так, о снижении качества услуг чаще говорили потребители медицинских услуг (24,6 %) и услуг по сбору, сортировке и переработке твердых коммунальных (бытовых) отходов (20,0 %). Улучшение качества услуг чаще остальных отмечалось в отношении рынка развития, производства, переработки и хранения сельскохозяйственной продукции (69,9 %).</w:t>
      </w:r>
    </w:p>
    <w:p w:rsidR="00A64028" w:rsidRPr="000D5501" w:rsidRDefault="00A64028" w:rsidP="00103148">
      <w:pPr>
        <w:spacing w:after="0" w:line="360" w:lineRule="auto"/>
        <w:ind w:firstLine="284"/>
        <w:jc w:val="both"/>
        <w:rPr>
          <w:rFonts w:ascii="Arial Narrow" w:hAnsi="Arial Narrow" w:cs="Arial"/>
          <w:sz w:val="24"/>
          <w:szCs w:val="24"/>
        </w:rPr>
      </w:pPr>
      <w:r w:rsidRPr="000D5501">
        <w:rPr>
          <w:rFonts w:ascii="Arial Narrow" w:hAnsi="Arial Narrow" w:cs="Arial"/>
          <w:sz w:val="24"/>
          <w:szCs w:val="24"/>
        </w:rPr>
        <w:t>Не заметили изменения цен на товары, работы и услуги на социально значимых и приоритетных рынках за последние 3 года в среднем всего 18,0 % потребителей. Рост цен отмечают 47,3 % опрошенных. Снижение – 15,3 %. Как правило, самая распространенная ситуация для всех рынков – это рост цен, которую особенно активно отметили потребители медицинских услуг (51,4 %), услуг ЖКХ (управляющих компаний) (59,2 %), рынка розничной торговли (64,6 %), услуг перевозок пассажиров наземным транспортом (53,1 %), услуг связи (54,0 %), рынка развития, производства, переработки и хранения сельскохозяйственной продукции (74,2 %), а также фармацевтического сегмента рынка розничной торговли (64,7 %). Активнее всего высказывалось мнение об отсутствии изменения цен за последние 3 года в отношении рынка услуг в сфере культуры (28,1 %). Также следует отметить, что 23,0 % потребителей услуг розничной торговли говорят о снижении цен за последние 2 года.</w:t>
      </w:r>
    </w:p>
    <w:p w:rsidR="00A64028" w:rsidRPr="000D5501" w:rsidRDefault="00A64028" w:rsidP="00103148">
      <w:pPr>
        <w:spacing w:after="0" w:line="360" w:lineRule="auto"/>
        <w:ind w:firstLine="284"/>
        <w:jc w:val="both"/>
        <w:rPr>
          <w:rFonts w:ascii="Arial Narrow" w:hAnsi="Arial Narrow" w:cs="Arial"/>
          <w:sz w:val="24"/>
          <w:szCs w:val="24"/>
        </w:rPr>
      </w:pPr>
      <w:r w:rsidRPr="000D5501">
        <w:rPr>
          <w:rFonts w:ascii="Arial Narrow" w:hAnsi="Arial Narrow" w:cs="Arial"/>
          <w:sz w:val="24"/>
          <w:szCs w:val="24"/>
        </w:rPr>
        <w:t xml:space="preserve">Для большинства потребителей большинства рынков также не изменилась возможность выбора товаров, работа и услуг, предоставляемых на социально значимых и приоритетных рынках (54,9 % в среднем по области, значения по отдельным рынкам колеблются от 9,6 % до 70,1 %). Считают, что возможность выбора увеличилась, в среднем 23,6 % опрошенных (для отдельных рынков – от 8,3 % до 71,4 %), и уменьшилась – всего 6,3 % респондентов (значения по отдельным рынкам варьируются в пределах от 3,5 % до 17,1 %). О значительном увеличении возможности выбора товаров, работ и услуг говорят потребители рынков розничной торговли (41,1 %) и развития, производства, переработки и хранения сельскохозяйственной продукции (71,4 %). </w:t>
      </w:r>
    </w:p>
    <w:p w:rsidR="001820C5" w:rsidRDefault="001820C5">
      <w:pPr>
        <w:rPr>
          <w:rFonts w:ascii="Arial Narrow" w:hAnsi="Arial Narrow" w:cs="Arial"/>
          <w:sz w:val="24"/>
          <w:szCs w:val="24"/>
        </w:rPr>
      </w:pPr>
      <w:r>
        <w:rPr>
          <w:rFonts w:ascii="Arial Narrow" w:hAnsi="Arial Narrow" w:cs="Arial"/>
          <w:sz w:val="24"/>
          <w:szCs w:val="24"/>
        </w:rPr>
        <w:br w:type="page"/>
      </w:r>
    </w:p>
    <w:p w:rsidR="00A64028" w:rsidRPr="000D5501" w:rsidRDefault="00372BCB" w:rsidP="00103148">
      <w:pPr>
        <w:spacing w:after="0"/>
        <w:rPr>
          <w:rFonts w:ascii="Arial Narrow" w:hAnsi="Arial Narrow" w:cs="Arial"/>
          <w:b/>
          <w:sz w:val="24"/>
          <w:szCs w:val="24"/>
        </w:rPr>
      </w:pPr>
      <w:r>
        <w:rPr>
          <w:rFonts w:ascii="Arial Narrow" w:hAnsi="Arial Narrow" w:cs="Arial"/>
          <w:sz w:val="24"/>
          <w:szCs w:val="24"/>
        </w:rPr>
        <w:lastRenderedPageBreak/>
        <w:t>Таблица 7.41</w:t>
      </w:r>
      <w:r w:rsidR="00262F71">
        <w:rPr>
          <w:rFonts w:ascii="Arial Narrow" w:hAnsi="Arial Narrow" w:cs="Arial"/>
          <w:sz w:val="24"/>
          <w:szCs w:val="24"/>
        </w:rPr>
        <w:t>.</w:t>
      </w:r>
      <w:r w:rsidR="00A64028" w:rsidRPr="000D5501">
        <w:rPr>
          <w:rFonts w:ascii="Arial Narrow" w:hAnsi="Arial Narrow" w:cs="Arial"/>
          <w:sz w:val="24"/>
          <w:szCs w:val="24"/>
        </w:rPr>
        <w:t xml:space="preserve"> – </w:t>
      </w:r>
      <w:r w:rsidR="00A64028" w:rsidRPr="000D5501">
        <w:rPr>
          <w:rFonts w:ascii="Arial Narrow" w:hAnsi="Arial Narrow" w:cs="Arial"/>
          <w:b/>
          <w:sz w:val="24"/>
          <w:szCs w:val="24"/>
        </w:rPr>
        <w:t xml:space="preserve">Значения показателя 2.5. </w:t>
      </w:r>
      <w:r w:rsidR="00A64028" w:rsidRPr="000D5501">
        <w:rPr>
          <w:rFonts w:ascii="Arial Narrow" w:hAnsi="Arial Narrow" w:cs="Arial"/>
          <w:b/>
          <w:bCs/>
          <w:sz w:val="24"/>
          <w:szCs w:val="24"/>
        </w:rPr>
        <w:t>Оценка изменения качества, цен, возможности выбора товаров/услуг на социально значимых и приоритетных рынках (% от числа опрошенных потребителей).</w:t>
      </w:r>
    </w:p>
    <w:tbl>
      <w:tblPr>
        <w:tblW w:w="10079" w:type="dxa"/>
        <w:tblInd w:w="-289" w:type="dxa"/>
        <w:tblLayout w:type="fixed"/>
        <w:tblCellMar>
          <w:left w:w="0" w:type="dxa"/>
          <w:right w:w="0" w:type="dxa"/>
        </w:tblCellMar>
        <w:tblLook w:val="04A0"/>
      </w:tblPr>
      <w:tblGrid>
        <w:gridCol w:w="287"/>
        <w:gridCol w:w="572"/>
        <w:gridCol w:w="1265"/>
        <w:gridCol w:w="438"/>
        <w:gridCol w:w="567"/>
        <w:gridCol w:w="510"/>
        <w:gridCol w:w="469"/>
        <w:gridCol w:w="523"/>
        <w:gridCol w:w="567"/>
        <w:gridCol w:w="567"/>
        <w:gridCol w:w="464"/>
        <w:gridCol w:w="563"/>
        <w:gridCol w:w="572"/>
        <w:gridCol w:w="527"/>
        <w:gridCol w:w="567"/>
        <w:gridCol w:w="567"/>
        <w:gridCol w:w="573"/>
        <w:gridCol w:w="481"/>
      </w:tblGrid>
      <w:tr w:rsidR="00A64028" w:rsidRPr="00507E3F" w:rsidTr="00EB3EA8">
        <w:trPr>
          <w:cantSplit/>
          <w:trHeight w:val="3632"/>
        </w:trPr>
        <w:tc>
          <w:tcPr>
            <w:tcW w:w="287" w:type="dxa"/>
            <w:tcBorders>
              <w:top w:val="single" w:sz="4" w:space="0" w:color="auto"/>
              <w:left w:val="single" w:sz="4" w:space="0" w:color="auto"/>
              <w:bottom w:val="single" w:sz="4" w:space="0" w:color="auto"/>
              <w:right w:val="single" w:sz="4" w:space="0" w:color="auto"/>
            </w:tcBorders>
            <w:vAlign w:val="center"/>
            <w:hideMark/>
          </w:tcPr>
          <w:p w:rsidR="00A64028" w:rsidRPr="00507E3F" w:rsidRDefault="00A64028" w:rsidP="00103148">
            <w:pPr>
              <w:spacing w:after="0"/>
              <w:jc w:val="center"/>
              <w:rPr>
                <w:rFonts w:ascii="Arial Narrow" w:hAnsi="Arial Narrow" w:cs="Arial"/>
                <w:sz w:val="18"/>
                <w:szCs w:val="18"/>
              </w:rPr>
            </w:pPr>
            <w:r w:rsidRPr="00507E3F">
              <w:rPr>
                <w:rFonts w:ascii="Arial Narrow" w:hAnsi="Arial Narrow" w:cs="Arial"/>
                <w:sz w:val="18"/>
                <w:szCs w:val="18"/>
              </w:rPr>
              <w:t>№</w:t>
            </w:r>
          </w:p>
        </w:tc>
        <w:tc>
          <w:tcPr>
            <w:tcW w:w="1837" w:type="dxa"/>
            <w:gridSpan w:val="2"/>
            <w:tcBorders>
              <w:top w:val="single" w:sz="4" w:space="0" w:color="auto"/>
              <w:left w:val="nil"/>
              <w:bottom w:val="single" w:sz="4" w:space="0" w:color="auto"/>
              <w:right w:val="single" w:sz="4" w:space="0" w:color="auto"/>
            </w:tcBorders>
            <w:vAlign w:val="center"/>
            <w:hideMark/>
          </w:tcPr>
          <w:p w:rsidR="00A64028" w:rsidRPr="00507E3F" w:rsidRDefault="00A64028" w:rsidP="00F34DD1">
            <w:pPr>
              <w:spacing w:after="0" w:line="240" w:lineRule="auto"/>
              <w:ind w:left="148"/>
              <w:rPr>
                <w:rFonts w:ascii="Arial Narrow" w:hAnsi="Arial Narrow" w:cs="Arial"/>
                <w:sz w:val="18"/>
                <w:szCs w:val="18"/>
              </w:rPr>
            </w:pPr>
            <w:r w:rsidRPr="00507E3F">
              <w:rPr>
                <w:rFonts w:ascii="Arial Narrow" w:hAnsi="Arial Narrow" w:cs="Arial"/>
                <w:sz w:val="18"/>
                <w:szCs w:val="18"/>
              </w:rPr>
              <w:t>Наименование показателя, единица измерения</w:t>
            </w:r>
          </w:p>
        </w:tc>
        <w:tc>
          <w:tcPr>
            <w:tcW w:w="438" w:type="dxa"/>
            <w:tcBorders>
              <w:top w:val="single" w:sz="4" w:space="0" w:color="auto"/>
              <w:left w:val="nil"/>
              <w:bottom w:val="single" w:sz="4" w:space="0" w:color="auto"/>
              <w:right w:val="single" w:sz="4" w:space="0" w:color="auto"/>
            </w:tcBorders>
            <w:textDirection w:val="btLr"/>
            <w:vAlign w:val="center"/>
            <w:hideMark/>
          </w:tcPr>
          <w:p w:rsidR="00A64028" w:rsidRPr="00507E3F" w:rsidRDefault="00A64028" w:rsidP="00EB3EA8">
            <w:pPr>
              <w:spacing w:after="0" w:line="240" w:lineRule="auto"/>
              <w:ind w:left="113" w:right="113"/>
              <w:jc w:val="center"/>
              <w:rPr>
                <w:rFonts w:ascii="Arial Narrow" w:hAnsi="Arial Narrow" w:cs="Arial"/>
                <w:sz w:val="18"/>
                <w:szCs w:val="18"/>
              </w:rPr>
            </w:pPr>
            <w:r w:rsidRPr="00507E3F">
              <w:rPr>
                <w:rFonts w:ascii="Arial Narrow" w:hAnsi="Arial Narrow" w:cs="Arial"/>
                <w:sz w:val="18"/>
                <w:szCs w:val="18"/>
              </w:rPr>
              <w:t>Общий по Новосибирской области</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507E3F" w:rsidRDefault="00A64028" w:rsidP="00F34DD1">
            <w:pPr>
              <w:spacing w:after="0" w:line="240" w:lineRule="auto"/>
              <w:ind w:left="113" w:right="113"/>
              <w:jc w:val="center"/>
              <w:rPr>
                <w:rFonts w:ascii="Arial Narrow" w:hAnsi="Arial Narrow" w:cs="Arial"/>
                <w:sz w:val="18"/>
                <w:szCs w:val="18"/>
              </w:rPr>
            </w:pPr>
            <w:r w:rsidRPr="00507E3F">
              <w:rPr>
                <w:rFonts w:ascii="Arial Narrow" w:hAnsi="Arial Narrow" w:cs="Arial"/>
                <w:sz w:val="18"/>
                <w:szCs w:val="18"/>
              </w:rPr>
              <w:t>Рынок услуг дошкольного образования (коммерческие детские сады и учреждения пребывания неполного дня)</w:t>
            </w:r>
          </w:p>
        </w:tc>
        <w:tc>
          <w:tcPr>
            <w:tcW w:w="510" w:type="dxa"/>
            <w:tcBorders>
              <w:top w:val="single" w:sz="4" w:space="0" w:color="auto"/>
              <w:left w:val="nil"/>
              <w:bottom w:val="single" w:sz="4" w:space="0" w:color="auto"/>
              <w:right w:val="single" w:sz="4" w:space="0" w:color="auto"/>
            </w:tcBorders>
            <w:noWrap/>
            <w:textDirection w:val="btLr"/>
            <w:vAlign w:val="center"/>
            <w:hideMark/>
          </w:tcPr>
          <w:p w:rsidR="00A64028" w:rsidRPr="00507E3F" w:rsidRDefault="00A64028" w:rsidP="00F34DD1">
            <w:pPr>
              <w:spacing w:after="0" w:line="240" w:lineRule="auto"/>
              <w:ind w:left="113" w:right="113"/>
              <w:jc w:val="center"/>
              <w:rPr>
                <w:rFonts w:ascii="Arial Narrow" w:hAnsi="Arial Narrow" w:cs="Arial"/>
                <w:sz w:val="18"/>
                <w:szCs w:val="18"/>
              </w:rPr>
            </w:pPr>
            <w:r w:rsidRPr="00507E3F">
              <w:rPr>
                <w:rFonts w:ascii="Arial Narrow" w:hAnsi="Arial Narrow" w:cs="Arial"/>
                <w:sz w:val="18"/>
                <w:szCs w:val="18"/>
              </w:rPr>
              <w:t>Рынок услуг детского отдыха и оздоровления</w:t>
            </w:r>
          </w:p>
        </w:tc>
        <w:tc>
          <w:tcPr>
            <w:tcW w:w="469" w:type="dxa"/>
            <w:tcBorders>
              <w:top w:val="single" w:sz="4" w:space="0" w:color="auto"/>
              <w:left w:val="nil"/>
              <w:bottom w:val="single" w:sz="4" w:space="0" w:color="auto"/>
              <w:right w:val="single" w:sz="4" w:space="0" w:color="auto"/>
            </w:tcBorders>
            <w:noWrap/>
            <w:textDirection w:val="btLr"/>
            <w:vAlign w:val="center"/>
            <w:hideMark/>
          </w:tcPr>
          <w:p w:rsidR="00A64028" w:rsidRPr="00507E3F" w:rsidRDefault="00A64028" w:rsidP="00F34DD1">
            <w:pPr>
              <w:spacing w:after="0" w:line="240" w:lineRule="auto"/>
              <w:ind w:left="113" w:right="113"/>
              <w:jc w:val="center"/>
              <w:rPr>
                <w:rFonts w:ascii="Arial Narrow" w:hAnsi="Arial Narrow" w:cs="Arial"/>
                <w:sz w:val="18"/>
                <w:szCs w:val="18"/>
              </w:rPr>
            </w:pPr>
            <w:r w:rsidRPr="00507E3F">
              <w:rPr>
                <w:rFonts w:ascii="Arial Narrow" w:hAnsi="Arial Narrow" w:cs="Arial"/>
                <w:sz w:val="18"/>
                <w:szCs w:val="18"/>
              </w:rPr>
              <w:t>Рынок дополнительного образования детей</w:t>
            </w:r>
          </w:p>
        </w:tc>
        <w:tc>
          <w:tcPr>
            <w:tcW w:w="523" w:type="dxa"/>
            <w:tcBorders>
              <w:top w:val="single" w:sz="4" w:space="0" w:color="auto"/>
              <w:left w:val="nil"/>
              <w:bottom w:val="single" w:sz="4" w:space="0" w:color="auto"/>
              <w:right w:val="single" w:sz="4" w:space="0" w:color="auto"/>
            </w:tcBorders>
            <w:noWrap/>
            <w:textDirection w:val="btLr"/>
            <w:vAlign w:val="center"/>
            <w:hideMark/>
          </w:tcPr>
          <w:p w:rsidR="00A64028" w:rsidRPr="00507E3F" w:rsidRDefault="00A64028" w:rsidP="00F34DD1">
            <w:pPr>
              <w:spacing w:after="0" w:line="240" w:lineRule="auto"/>
              <w:ind w:left="113" w:right="113"/>
              <w:jc w:val="center"/>
              <w:rPr>
                <w:rFonts w:ascii="Arial Narrow" w:hAnsi="Arial Narrow" w:cs="Arial"/>
                <w:sz w:val="18"/>
                <w:szCs w:val="18"/>
              </w:rPr>
            </w:pPr>
            <w:r w:rsidRPr="00507E3F">
              <w:rPr>
                <w:rFonts w:ascii="Arial Narrow" w:hAnsi="Arial Narrow" w:cs="Arial"/>
                <w:sz w:val="18"/>
                <w:szCs w:val="18"/>
              </w:rPr>
              <w:t>Рынок медицинских услуг</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507E3F" w:rsidRDefault="00A64028" w:rsidP="00F34DD1">
            <w:pPr>
              <w:spacing w:after="0" w:line="240" w:lineRule="auto"/>
              <w:ind w:left="113" w:right="113"/>
              <w:jc w:val="center"/>
              <w:rPr>
                <w:rFonts w:ascii="Arial Narrow" w:hAnsi="Arial Narrow" w:cs="Arial"/>
                <w:sz w:val="18"/>
                <w:szCs w:val="18"/>
              </w:rPr>
            </w:pPr>
            <w:r w:rsidRPr="00507E3F">
              <w:rPr>
                <w:rFonts w:ascii="Arial Narrow" w:hAnsi="Arial Narrow" w:cs="Arial"/>
                <w:sz w:val="18"/>
                <w:szCs w:val="18"/>
              </w:rPr>
              <w:t>Рынок услуг психолого-педагогического сопровождения детей с ограниченными возможностями здоровья</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507E3F" w:rsidRDefault="00A64028" w:rsidP="00F34DD1">
            <w:pPr>
              <w:spacing w:after="0" w:line="240" w:lineRule="auto"/>
              <w:ind w:left="113" w:right="113"/>
              <w:jc w:val="center"/>
              <w:rPr>
                <w:rFonts w:ascii="Arial Narrow" w:hAnsi="Arial Narrow" w:cs="Arial"/>
                <w:sz w:val="18"/>
                <w:szCs w:val="18"/>
              </w:rPr>
            </w:pPr>
            <w:r w:rsidRPr="00507E3F">
              <w:rPr>
                <w:rFonts w:ascii="Arial Narrow" w:hAnsi="Arial Narrow" w:cs="Arial"/>
                <w:sz w:val="18"/>
                <w:szCs w:val="18"/>
              </w:rPr>
              <w:t>Рынок услуг в сфере культуры</w:t>
            </w:r>
          </w:p>
        </w:tc>
        <w:tc>
          <w:tcPr>
            <w:tcW w:w="464" w:type="dxa"/>
            <w:tcBorders>
              <w:top w:val="single" w:sz="4" w:space="0" w:color="auto"/>
              <w:left w:val="nil"/>
              <w:bottom w:val="single" w:sz="4" w:space="0" w:color="auto"/>
              <w:right w:val="single" w:sz="4" w:space="0" w:color="auto"/>
            </w:tcBorders>
            <w:noWrap/>
            <w:textDirection w:val="btLr"/>
            <w:vAlign w:val="center"/>
            <w:hideMark/>
          </w:tcPr>
          <w:p w:rsidR="00A64028" w:rsidRPr="00507E3F" w:rsidRDefault="00A64028" w:rsidP="00F34DD1">
            <w:pPr>
              <w:spacing w:after="0" w:line="240" w:lineRule="auto"/>
              <w:ind w:left="113" w:right="113"/>
              <w:jc w:val="center"/>
              <w:rPr>
                <w:rFonts w:ascii="Arial Narrow" w:hAnsi="Arial Narrow" w:cs="Arial"/>
                <w:sz w:val="18"/>
                <w:szCs w:val="18"/>
              </w:rPr>
            </w:pPr>
            <w:r w:rsidRPr="00507E3F">
              <w:rPr>
                <w:rFonts w:ascii="Arial Narrow" w:hAnsi="Arial Narrow" w:cs="Arial"/>
                <w:sz w:val="18"/>
                <w:szCs w:val="18"/>
              </w:rPr>
              <w:t>Рынок услуг ЖКХ (управляющие компании)</w:t>
            </w:r>
          </w:p>
        </w:tc>
        <w:tc>
          <w:tcPr>
            <w:tcW w:w="563" w:type="dxa"/>
            <w:tcBorders>
              <w:top w:val="single" w:sz="4" w:space="0" w:color="auto"/>
              <w:left w:val="nil"/>
              <w:bottom w:val="single" w:sz="4" w:space="0" w:color="auto"/>
              <w:right w:val="single" w:sz="4" w:space="0" w:color="auto"/>
            </w:tcBorders>
            <w:noWrap/>
            <w:textDirection w:val="btLr"/>
            <w:vAlign w:val="center"/>
            <w:hideMark/>
          </w:tcPr>
          <w:p w:rsidR="00A64028" w:rsidRPr="00507E3F" w:rsidRDefault="00A64028" w:rsidP="00F34DD1">
            <w:pPr>
              <w:spacing w:after="0" w:line="240" w:lineRule="auto"/>
              <w:ind w:left="113" w:right="113"/>
              <w:jc w:val="center"/>
              <w:rPr>
                <w:rFonts w:ascii="Arial Narrow" w:hAnsi="Arial Narrow" w:cs="Arial"/>
                <w:sz w:val="18"/>
                <w:szCs w:val="18"/>
              </w:rPr>
            </w:pPr>
            <w:r w:rsidRPr="00507E3F">
              <w:rPr>
                <w:rFonts w:ascii="Arial Narrow" w:hAnsi="Arial Narrow" w:cs="Arial"/>
                <w:sz w:val="18"/>
                <w:szCs w:val="18"/>
              </w:rPr>
              <w:t>Розничная торговля (продажа продуктов питания и непродовольственных товаров)</w:t>
            </w:r>
          </w:p>
        </w:tc>
        <w:tc>
          <w:tcPr>
            <w:tcW w:w="572" w:type="dxa"/>
            <w:tcBorders>
              <w:top w:val="single" w:sz="4" w:space="0" w:color="auto"/>
              <w:left w:val="nil"/>
              <w:bottom w:val="single" w:sz="4" w:space="0" w:color="auto"/>
              <w:right w:val="single" w:sz="4" w:space="0" w:color="auto"/>
            </w:tcBorders>
            <w:noWrap/>
            <w:textDirection w:val="btLr"/>
            <w:vAlign w:val="center"/>
            <w:hideMark/>
          </w:tcPr>
          <w:p w:rsidR="00A64028" w:rsidRPr="00507E3F" w:rsidRDefault="00A64028" w:rsidP="00F34DD1">
            <w:pPr>
              <w:spacing w:after="0" w:line="240" w:lineRule="auto"/>
              <w:ind w:left="113" w:right="113"/>
              <w:jc w:val="center"/>
              <w:rPr>
                <w:rFonts w:ascii="Arial Narrow" w:hAnsi="Arial Narrow" w:cs="Arial"/>
                <w:sz w:val="18"/>
                <w:szCs w:val="18"/>
              </w:rPr>
            </w:pPr>
            <w:r w:rsidRPr="00507E3F">
              <w:rPr>
                <w:rFonts w:ascii="Arial Narrow" w:hAnsi="Arial Narrow" w:cs="Arial"/>
                <w:sz w:val="18"/>
                <w:szCs w:val="18"/>
              </w:rPr>
              <w:t>Рынок услуг перевозок пассажиров наземным транспортом (автобусные перевозки и такси)</w:t>
            </w:r>
          </w:p>
        </w:tc>
        <w:tc>
          <w:tcPr>
            <w:tcW w:w="527" w:type="dxa"/>
            <w:tcBorders>
              <w:top w:val="single" w:sz="4" w:space="0" w:color="auto"/>
              <w:left w:val="nil"/>
              <w:bottom w:val="single" w:sz="4" w:space="0" w:color="auto"/>
              <w:right w:val="single" w:sz="4" w:space="0" w:color="auto"/>
            </w:tcBorders>
            <w:noWrap/>
            <w:textDirection w:val="btLr"/>
            <w:vAlign w:val="center"/>
            <w:hideMark/>
          </w:tcPr>
          <w:p w:rsidR="00A64028" w:rsidRPr="00507E3F" w:rsidRDefault="00A64028" w:rsidP="00F34DD1">
            <w:pPr>
              <w:spacing w:after="0" w:line="240" w:lineRule="auto"/>
              <w:ind w:left="113" w:right="113"/>
              <w:jc w:val="center"/>
              <w:rPr>
                <w:rFonts w:ascii="Arial Narrow" w:hAnsi="Arial Narrow" w:cs="Arial"/>
                <w:sz w:val="18"/>
                <w:szCs w:val="18"/>
              </w:rPr>
            </w:pPr>
            <w:r w:rsidRPr="00507E3F">
              <w:rPr>
                <w:rFonts w:ascii="Arial Narrow" w:hAnsi="Arial Narrow" w:cs="Arial"/>
                <w:sz w:val="18"/>
                <w:szCs w:val="18"/>
              </w:rPr>
              <w:t>Рынок услуг связи</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507E3F" w:rsidRDefault="00A64028" w:rsidP="00F34DD1">
            <w:pPr>
              <w:spacing w:after="0" w:line="240" w:lineRule="auto"/>
              <w:ind w:left="113" w:right="113"/>
              <w:jc w:val="center"/>
              <w:rPr>
                <w:rFonts w:ascii="Arial Narrow" w:hAnsi="Arial Narrow" w:cs="Arial"/>
                <w:sz w:val="18"/>
                <w:szCs w:val="18"/>
              </w:rPr>
            </w:pPr>
            <w:r w:rsidRPr="00507E3F">
              <w:rPr>
                <w:rFonts w:ascii="Arial Narrow" w:hAnsi="Arial Narrow" w:cs="Arial"/>
                <w:sz w:val="18"/>
                <w:szCs w:val="18"/>
              </w:rPr>
              <w:t>Рынок услуг социального обслуживания населения</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507E3F" w:rsidRDefault="00A64028" w:rsidP="00F34DD1">
            <w:pPr>
              <w:spacing w:after="0" w:line="240" w:lineRule="auto"/>
              <w:ind w:left="113" w:right="113"/>
              <w:jc w:val="center"/>
              <w:rPr>
                <w:rFonts w:ascii="Arial Narrow" w:hAnsi="Arial Narrow" w:cs="Arial"/>
                <w:sz w:val="18"/>
                <w:szCs w:val="18"/>
              </w:rPr>
            </w:pPr>
            <w:r w:rsidRPr="00507E3F">
              <w:rPr>
                <w:rFonts w:ascii="Arial Narrow" w:hAnsi="Arial Narrow" w:cs="Arial"/>
                <w:sz w:val="18"/>
                <w:szCs w:val="18"/>
              </w:rPr>
              <w:t>Рынок развития, производства, переработки и хранения сельскохозяйственной продукции</w:t>
            </w:r>
          </w:p>
        </w:tc>
        <w:tc>
          <w:tcPr>
            <w:tcW w:w="573" w:type="dxa"/>
            <w:tcBorders>
              <w:top w:val="single" w:sz="4" w:space="0" w:color="auto"/>
              <w:left w:val="nil"/>
              <w:bottom w:val="single" w:sz="4" w:space="0" w:color="auto"/>
              <w:right w:val="single" w:sz="4" w:space="0" w:color="auto"/>
            </w:tcBorders>
            <w:noWrap/>
            <w:textDirection w:val="btLr"/>
            <w:vAlign w:val="center"/>
            <w:hideMark/>
          </w:tcPr>
          <w:p w:rsidR="00A64028" w:rsidRPr="00507E3F" w:rsidRDefault="00A64028" w:rsidP="00F34DD1">
            <w:pPr>
              <w:spacing w:after="0" w:line="240" w:lineRule="auto"/>
              <w:ind w:left="113" w:right="113"/>
              <w:jc w:val="center"/>
              <w:rPr>
                <w:rFonts w:ascii="Arial Narrow" w:hAnsi="Arial Narrow" w:cs="Arial"/>
                <w:sz w:val="18"/>
                <w:szCs w:val="18"/>
              </w:rPr>
            </w:pPr>
            <w:r w:rsidRPr="00507E3F">
              <w:rPr>
                <w:rFonts w:ascii="Arial Narrow" w:hAnsi="Arial Narrow" w:cs="Arial"/>
                <w:sz w:val="18"/>
                <w:szCs w:val="18"/>
              </w:rPr>
              <w:t>Рынок услуг по сбору, сортировке и переработке твердых коммунальных (бытовых) отходов</w:t>
            </w:r>
          </w:p>
        </w:tc>
        <w:tc>
          <w:tcPr>
            <w:tcW w:w="481" w:type="dxa"/>
            <w:tcBorders>
              <w:top w:val="single" w:sz="4" w:space="0" w:color="auto"/>
              <w:left w:val="nil"/>
              <w:bottom w:val="single" w:sz="4" w:space="0" w:color="auto"/>
              <w:right w:val="single" w:sz="4" w:space="0" w:color="auto"/>
            </w:tcBorders>
            <w:textDirection w:val="btLr"/>
            <w:vAlign w:val="center"/>
            <w:hideMark/>
          </w:tcPr>
          <w:p w:rsidR="00A64028" w:rsidRPr="00507E3F" w:rsidRDefault="00A64028" w:rsidP="00F34DD1">
            <w:pPr>
              <w:spacing w:after="0" w:line="240" w:lineRule="auto"/>
              <w:ind w:left="113" w:right="113"/>
              <w:jc w:val="center"/>
              <w:rPr>
                <w:rFonts w:ascii="Arial Narrow" w:hAnsi="Arial Narrow" w:cs="Arial"/>
                <w:sz w:val="18"/>
                <w:szCs w:val="18"/>
              </w:rPr>
            </w:pPr>
            <w:r w:rsidRPr="00507E3F">
              <w:rPr>
                <w:rFonts w:ascii="Arial Narrow" w:hAnsi="Arial Narrow" w:cs="Arial"/>
                <w:sz w:val="18"/>
                <w:szCs w:val="18"/>
              </w:rPr>
              <w:t>Дополнительно: розничная торговля фармацевтическими товарами</w:t>
            </w:r>
          </w:p>
        </w:tc>
      </w:tr>
      <w:tr w:rsidR="00A64028" w:rsidRPr="00507E3F" w:rsidTr="00EB3EA8">
        <w:tc>
          <w:tcPr>
            <w:tcW w:w="287" w:type="dxa"/>
            <w:tcBorders>
              <w:top w:val="nil"/>
              <w:left w:val="single" w:sz="4" w:space="0" w:color="auto"/>
              <w:bottom w:val="single" w:sz="4" w:space="0" w:color="auto"/>
              <w:right w:val="single" w:sz="4" w:space="0" w:color="auto"/>
            </w:tcBorders>
            <w:vAlign w:val="center"/>
            <w:hideMark/>
          </w:tcPr>
          <w:p w:rsidR="00A64028" w:rsidRPr="00507E3F" w:rsidRDefault="00A64028" w:rsidP="00103148">
            <w:pPr>
              <w:spacing w:after="0"/>
              <w:jc w:val="center"/>
              <w:rPr>
                <w:rFonts w:ascii="Arial Narrow" w:hAnsi="Arial Narrow" w:cs="Arial"/>
                <w:b/>
                <w:bCs/>
                <w:sz w:val="18"/>
                <w:szCs w:val="18"/>
              </w:rPr>
            </w:pPr>
            <w:r w:rsidRPr="00507E3F">
              <w:rPr>
                <w:rFonts w:ascii="Arial Narrow" w:hAnsi="Arial Narrow" w:cs="Arial"/>
                <w:b/>
                <w:bCs/>
                <w:sz w:val="18"/>
                <w:szCs w:val="18"/>
              </w:rPr>
              <w:t>2.</w:t>
            </w:r>
          </w:p>
        </w:tc>
        <w:tc>
          <w:tcPr>
            <w:tcW w:w="572" w:type="dxa"/>
            <w:tcBorders>
              <w:top w:val="single" w:sz="4" w:space="0" w:color="auto"/>
              <w:left w:val="nil"/>
              <w:bottom w:val="single" w:sz="4" w:space="0" w:color="auto"/>
              <w:right w:val="nil"/>
            </w:tcBorders>
            <w:vAlign w:val="center"/>
          </w:tcPr>
          <w:p w:rsidR="00A64028" w:rsidRPr="00507E3F" w:rsidRDefault="00A64028" w:rsidP="00103148">
            <w:pPr>
              <w:spacing w:after="0"/>
              <w:ind w:left="148"/>
              <w:rPr>
                <w:rFonts w:ascii="Arial Narrow" w:hAnsi="Arial Narrow" w:cs="Arial"/>
                <w:b/>
                <w:bCs/>
                <w:sz w:val="18"/>
                <w:szCs w:val="18"/>
              </w:rPr>
            </w:pPr>
          </w:p>
        </w:tc>
        <w:tc>
          <w:tcPr>
            <w:tcW w:w="9220" w:type="dxa"/>
            <w:gridSpan w:val="16"/>
            <w:tcBorders>
              <w:top w:val="single" w:sz="4" w:space="0" w:color="auto"/>
              <w:left w:val="nil"/>
              <w:bottom w:val="single" w:sz="4" w:space="0" w:color="auto"/>
              <w:right w:val="single" w:sz="4" w:space="0" w:color="000000"/>
            </w:tcBorders>
            <w:vAlign w:val="center"/>
            <w:hideMark/>
          </w:tcPr>
          <w:p w:rsidR="00A64028" w:rsidRPr="00507E3F" w:rsidRDefault="00A64028" w:rsidP="00103148">
            <w:pPr>
              <w:spacing w:after="0"/>
              <w:ind w:left="148"/>
              <w:rPr>
                <w:rFonts w:ascii="Arial Narrow" w:hAnsi="Arial Narrow" w:cs="Arial"/>
                <w:b/>
                <w:bCs/>
                <w:sz w:val="18"/>
                <w:szCs w:val="18"/>
              </w:rPr>
            </w:pPr>
            <w:r w:rsidRPr="00507E3F">
              <w:rPr>
                <w:rFonts w:ascii="Arial Narrow" w:hAnsi="Arial Narrow" w:cs="Arial"/>
                <w:b/>
                <w:bCs/>
                <w:sz w:val="18"/>
                <w:szCs w:val="18"/>
              </w:rPr>
              <w:t>Мониторинг удовлетворенности потребителей качеством товаров, работ и услуг на товарных рынках Новосибирской области и состоянием ценовой конкуренции</w:t>
            </w:r>
          </w:p>
        </w:tc>
      </w:tr>
      <w:tr w:rsidR="00A64028" w:rsidRPr="00507E3F" w:rsidTr="00EB3EA8">
        <w:tc>
          <w:tcPr>
            <w:tcW w:w="287" w:type="dxa"/>
            <w:vMerge w:val="restart"/>
            <w:tcBorders>
              <w:top w:val="nil"/>
              <w:left w:val="single" w:sz="4" w:space="0" w:color="auto"/>
              <w:bottom w:val="single" w:sz="4" w:space="0" w:color="auto"/>
              <w:right w:val="single" w:sz="4" w:space="0" w:color="auto"/>
            </w:tcBorders>
            <w:vAlign w:val="center"/>
            <w:hideMark/>
          </w:tcPr>
          <w:p w:rsidR="00A64028" w:rsidRPr="00507E3F" w:rsidRDefault="00A64028" w:rsidP="00103148">
            <w:pPr>
              <w:spacing w:after="0"/>
              <w:jc w:val="center"/>
              <w:rPr>
                <w:rFonts w:ascii="Arial Narrow" w:hAnsi="Arial Narrow" w:cs="Arial"/>
                <w:sz w:val="18"/>
                <w:szCs w:val="18"/>
              </w:rPr>
            </w:pPr>
            <w:r w:rsidRPr="00507E3F">
              <w:rPr>
                <w:rFonts w:ascii="Arial Narrow" w:hAnsi="Arial Narrow" w:cs="Arial"/>
                <w:sz w:val="18"/>
                <w:szCs w:val="18"/>
              </w:rPr>
              <w:t>2.5.</w:t>
            </w:r>
          </w:p>
        </w:tc>
        <w:tc>
          <w:tcPr>
            <w:tcW w:w="1837" w:type="dxa"/>
            <w:gridSpan w:val="2"/>
            <w:tcBorders>
              <w:top w:val="nil"/>
              <w:left w:val="nil"/>
              <w:bottom w:val="single" w:sz="4" w:space="0" w:color="auto"/>
              <w:right w:val="single" w:sz="4" w:space="0" w:color="auto"/>
            </w:tcBorders>
            <w:vAlign w:val="center"/>
            <w:hideMark/>
          </w:tcPr>
          <w:p w:rsidR="00A64028" w:rsidRPr="00507E3F" w:rsidRDefault="00A64028" w:rsidP="00F34DD1">
            <w:pPr>
              <w:spacing w:after="0"/>
              <w:ind w:left="149" w:right="131"/>
              <w:rPr>
                <w:rFonts w:ascii="Arial Narrow" w:hAnsi="Arial Narrow" w:cs="Arial"/>
                <w:sz w:val="18"/>
                <w:szCs w:val="18"/>
              </w:rPr>
            </w:pPr>
            <w:r w:rsidRPr="00507E3F">
              <w:rPr>
                <w:rFonts w:ascii="Arial Narrow" w:hAnsi="Arial Narrow" w:cs="Arial"/>
                <w:bCs/>
                <w:sz w:val="18"/>
                <w:szCs w:val="18"/>
              </w:rPr>
              <w:t>Оценка изменения качества, цен, возможности выбора товаров/услуг на социально значимых и приоритетных рынках (% от числа опрошенных потребителей)</w:t>
            </w:r>
          </w:p>
        </w:tc>
        <w:tc>
          <w:tcPr>
            <w:tcW w:w="438" w:type="dxa"/>
            <w:tcBorders>
              <w:top w:val="nil"/>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hAnsi="Arial Narrow" w:cs="Arial"/>
                <w:sz w:val="18"/>
                <w:szCs w:val="18"/>
              </w:rPr>
            </w:pPr>
            <w:r w:rsidRPr="00507E3F">
              <w:rPr>
                <w:rFonts w:ascii="Arial Narrow" w:hAnsi="Arial Narrow" w:cs="Arial"/>
                <w:sz w:val="18"/>
                <w:szCs w:val="18"/>
              </w:rPr>
              <w:t> </w:t>
            </w:r>
          </w:p>
        </w:tc>
        <w:tc>
          <w:tcPr>
            <w:tcW w:w="567" w:type="dxa"/>
            <w:tcBorders>
              <w:top w:val="nil"/>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hAnsi="Arial Narrow" w:cs="Arial"/>
                <w:sz w:val="18"/>
                <w:szCs w:val="18"/>
              </w:rPr>
            </w:pPr>
            <w:r w:rsidRPr="00507E3F">
              <w:rPr>
                <w:rFonts w:ascii="Arial Narrow" w:hAnsi="Arial Narrow" w:cs="Arial"/>
                <w:sz w:val="18"/>
                <w:szCs w:val="18"/>
              </w:rPr>
              <w:t> </w:t>
            </w:r>
          </w:p>
        </w:tc>
        <w:tc>
          <w:tcPr>
            <w:tcW w:w="510" w:type="dxa"/>
            <w:tcBorders>
              <w:top w:val="nil"/>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hAnsi="Arial Narrow" w:cs="Arial"/>
                <w:sz w:val="18"/>
                <w:szCs w:val="18"/>
              </w:rPr>
            </w:pPr>
            <w:r w:rsidRPr="00507E3F">
              <w:rPr>
                <w:rFonts w:ascii="Arial Narrow" w:hAnsi="Arial Narrow" w:cs="Arial"/>
                <w:sz w:val="18"/>
                <w:szCs w:val="18"/>
              </w:rPr>
              <w:t> </w:t>
            </w:r>
          </w:p>
        </w:tc>
        <w:tc>
          <w:tcPr>
            <w:tcW w:w="469" w:type="dxa"/>
            <w:tcBorders>
              <w:top w:val="nil"/>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hAnsi="Arial Narrow" w:cs="Arial"/>
                <w:sz w:val="18"/>
                <w:szCs w:val="18"/>
              </w:rPr>
            </w:pPr>
            <w:r w:rsidRPr="00507E3F">
              <w:rPr>
                <w:rFonts w:ascii="Arial Narrow" w:hAnsi="Arial Narrow" w:cs="Arial"/>
                <w:sz w:val="18"/>
                <w:szCs w:val="18"/>
              </w:rPr>
              <w:t> </w:t>
            </w:r>
          </w:p>
        </w:tc>
        <w:tc>
          <w:tcPr>
            <w:tcW w:w="523" w:type="dxa"/>
            <w:tcBorders>
              <w:top w:val="nil"/>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hAnsi="Arial Narrow" w:cs="Arial"/>
                <w:sz w:val="18"/>
                <w:szCs w:val="18"/>
              </w:rPr>
            </w:pPr>
            <w:r w:rsidRPr="00507E3F">
              <w:rPr>
                <w:rFonts w:ascii="Arial Narrow" w:hAnsi="Arial Narrow" w:cs="Arial"/>
                <w:sz w:val="18"/>
                <w:szCs w:val="18"/>
              </w:rPr>
              <w:t> </w:t>
            </w:r>
          </w:p>
        </w:tc>
        <w:tc>
          <w:tcPr>
            <w:tcW w:w="567" w:type="dxa"/>
            <w:tcBorders>
              <w:top w:val="nil"/>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hAnsi="Arial Narrow" w:cs="Arial"/>
                <w:sz w:val="18"/>
                <w:szCs w:val="18"/>
              </w:rPr>
            </w:pPr>
            <w:r w:rsidRPr="00507E3F">
              <w:rPr>
                <w:rFonts w:ascii="Arial Narrow" w:hAnsi="Arial Narrow" w:cs="Arial"/>
                <w:sz w:val="18"/>
                <w:szCs w:val="18"/>
              </w:rPr>
              <w:t> </w:t>
            </w:r>
          </w:p>
        </w:tc>
        <w:tc>
          <w:tcPr>
            <w:tcW w:w="567" w:type="dxa"/>
            <w:tcBorders>
              <w:top w:val="nil"/>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hAnsi="Arial Narrow" w:cs="Arial"/>
                <w:sz w:val="18"/>
                <w:szCs w:val="18"/>
              </w:rPr>
            </w:pPr>
            <w:r w:rsidRPr="00507E3F">
              <w:rPr>
                <w:rFonts w:ascii="Arial Narrow" w:hAnsi="Arial Narrow" w:cs="Arial"/>
                <w:sz w:val="18"/>
                <w:szCs w:val="18"/>
              </w:rPr>
              <w:t> </w:t>
            </w:r>
          </w:p>
        </w:tc>
        <w:tc>
          <w:tcPr>
            <w:tcW w:w="464" w:type="dxa"/>
            <w:tcBorders>
              <w:top w:val="nil"/>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hAnsi="Arial Narrow" w:cs="Arial"/>
                <w:sz w:val="18"/>
                <w:szCs w:val="18"/>
              </w:rPr>
            </w:pPr>
            <w:r w:rsidRPr="00507E3F">
              <w:rPr>
                <w:rFonts w:ascii="Arial Narrow" w:hAnsi="Arial Narrow" w:cs="Arial"/>
                <w:sz w:val="18"/>
                <w:szCs w:val="18"/>
              </w:rPr>
              <w:t> </w:t>
            </w:r>
          </w:p>
        </w:tc>
        <w:tc>
          <w:tcPr>
            <w:tcW w:w="563" w:type="dxa"/>
            <w:tcBorders>
              <w:top w:val="nil"/>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hAnsi="Arial Narrow" w:cs="Arial"/>
                <w:sz w:val="18"/>
                <w:szCs w:val="18"/>
              </w:rPr>
            </w:pPr>
            <w:r w:rsidRPr="00507E3F">
              <w:rPr>
                <w:rFonts w:ascii="Arial Narrow" w:hAnsi="Arial Narrow" w:cs="Arial"/>
                <w:sz w:val="18"/>
                <w:szCs w:val="18"/>
              </w:rPr>
              <w:t> </w:t>
            </w:r>
          </w:p>
        </w:tc>
        <w:tc>
          <w:tcPr>
            <w:tcW w:w="572" w:type="dxa"/>
            <w:tcBorders>
              <w:top w:val="nil"/>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hAnsi="Arial Narrow" w:cs="Arial"/>
                <w:sz w:val="18"/>
                <w:szCs w:val="18"/>
              </w:rPr>
            </w:pPr>
            <w:r w:rsidRPr="00507E3F">
              <w:rPr>
                <w:rFonts w:ascii="Arial Narrow" w:hAnsi="Arial Narrow" w:cs="Arial"/>
                <w:sz w:val="18"/>
                <w:szCs w:val="18"/>
              </w:rPr>
              <w:t> </w:t>
            </w:r>
          </w:p>
        </w:tc>
        <w:tc>
          <w:tcPr>
            <w:tcW w:w="527" w:type="dxa"/>
            <w:tcBorders>
              <w:top w:val="nil"/>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hAnsi="Arial Narrow" w:cs="Arial"/>
                <w:sz w:val="18"/>
                <w:szCs w:val="18"/>
              </w:rPr>
            </w:pPr>
            <w:r w:rsidRPr="00507E3F">
              <w:rPr>
                <w:rFonts w:ascii="Arial Narrow" w:hAnsi="Arial Narrow" w:cs="Arial"/>
                <w:sz w:val="18"/>
                <w:szCs w:val="18"/>
              </w:rPr>
              <w:t> </w:t>
            </w:r>
          </w:p>
        </w:tc>
        <w:tc>
          <w:tcPr>
            <w:tcW w:w="567" w:type="dxa"/>
            <w:tcBorders>
              <w:top w:val="nil"/>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hAnsi="Arial Narrow" w:cs="Arial"/>
                <w:sz w:val="18"/>
                <w:szCs w:val="18"/>
              </w:rPr>
            </w:pPr>
            <w:r w:rsidRPr="00507E3F">
              <w:rPr>
                <w:rFonts w:ascii="Arial Narrow" w:hAnsi="Arial Narrow" w:cs="Arial"/>
                <w:sz w:val="18"/>
                <w:szCs w:val="18"/>
              </w:rPr>
              <w:t> </w:t>
            </w:r>
          </w:p>
        </w:tc>
        <w:tc>
          <w:tcPr>
            <w:tcW w:w="567" w:type="dxa"/>
            <w:tcBorders>
              <w:top w:val="nil"/>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hAnsi="Arial Narrow" w:cs="Arial"/>
                <w:sz w:val="18"/>
                <w:szCs w:val="18"/>
              </w:rPr>
            </w:pPr>
            <w:r w:rsidRPr="00507E3F">
              <w:rPr>
                <w:rFonts w:ascii="Arial Narrow" w:hAnsi="Arial Narrow" w:cs="Arial"/>
                <w:sz w:val="18"/>
                <w:szCs w:val="18"/>
              </w:rPr>
              <w:t> </w:t>
            </w:r>
          </w:p>
        </w:tc>
        <w:tc>
          <w:tcPr>
            <w:tcW w:w="573" w:type="dxa"/>
            <w:tcBorders>
              <w:top w:val="nil"/>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hAnsi="Arial Narrow" w:cs="Arial"/>
                <w:sz w:val="18"/>
                <w:szCs w:val="18"/>
              </w:rPr>
            </w:pPr>
            <w:r w:rsidRPr="00507E3F">
              <w:rPr>
                <w:rFonts w:ascii="Arial Narrow" w:hAnsi="Arial Narrow" w:cs="Arial"/>
                <w:sz w:val="18"/>
                <w:szCs w:val="18"/>
              </w:rPr>
              <w:t> </w:t>
            </w:r>
          </w:p>
        </w:tc>
        <w:tc>
          <w:tcPr>
            <w:tcW w:w="481" w:type="dxa"/>
            <w:tcBorders>
              <w:top w:val="nil"/>
              <w:left w:val="nil"/>
              <w:bottom w:val="single" w:sz="4" w:space="0" w:color="auto"/>
              <w:right w:val="single" w:sz="4" w:space="0" w:color="auto"/>
            </w:tcBorders>
            <w:vAlign w:val="center"/>
          </w:tcPr>
          <w:p w:rsidR="00A64028" w:rsidRPr="00507E3F" w:rsidRDefault="00A64028" w:rsidP="00103148">
            <w:pPr>
              <w:spacing w:after="0"/>
              <w:jc w:val="center"/>
              <w:rPr>
                <w:rFonts w:ascii="Arial Narrow" w:hAnsi="Arial Narrow" w:cs="Arial"/>
                <w:sz w:val="18"/>
                <w:szCs w:val="18"/>
              </w:rPr>
            </w:pPr>
          </w:p>
        </w:tc>
      </w:tr>
      <w:tr w:rsidR="00A64028" w:rsidRPr="00507E3F" w:rsidTr="00EB3EA8">
        <w:tc>
          <w:tcPr>
            <w:tcW w:w="287" w:type="dxa"/>
            <w:vMerge/>
            <w:tcBorders>
              <w:top w:val="nil"/>
              <w:left w:val="single" w:sz="4" w:space="0" w:color="auto"/>
              <w:bottom w:val="single" w:sz="4" w:space="0" w:color="auto"/>
              <w:right w:val="single" w:sz="4" w:space="0" w:color="auto"/>
            </w:tcBorders>
            <w:vAlign w:val="center"/>
            <w:hideMark/>
          </w:tcPr>
          <w:p w:rsidR="00A64028" w:rsidRPr="00507E3F" w:rsidRDefault="00A64028" w:rsidP="00103148">
            <w:pPr>
              <w:spacing w:after="0"/>
              <w:rPr>
                <w:rFonts w:ascii="Arial Narrow" w:hAnsi="Arial Narrow" w:cs="Arial"/>
                <w:sz w:val="18"/>
                <w:szCs w:val="18"/>
              </w:rPr>
            </w:pPr>
          </w:p>
        </w:tc>
        <w:tc>
          <w:tcPr>
            <w:tcW w:w="1837" w:type="dxa"/>
            <w:gridSpan w:val="2"/>
            <w:tcBorders>
              <w:top w:val="single" w:sz="4" w:space="0" w:color="auto"/>
              <w:left w:val="nil"/>
              <w:bottom w:val="single" w:sz="4" w:space="0" w:color="auto"/>
              <w:right w:val="single" w:sz="4" w:space="0" w:color="auto"/>
            </w:tcBorders>
            <w:vAlign w:val="center"/>
            <w:hideMark/>
          </w:tcPr>
          <w:p w:rsidR="00A64028" w:rsidRPr="00507E3F" w:rsidRDefault="00A64028" w:rsidP="00F34DD1">
            <w:pPr>
              <w:spacing w:after="0"/>
              <w:ind w:left="149" w:right="131"/>
              <w:jc w:val="both"/>
              <w:rPr>
                <w:rFonts w:ascii="Arial Narrow" w:eastAsia="Calibri" w:hAnsi="Arial Narrow"/>
                <w:sz w:val="18"/>
                <w:szCs w:val="18"/>
              </w:rPr>
            </w:pPr>
            <w:r w:rsidRPr="00507E3F">
              <w:rPr>
                <w:rFonts w:ascii="Arial Narrow" w:eastAsia="Calibri" w:hAnsi="Arial Narrow"/>
                <w:sz w:val="18"/>
                <w:szCs w:val="18"/>
              </w:rPr>
              <w:t>Качество снизилось, %</w:t>
            </w:r>
          </w:p>
        </w:tc>
        <w:tc>
          <w:tcPr>
            <w:tcW w:w="438"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10,7%</w:t>
            </w:r>
          </w:p>
        </w:tc>
        <w:tc>
          <w:tcPr>
            <w:tcW w:w="567"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6,2%</w:t>
            </w:r>
          </w:p>
        </w:tc>
        <w:tc>
          <w:tcPr>
            <w:tcW w:w="510"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6,1%</w:t>
            </w:r>
          </w:p>
        </w:tc>
        <w:tc>
          <w:tcPr>
            <w:tcW w:w="469"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5,6%</w:t>
            </w:r>
          </w:p>
        </w:tc>
        <w:tc>
          <w:tcPr>
            <w:tcW w:w="523"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24,6%</w:t>
            </w:r>
          </w:p>
        </w:tc>
        <w:tc>
          <w:tcPr>
            <w:tcW w:w="567"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5,2%</w:t>
            </w:r>
          </w:p>
        </w:tc>
        <w:tc>
          <w:tcPr>
            <w:tcW w:w="567"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7,4%</w:t>
            </w:r>
          </w:p>
        </w:tc>
        <w:tc>
          <w:tcPr>
            <w:tcW w:w="464"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13,4%</w:t>
            </w:r>
          </w:p>
        </w:tc>
        <w:tc>
          <w:tcPr>
            <w:tcW w:w="563"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11,4%</w:t>
            </w:r>
          </w:p>
        </w:tc>
        <w:tc>
          <w:tcPr>
            <w:tcW w:w="572"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4,6%</w:t>
            </w:r>
          </w:p>
        </w:tc>
        <w:tc>
          <w:tcPr>
            <w:tcW w:w="527"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8,9%</w:t>
            </w:r>
          </w:p>
        </w:tc>
        <w:tc>
          <w:tcPr>
            <w:tcW w:w="567"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7,1%</w:t>
            </w:r>
          </w:p>
        </w:tc>
        <w:tc>
          <w:tcPr>
            <w:tcW w:w="567"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18,8%</w:t>
            </w:r>
          </w:p>
        </w:tc>
        <w:tc>
          <w:tcPr>
            <w:tcW w:w="573"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20,0%</w:t>
            </w:r>
          </w:p>
        </w:tc>
        <w:tc>
          <w:tcPr>
            <w:tcW w:w="481" w:type="dxa"/>
            <w:tcBorders>
              <w:top w:val="single" w:sz="4" w:space="0" w:color="auto"/>
              <w:left w:val="nil"/>
              <w:bottom w:val="single" w:sz="4" w:space="0" w:color="auto"/>
              <w:right w:val="single" w:sz="4" w:space="0" w:color="auto"/>
            </w:tcBorders>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10,8%</w:t>
            </w:r>
          </w:p>
        </w:tc>
      </w:tr>
      <w:tr w:rsidR="00A64028" w:rsidRPr="00507E3F" w:rsidTr="00EB3EA8">
        <w:tc>
          <w:tcPr>
            <w:tcW w:w="287" w:type="dxa"/>
            <w:vMerge/>
            <w:tcBorders>
              <w:top w:val="nil"/>
              <w:left w:val="single" w:sz="4" w:space="0" w:color="auto"/>
              <w:bottom w:val="single" w:sz="4" w:space="0" w:color="auto"/>
              <w:right w:val="single" w:sz="4" w:space="0" w:color="auto"/>
            </w:tcBorders>
            <w:vAlign w:val="center"/>
            <w:hideMark/>
          </w:tcPr>
          <w:p w:rsidR="00A64028" w:rsidRPr="00507E3F" w:rsidRDefault="00A64028" w:rsidP="00103148">
            <w:pPr>
              <w:spacing w:after="0"/>
              <w:rPr>
                <w:rFonts w:ascii="Arial Narrow" w:hAnsi="Arial Narrow" w:cs="Arial"/>
                <w:sz w:val="18"/>
                <w:szCs w:val="18"/>
              </w:rPr>
            </w:pPr>
          </w:p>
        </w:tc>
        <w:tc>
          <w:tcPr>
            <w:tcW w:w="1837" w:type="dxa"/>
            <w:gridSpan w:val="2"/>
            <w:tcBorders>
              <w:top w:val="single" w:sz="4" w:space="0" w:color="auto"/>
              <w:left w:val="nil"/>
              <w:bottom w:val="single" w:sz="4" w:space="0" w:color="auto"/>
              <w:right w:val="single" w:sz="4" w:space="0" w:color="auto"/>
            </w:tcBorders>
            <w:vAlign w:val="center"/>
            <w:hideMark/>
          </w:tcPr>
          <w:p w:rsidR="00A64028" w:rsidRPr="00507E3F" w:rsidRDefault="00A64028" w:rsidP="00F34DD1">
            <w:pPr>
              <w:spacing w:after="0"/>
              <w:ind w:left="149" w:right="131"/>
              <w:jc w:val="both"/>
              <w:rPr>
                <w:rFonts w:ascii="Arial Narrow" w:eastAsia="Calibri" w:hAnsi="Arial Narrow"/>
                <w:sz w:val="18"/>
                <w:szCs w:val="18"/>
              </w:rPr>
            </w:pPr>
            <w:r w:rsidRPr="00507E3F">
              <w:rPr>
                <w:rFonts w:ascii="Arial Narrow" w:eastAsia="Calibri" w:hAnsi="Arial Narrow"/>
                <w:sz w:val="18"/>
                <w:szCs w:val="18"/>
              </w:rPr>
              <w:t>Качество улучшилось, %</w:t>
            </w:r>
          </w:p>
        </w:tc>
        <w:tc>
          <w:tcPr>
            <w:tcW w:w="438"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17,8%</w:t>
            </w:r>
          </w:p>
        </w:tc>
        <w:tc>
          <w:tcPr>
            <w:tcW w:w="567"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13,2%</w:t>
            </w:r>
          </w:p>
        </w:tc>
        <w:tc>
          <w:tcPr>
            <w:tcW w:w="510"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11,8%</w:t>
            </w:r>
          </w:p>
        </w:tc>
        <w:tc>
          <w:tcPr>
            <w:tcW w:w="469"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13,6%</w:t>
            </w:r>
          </w:p>
        </w:tc>
        <w:tc>
          <w:tcPr>
            <w:tcW w:w="523"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11,1%</w:t>
            </w:r>
          </w:p>
        </w:tc>
        <w:tc>
          <w:tcPr>
            <w:tcW w:w="567"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8,3%</w:t>
            </w:r>
          </w:p>
        </w:tc>
        <w:tc>
          <w:tcPr>
            <w:tcW w:w="567"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18,1%</w:t>
            </w:r>
          </w:p>
        </w:tc>
        <w:tc>
          <w:tcPr>
            <w:tcW w:w="464"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14,6%</w:t>
            </w:r>
          </w:p>
        </w:tc>
        <w:tc>
          <w:tcPr>
            <w:tcW w:w="563"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20,5%</w:t>
            </w:r>
          </w:p>
        </w:tc>
        <w:tc>
          <w:tcPr>
            <w:tcW w:w="572"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8,1%</w:t>
            </w:r>
          </w:p>
        </w:tc>
        <w:tc>
          <w:tcPr>
            <w:tcW w:w="527"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19,9%</w:t>
            </w:r>
          </w:p>
        </w:tc>
        <w:tc>
          <w:tcPr>
            <w:tcW w:w="567"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14,0%</w:t>
            </w:r>
          </w:p>
        </w:tc>
        <w:tc>
          <w:tcPr>
            <w:tcW w:w="567"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69,9%</w:t>
            </w:r>
          </w:p>
        </w:tc>
        <w:tc>
          <w:tcPr>
            <w:tcW w:w="573"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8,3%</w:t>
            </w:r>
          </w:p>
        </w:tc>
        <w:tc>
          <w:tcPr>
            <w:tcW w:w="481" w:type="dxa"/>
            <w:tcBorders>
              <w:top w:val="single" w:sz="4" w:space="0" w:color="auto"/>
              <w:left w:val="nil"/>
              <w:bottom w:val="single" w:sz="4" w:space="0" w:color="auto"/>
              <w:right w:val="single" w:sz="4" w:space="0" w:color="auto"/>
            </w:tcBorders>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20,2%</w:t>
            </w:r>
          </w:p>
        </w:tc>
      </w:tr>
      <w:tr w:rsidR="00A64028" w:rsidRPr="00507E3F" w:rsidTr="00EB3EA8">
        <w:tc>
          <w:tcPr>
            <w:tcW w:w="287" w:type="dxa"/>
            <w:vMerge/>
            <w:tcBorders>
              <w:top w:val="nil"/>
              <w:left w:val="single" w:sz="4" w:space="0" w:color="auto"/>
              <w:bottom w:val="single" w:sz="4" w:space="0" w:color="auto"/>
              <w:right w:val="single" w:sz="4" w:space="0" w:color="auto"/>
            </w:tcBorders>
            <w:vAlign w:val="center"/>
            <w:hideMark/>
          </w:tcPr>
          <w:p w:rsidR="00A64028" w:rsidRPr="00507E3F" w:rsidRDefault="00A64028" w:rsidP="00103148">
            <w:pPr>
              <w:spacing w:after="0"/>
              <w:rPr>
                <w:rFonts w:ascii="Arial Narrow" w:hAnsi="Arial Narrow" w:cs="Arial"/>
                <w:sz w:val="18"/>
                <w:szCs w:val="18"/>
              </w:rPr>
            </w:pPr>
          </w:p>
        </w:tc>
        <w:tc>
          <w:tcPr>
            <w:tcW w:w="1837" w:type="dxa"/>
            <w:gridSpan w:val="2"/>
            <w:tcBorders>
              <w:top w:val="single" w:sz="4" w:space="0" w:color="auto"/>
              <w:left w:val="nil"/>
              <w:bottom w:val="single" w:sz="4" w:space="0" w:color="auto"/>
              <w:right w:val="single" w:sz="4" w:space="0" w:color="auto"/>
            </w:tcBorders>
            <w:vAlign w:val="center"/>
            <w:hideMark/>
          </w:tcPr>
          <w:p w:rsidR="00A64028" w:rsidRPr="00507E3F" w:rsidRDefault="00A64028" w:rsidP="00F34DD1">
            <w:pPr>
              <w:spacing w:after="0"/>
              <w:ind w:left="149" w:right="131"/>
              <w:jc w:val="both"/>
              <w:rPr>
                <w:rFonts w:ascii="Arial Narrow" w:eastAsia="Calibri" w:hAnsi="Arial Narrow"/>
                <w:sz w:val="18"/>
                <w:szCs w:val="18"/>
              </w:rPr>
            </w:pPr>
            <w:r w:rsidRPr="00507E3F">
              <w:rPr>
                <w:rFonts w:ascii="Arial Narrow" w:eastAsia="Calibri" w:hAnsi="Arial Narrow"/>
                <w:sz w:val="18"/>
                <w:szCs w:val="18"/>
              </w:rPr>
              <w:t>Качество не изменилось, %</w:t>
            </w:r>
          </w:p>
        </w:tc>
        <w:tc>
          <w:tcPr>
            <w:tcW w:w="438"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48,7%</w:t>
            </w:r>
          </w:p>
        </w:tc>
        <w:tc>
          <w:tcPr>
            <w:tcW w:w="567"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48,1%</w:t>
            </w:r>
          </w:p>
        </w:tc>
        <w:tc>
          <w:tcPr>
            <w:tcW w:w="510"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47,2%</w:t>
            </w:r>
          </w:p>
        </w:tc>
        <w:tc>
          <w:tcPr>
            <w:tcW w:w="469"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48,2%</w:t>
            </w:r>
          </w:p>
        </w:tc>
        <w:tc>
          <w:tcPr>
            <w:tcW w:w="523"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55,8%</w:t>
            </w:r>
          </w:p>
        </w:tc>
        <w:tc>
          <w:tcPr>
            <w:tcW w:w="567"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42,8%</w:t>
            </w:r>
          </w:p>
        </w:tc>
        <w:tc>
          <w:tcPr>
            <w:tcW w:w="567"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63,7%</w:t>
            </w:r>
          </w:p>
        </w:tc>
        <w:tc>
          <w:tcPr>
            <w:tcW w:w="464"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64,3%</w:t>
            </w:r>
          </w:p>
        </w:tc>
        <w:tc>
          <w:tcPr>
            <w:tcW w:w="563"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63,7%</w:t>
            </w:r>
          </w:p>
        </w:tc>
        <w:tc>
          <w:tcPr>
            <w:tcW w:w="572"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20,9%</w:t>
            </w:r>
          </w:p>
        </w:tc>
        <w:tc>
          <w:tcPr>
            <w:tcW w:w="527"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67,4%</w:t>
            </w:r>
          </w:p>
        </w:tc>
        <w:tc>
          <w:tcPr>
            <w:tcW w:w="567"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61,0%</w:t>
            </w:r>
          </w:p>
        </w:tc>
        <w:tc>
          <w:tcPr>
            <w:tcW w:w="567"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9,6%</w:t>
            </w:r>
          </w:p>
        </w:tc>
        <w:tc>
          <w:tcPr>
            <w:tcW w:w="573"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40,4%</w:t>
            </w:r>
          </w:p>
        </w:tc>
        <w:tc>
          <w:tcPr>
            <w:tcW w:w="481" w:type="dxa"/>
            <w:tcBorders>
              <w:top w:val="single" w:sz="4" w:space="0" w:color="auto"/>
              <w:left w:val="nil"/>
              <w:bottom w:val="single" w:sz="4" w:space="0" w:color="auto"/>
              <w:right w:val="single" w:sz="4" w:space="0" w:color="auto"/>
            </w:tcBorders>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62,4%</w:t>
            </w:r>
          </w:p>
        </w:tc>
      </w:tr>
      <w:tr w:rsidR="00A64028" w:rsidRPr="00507E3F" w:rsidTr="00EB3EA8">
        <w:tc>
          <w:tcPr>
            <w:tcW w:w="287" w:type="dxa"/>
            <w:vMerge/>
            <w:tcBorders>
              <w:top w:val="nil"/>
              <w:left w:val="single" w:sz="4" w:space="0" w:color="auto"/>
              <w:bottom w:val="single" w:sz="4" w:space="0" w:color="auto"/>
              <w:right w:val="single" w:sz="4" w:space="0" w:color="auto"/>
            </w:tcBorders>
            <w:vAlign w:val="center"/>
            <w:hideMark/>
          </w:tcPr>
          <w:p w:rsidR="00A64028" w:rsidRPr="00507E3F" w:rsidRDefault="00A64028" w:rsidP="00103148">
            <w:pPr>
              <w:spacing w:after="0"/>
              <w:rPr>
                <w:rFonts w:ascii="Arial Narrow" w:hAnsi="Arial Narrow" w:cs="Arial"/>
                <w:sz w:val="18"/>
                <w:szCs w:val="18"/>
              </w:rPr>
            </w:pPr>
          </w:p>
        </w:tc>
        <w:tc>
          <w:tcPr>
            <w:tcW w:w="1837" w:type="dxa"/>
            <w:gridSpan w:val="2"/>
            <w:tcBorders>
              <w:top w:val="single" w:sz="4" w:space="0" w:color="auto"/>
              <w:left w:val="nil"/>
              <w:bottom w:val="single" w:sz="4" w:space="0" w:color="auto"/>
              <w:right w:val="single" w:sz="4" w:space="0" w:color="auto"/>
            </w:tcBorders>
            <w:vAlign w:val="center"/>
            <w:hideMark/>
          </w:tcPr>
          <w:p w:rsidR="00A64028" w:rsidRPr="00507E3F" w:rsidRDefault="00A64028" w:rsidP="00F34DD1">
            <w:pPr>
              <w:spacing w:after="0"/>
              <w:ind w:left="149" w:right="131"/>
              <w:jc w:val="both"/>
              <w:rPr>
                <w:rFonts w:ascii="Arial Narrow" w:eastAsia="Calibri" w:hAnsi="Arial Narrow"/>
                <w:sz w:val="18"/>
                <w:szCs w:val="18"/>
              </w:rPr>
            </w:pPr>
            <w:r w:rsidRPr="00507E3F">
              <w:rPr>
                <w:rFonts w:ascii="Arial Narrow" w:eastAsia="Calibri" w:hAnsi="Arial Narrow"/>
                <w:sz w:val="18"/>
                <w:szCs w:val="18"/>
              </w:rPr>
              <w:t>Цены снизились, %</w:t>
            </w:r>
          </w:p>
        </w:tc>
        <w:tc>
          <w:tcPr>
            <w:tcW w:w="438"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15,3%</w:t>
            </w:r>
          </w:p>
        </w:tc>
        <w:tc>
          <w:tcPr>
            <w:tcW w:w="567"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12,3%</w:t>
            </w:r>
          </w:p>
        </w:tc>
        <w:tc>
          <w:tcPr>
            <w:tcW w:w="510"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11,6%</w:t>
            </w:r>
          </w:p>
        </w:tc>
        <w:tc>
          <w:tcPr>
            <w:tcW w:w="469"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11,3%</w:t>
            </w:r>
          </w:p>
        </w:tc>
        <w:tc>
          <w:tcPr>
            <w:tcW w:w="523"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19,5%</w:t>
            </w:r>
          </w:p>
        </w:tc>
        <w:tc>
          <w:tcPr>
            <w:tcW w:w="567"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9,2%</w:t>
            </w:r>
          </w:p>
        </w:tc>
        <w:tc>
          <w:tcPr>
            <w:tcW w:w="567"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14,7%</w:t>
            </w:r>
          </w:p>
        </w:tc>
        <w:tc>
          <w:tcPr>
            <w:tcW w:w="464"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22,5%</w:t>
            </w:r>
          </w:p>
        </w:tc>
        <w:tc>
          <w:tcPr>
            <w:tcW w:w="563"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23,6%</w:t>
            </w:r>
          </w:p>
        </w:tc>
        <w:tc>
          <w:tcPr>
            <w:tcW w:w="572"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18,9%</w:t>
            </w:r>
          </w:p>
        </w:tc>
        <w:tc>
          <w:tcPr>
            <w:tcW w:w="527"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19,0%</w:t>
            </w:r>
          </w:p>
        </w:tc>
        <w:tc>
          <w:tcPr>
            <w:tcW w:w="567"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14,5%</w:t>
            </w:r>
          </w:p>
        </w:tc>
        <w:tc>
          <w:tcPr>
            <w:tcW w:w="567"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14,0%</w:t>
            </w:r>
          </w:p>
        </w:tc>
        <w:tc>
          <w:tcPr>
            <w:tcW w:w="573"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7,7%</w:t>
            </w:r>
          </w:p>
        </w:tc>
        <w:tc>
          <w:tcPr>
            <w:tcW w:w="481" w:type="dxa"/>
            <w:tcBorders>
              <w:top w:val="single" w:sz="4" w:space="0" w:color="auto"/>
              <w:left w:val="nil"/>
              <w:bottom w:val="single" w:sz="4" w:space="0" w:color="auto"/>
              <w:right w:val="single" w:sz="4" w:space="0" w:color="auto"/>
            </w:tcBorders>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23,8%</w:t>
            </w:r>
          </w:p>
        </w:tc>
      </w:tr>
      <w:tr w:rsidR="00A64028" w:rsidRPr="00507E3F" w:rsidTr="00EB3EA8">
        <w:tc>
          <w:tcPr>
            <w:tcW w:w="287" w:type="dxa"/>
            <w:vMerge/>
            <w:tcBorders>
              <w:top w:val="nil"/>
              <w:left w:val="single" w:sz="4" w:space="0" w:color="auto"/>
              <w:bottom w:val="single" w:sz="4" w:space="0" w:color="auto"/>
              <w:right w:val="single" w:sz="4" w:space="0" w:color="auto"/>
            </w:tcBorders>
            <w:vAlign w:val="center"/>
            <w:hideMark/>
          </w:tcPr>
          <w:p w:rsidR="00A64028" w:rsidRPr="00507E3F" w:rsidRDefault="00A64028" w:rsidP="00103148">
            <w:pPr>
              <w:spacing w:after="0"/>
              <w:rPr>
                <w:rFonts w:ascii="Arial Narrow" w:hAnsi="Arial Narrow" w:cs="Arial"/>
                <w:sz w:val="18"/>
                <w:szCs w:val="18"/>
              </w:rPr>
            </w:pPr>
          </w:p>
        </w:tc>
        <w:tc>
          <w:tcPr>
            <w:tcW w:w="1837" w:type="dxa"/>
            <w:gridSpan w:val="2"/>
            <w:tcBorders>
              <w:top w:val="single" w:sz="4" w:space="0" w:color="auto"/>
              <w:left w:val="nil"/>
              <w:bottom w:val="single" w:sz="4" w:space="0" w:color="auto"/>
              <w:right w:val="single" w:sz="4" w:space="0" w:color="auto"/>
            </w:tcBorders>
            <w:vAlign w:val="center"/>
            <w:hideMark/>
          </w:tcPr>
          <w:p w:rsidR="00A64028" w:rsidRPr="00507E3F" w:rsidRDefault="00A64028" w:rsidP="00F34DD1">
            <w:pPr>
              <w:spacing w:after="0"/>
              <w:ind w:left="149" w:right="131"/>
              <w:jc w:val="both"/>
              <w:rPr>
                <w:rFonts w:ascii="Arial Narrow" w:eastAsia="Calibri" w:hAnsi="Arial Narrow"/>
                <w:sz w:val="18"/>
                <w:szCs w:val="18"/>
              </w:rPr>
            </w:pPr>
            <w:r w:rsidRPr="00507E3F">
              <w:rPr>
                <w:rFonts w:ascii="Arial Narrow" w:eastAsia="Calibri" w:hAnsi="Arial Narrow"/>
                <w:sz w:val="18"/>
                <w:szCs w:val="18"/>
              </w:rPr>
              <w:t>Цены увеличились, %</w:t>
            </w:r>
          </w:p>
        </w:tc>
        <w:tc>
          <w:tcPr>
            <w:tcW w:w="438"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47,3%</w:t>
            </w:r>
          </w:p>
        </w:tc>
        <w:tc>
          <w:tcPr>
            <w:tcW w:w="567"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39,7%</w:t>
            </w:r>
          </w:p>
        </w:tc>
        <w:tc>
          <w:tcPr>
            <w:tcW w:w="510"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37,8%</w:t>
            </w:r>
          </w:p>
        </w:tc>
        <w:tc>
          <w:tcPr>
            <w:tcW w:w="469"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36,5%</w:t>
            </w:r>
          </w:p>
        </w:tc>
        <w:tc>
          <w:tcPr>
            <w:tcW w:w="523"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51,4%</w:t>
            </w:r>
          </w:p>
        </w:tc>
        <w:tc>
          <w:tcPr>
            <w:tcW w:w="567"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31,3%</w:t>
            </w:r>
          </w:p>
        </w:tc>
        <w:tc>
          <w:tcPr>
            <w:tcW w:w="567"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44,3%</w:t>
            </w:r>
          </w:p>
        </w:tc>
        <w:tc>
          <w:tcPr>
            <w:tcW w:w="464"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59,2%</w:t>
            </w:r>
          </w:p>
        </w:tc>
        <w:tc>
          <w:tcPr>
            <w:tcW w:w="563"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64,6%</w:t>
            </w:r>
          </w:p>
        </w:tc>
        <w:tc>
          <w:tcPr>
            <w:tcW w:w="572"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53,1%</w:t>
            </w:r>
          </w:p>
        </w:tc>
        <w:tc>
          <w:tcPr>
            <w:tcW w:w="527"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54,0%</w:t>
            </w:r>
          </w:p>
        </w:tc>
        <w:tc>
          <w:tcPr>
            <w:tcW w:w="567"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42,8%</w:t>
            </w:r>
          </w:p>
        </w:tc>
        <w:tc>
          <w:tcPr>
            <w:tcW w:w="567"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74,2%</w:t>
            </w:r>
          </w:p>
        </w:tc>
        <w:tc>
          <w:tcPr>
            <w:tcW w:w="573"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26,0%</w:t>
            </w:r>
          </w:p>
        </w:tc>
        <w:tc>
          <w:tcPr>
            <w:tcW w:w="481" w:type="dxa"/>
            <w:tcBorders>
              <w:top w:val="single" w:sz="4" w:space="0" w:color="auto"/>
              <w:left w:val="nil"/>
              <w:bottom w:val="single" w:sz="4" w:space="0" w:color="auto"/>
              <w:right w:val="single" w:sz="4" w:space="0" w:color="auto"/>
            </w:tcBorders>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64,7%</w:t>
            </w:r>
          </w:p>
        </w:tc>
      </w:tr>
      <w:tr w:rsidR="00A64028" w:rsidRPr="00507E3F" w:rsidTr="00EB3EA8">
        <w:tc>
          <w:tcPr>
            <w:tcW w:w="287" w:type="dxa"/>
            <w:vMerge/>
            <w:tcBorders>
              <w:top w:val="nil"/>
              <w:left w:val="single" w:sz="4" w:space="0" w:color="auto"/>
              <w:bottom w:val="single" w:sz="4" w:space="0" w:color="auto"/>
              <w:right w:val="single" w:sz="4" w:space="0" w:color="auto"/>
            </w:tcBorders>
            <w:vAlign w:val="center"/>
            <w:hideMark/>
          </w:tcPr>
          <w:p w:rsidR="00A64028" w:rsidRPr="00507E3F" w:rsidRDefault="00A64028" w:rsidP="00103148">
            <w:pPr>
              <w:spacing w:after="0"/>
              <w:rPr>
                <w:rFonts w:ascii="Arial Narrow" w:hAnsi="Arial Narrow" w:cs="Arial"/>
                <w:sz w:val="18"/>
                <w:szCs w:val="18"/>
              </w:rPr>
            </w:pPr>
          </w:p>
        </w:tc>
        <w:tc>
          <w:tcPr>
            <w:tcW w:w="1837" w:type="dxa"/>
            <w:gridSpan w:val="2"/>
            <w:tcBorders>
              <w:top w:val="single" w:sz="4" w:space="0" w:color="auto"/>
              <w:left w:val="nil"/>
              <w:bottom w:val="single" w:sz="4" w:space="0" w:color="auto"/>
              <w:right w:val="single" w:sz="4" w:space="0" w:color="auto"/>
            </w:tcBorders>
            <w:vAlign w:val="center"/>
            <w:hideMark/>
          </w:tcPr>
          <w:p w:rsidR="00A64028" w:rsidRPr="00507E3F" w:rsidRDefault="00A64028" w:rsidP="00F34DD1">
            <w:pPr>
              <w:spacing w:after="0"/>
              <w:ind w:left="149" w:right="131"/>
              <w:jc w:val="both"/>
              <w:rPr>
                <w:rFonts w:ascii="Arial Narrow" w:eastAsia="Calibri" w:hAnsi="Arial Narrow"/>
                <w:sz w:val="18"/>
                <w:szCs w:val="18"/>
              </w:rPr>
            </w:pPr>
            <w:r w:rsidRPr="00507E3F">
              <w:rPr>
                <w:rFonts w:ascii="Arial Narrow" w:eastAsia="Calibri" w:hAnsi="Arial Narrow"/>
                <w:sz w:val="18"/>
                <w:szCs w:val="18"/>
              </w:rPr>
              <w:t>Цены не изменились, %</w:t>
            </w:r>
          </w:p>
        </w:tc>
        <w:tc>
          <w:tcPr>
            <w:tcW w:w="438"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18,0%</w:t>
            </w:r>
          </w:p>
        </w:tc>
        <w:tc>
          <w:tcPr>
            <w:tcW w:w="567"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15,7%</w:t>
            </w:r>
          </w:p>
        </w:tc>
        <w:tc>
          <w:tcPr>
            <w:tcW w:w="510"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15,6%</w:t>
            </w:r>
          </w:p>
        </w:tc>
        <w:tc>
          <w:tcPr>
            <w:tcW w:w="469"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19,2%</w:t>
            </w:r>
          </w:p>
        </w:tc>
        <w:tc>
          <w:tcPr>
            <w:tcW w:w="523"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17,1%</w:t>
            </w:r>
          </w:p>
        </w:tc>
        <w:tc>
          <w:tcPr>
            <w:tcW w:w="567"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15,0%</w:t>
            </w:r>
          </w:p>
        </w:tc>
        <w:tc>
          <w:tcPr>
            <w:tcW w:w="567"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28,1%</w:t>
            </w:r>
          </w:p>
        </w:tc>
        <w:tc>
          <w:tcPr>
            <w:tcW w:w="464"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12,8%</w:t>
            </w:r>
          </w:p>
        </w:tc>
        <w:tc>
          <w:tcPr>
            <w:tcW w:w="563"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9,6%</w:t>
            </w:r>
          </w:p>
        </w:tc>
        <w:tc>
          <w:tcPr>
            <w:tcW w:w="572"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23,4%</w:t>
            </w:r>
          </w:p>
        </w:tc>
        <w:tc>
          <w:tcPr>
            <w:tcW w:w="527"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23,8%</w:t>
            </w:r>
          </w:p>
        </w:tc>
        <w:tc>
          <w:tcPr>
            <w:tcW w:w="567"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22,0%</w:t>
            </w:r>
          </w:p>
        </w:tc>
        <w:tc>
          <w:tcPr>
            <w:tcW w:w="567"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9,6%</w:t>
            </w:r>
          </w:p>
        </w:tc>
        <w:tc>
          <w:tcPr>
            <w:tcW w:w="573"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21,6%</w:t>
            </w:r>
          </w:p>
        </w:tc>
        <w:tc>
          <w:tcPr>
            <w:tcW w:w="481" w:type="dxa"/>
            <w:tcBorders>
              <w:top w:val="single" w:sz="4" w:space="0" w:color="auto"/>
              <w:left w:val="nil"/>
              <w:bottom w:val="single" w:sz="4" w:space="0" w:color="auto"/>
              <w:right w:val="single" w:sz="4" w:space="0" w:color="auto"/>
            </w:tcBorders>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8,6%</w:t>
            </w:r>
          </w:p>
        </w:tc>
      </w:tr>
      <w:tr w:rsidR="00A64028" w:rsidRPr="00507E3F" w:rsidTr="00EB3EA8">
        <w:tc>
          <w:tcPr>
            <w:tcW w:w="287" w:type="dxa"/>
            <w:vMerge/>
            <w:tcBorders>
              <w:top w:val="nil"/>
              <w:left w:val="single" w:sz="4" w:space="0" w:color="auto"/>
              <w:bottom w:val="single" w:sz="4" w:space="0" w:color="auto"/>
              <w:right w:val="single" w:sz="4" w:space="0" w:color="auto"/>
            </w:tcBorders>
            <w:vAlign w:val="center"/>
            <w:hideMark/>
          </w:tcPr>
          <w:p w:rsidR="00A64028" w:rsidRPr="00507E3F" w:rsidRDefault="00A64028" w:rsidP="00103148">
            <w:pPr>
              <w:spacing w:after="0"/>
              <w:rPr>
                <w:rFonts w:ascii="Arial Narrow" w:hAnsi="Arial Narrow" w:cs="Arial"/>
                <w:sz w:val="18"/>
                <w:szCs w:val="18"/>
              </w:rPr>
            </w:pPr>
          </w:p>
        </w:tc>
        <w:tc>
          <w:tcPr>
            <w:tcW w:w="1837" w:type="dxa"/>
            <w:gridSpan w:val="2"/>
            <w:tcBorders>
              <w:top w:val="single" w:sz="4" w:space="0" w:color="auto"/>
              <w:left w:val="nil"/>
              <w:bottom w:val="single" w:sz="4" w:space="0" w:color="auto"/>
              <w:right w:val="single" w:sz="4" w:space="0" w:color="auto"/>
            </w:tcBorders>
            <w:vAlign w:val="center"/>
            <w:hideMark/>
          </w:tcPr>
          <w:p w:rsidR="00A64028" w:rsidRPr="00507E3F" w:rsidRDefault="00A64028" w:rsidP="00F34DD1">
            <w:pPr>
              <w:spacing w:after="0"/>
              <w:ind w:left="149" w:right="131"/>
              <w:jc w:val="both"/>
              <w:rPr>
                <w:rFonts w:ascii="Arial Narrow" w:eastAsia="Calibri" w:hAnsi="Arial Narrow"/>
                <w:sz w:val="18"/>
                <w:szCs w:val="18"/>
              </w:rPr>
            </w:pPr>
            <w:r w:rsidRPr="00507E3F">
              <w:rPr>
                <w:rFonts w:ascii="Arial Narrow" w:eastAsia="Calibri" w:hAnsi="Arial Narrow"/>
                <w:sz w:val="18"/>
                <w:szCs w:val="18"/>
              </w:rPr>
              <w:t>Возможность выбора снизилась, %</w:t>
            </w:r>
          </w:p>
        </w:tc>
        <w:tc>
          <w:tcPr>
            <w:tcW w:w="438"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6,3%</w:t>
            </w:r>
          </w:p>
        </w:tc>
        <w:tc>
          <w:tcPr>
            <w:tcW w:w="567"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4,4%</w:t>
            </w:r>
          </w:p>
        </w:tc>
        <w:tc>
          <w:tcPr>
            <w:tcW w:w="510"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4,4%</w:t>
            </w:r>
          </w:p>
        </w:tc>
        <w:tc>
          <w:tcPr>
            <w:tcW w:w="469"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4,0%</w:t>
            </w:r>
          </w:p>
        </w:tc>
        <w:tc>
          <w:tcPr>
            <w:tcW w:w="523"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14,0%</w:t>
            </w:r>
          </w:p>
        </w:tc>
        <w:tc>
          <w:tcPr>
            <w:tcW w:w="567"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3,9%</w:t>
            </w:r>
          </w:p>
        </w:tc>
        <w:tc>
          <w:tcPr>
            <w:tcW w:w="567"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4,5%</w:t>
            </w:r>
          </w:p>
        </w:tc>
        <w:tc>
          <w:tcPr>
            <w:tcW w:w="464"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6,7%</w:t>
            </w:r>
          </w:p>
        </w:tc>
        <w:tc>
          <w:tcPr>
            <w:tcW w:w="563"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5,2%</w:t>
            </w:r>
          </w:p>
        </w:tc>
        <w:tc>
          <w:tcPr>
            <w:tcW w:w="572"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5,0%</w:t>
            </w:r>
          </w:p>
        </w:tc>
        <w:tc>
          <w:tcPr>
            <w:tcW w:w="527"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4,3%</w:t>
            </w:r>
          </w:p>
        </w:tc>
        <w:tc>
          <w:tcPr>
            <w:tcW w:w="567"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4,4%</w:t>
            </w:r>
          </w:p>
        </w:tc>
        <w:tc>
          <w:tcPr>
            <w:tcW w:w="567"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17,1%</w:t>
            </w:r>
          </w:p>
        </w:tc>
        <w:tc>
          <w:tcPr>
            <w:tcW w:w="573"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3,5%</w:t>
            </w:r>
          </w:p>
        </w:tc>
        <w:tc>
          <w:tcPr>
            <w:tcW w:w="481" w:type="dxa"/>
            <w:tcBorders>
              <w:top w:val="single" w:sz="4" w:space="0" w:color="auto"/>
              <w:left w:val="nil"/>
              <w:bottom w:val="single" w:sz="4" w:space="0" w:color="auto"/>
              <w:right w:val="single" w:sz="4" w:space="0" w:color="auto"/>
            </w:tcBorders>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6,3%</w:t>
            </w:r>
          </w:p>
        </w:tc>
      </w:tr>
      <w:tr w:rsidR="00A64028" w:rsidRPr="00507E3F" w:rsidTr="00EB3EA8">
        <w:tc>
          <w:tcPr>
            <w:tcW w:w="287" w:type="dxa"/>
            <w:vMerge/>
            <w:tcBorders>
              <w:top w:val="nil"/>
              <w:left w:val="single" w:sz="4" w:space="0" w:color="auto"/>
              <w:bottom w:val="single" w:sz="4" w:space="0" w:color="auto"/>
              <w:right w:val="single" w:sz="4" w:space="0" w:color="auto"/>
            </w:tcBorders>
            <w:vAlign w:val="center"/>
            <w:hideMark/>
          </w:tcPr>
          <w:p w:rsidR="00A64028" w:rsidRPr="00507E3F" w:rsidRDefault="00A64028" w:rsidP="00103148">
            <w:pPr>
              <w:spacing w:after="0"/>
              <w:rPr>
                <w:rFonts w:ascii="Arial Narrow" w:hAnsi="Arial Narrow" w:cs="Arial"/>
                <w:sz w:val="18"/>
                <w:szCs w:val="18"/>
              </w:rPr>
            </w:pPr>
          </w:p>
        </w:tc>
        <w:tc>
          <w:tcPr>
            <w:tcW w:w="1837" w:type="dxa"/>
            <w:gridSpan w:val="2"/>
            <w:tcBorders>
              <w:top w:val="single" w:sz="4" w:space="0" w:color="auto"/>
              <w:left w:val="nil"/>
              <w:bottom w:val="single" w:sz="4" w:space="0" w:color="auto"/>
              <w:right w:val="single" w:sz="4" w:space="0" w:color="auto"/>
            </w:tcBorders>
            <w:vAlign w:val="center"/>
            <w:hideMark/>
          </w:tcPr>
          <w:p w:rsidR="00A64028" w:rsidRPr="00507E3F" w:rsidRDefault="00A64028" w:rsidP="00F34DD1">
            <w:pPr>
              <w:spacing w:after="0"/>
              <w:ind w:left="149" w:right="131"/>
              <w:jc w:val="both"/>
              <w:rPr>
                <w:rFonts w:ascii="Arial Narrow" w:eastAsia="Calibri" w:hAnsi="Arial Narrow"/>
                <w:sz w:val="18"/>
                <w:szCs w:val="18"/>
              </w:rPr>
            </w:pPr>
            <w:r w:rsidRPr="00507E3F">
              <w:rPr>
                <w:rFonts w:ascii="Arial Narrow" w:eastAsia="Calibri" w:hAnsi="Arial Narrow"/>
                <w:sz w:val="18"/>
                <w:szCs w:val="18"/>
              </w:rPr>
              <w:t>Возможность выбора увеличилась, %</w:t>
            </w:r>
          </w:p>
        </w:tc>
        <w:tc>
          <w:tcPr>
            <w:tcW w:w="438"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23,6%</w:t>
            </w:r>
          </w:p>
        </w:tc>
        <w:tc>
          <w:tcPr>
            <w:tcW w:w="567"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16,6%</w:t>
            </w:r>
          </w:p>
        </w:tc>
        <w:tc>
          <w:tcPr>
            <w:tcW w:w="510"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15,3%</w:t>
            </w:r>
          </w:p>
        </w:tc>
        <w:tc>
          <w:tcPr>
            <w:tcW w:w="469"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17,5%</w:t>
            </w:r>
          </w:p>
        </w:tc>
        <w:tc>
          <w:tcPr>
            <w:tcW w:w="523"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17,3%</w:t>
            </w:r>
          </w:p>
        </w:tc>
        <w:tc>
          <w:tcPr>
            <w:tcW w:w="567"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11,6%</w:t>
            </w:r>
          </w:p>
        </w:tc>
        <w:tc>
          <w:tcPr>
            <w:tcW w:w="567"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19,5%</w:t>
            </w:r>
          </w:p>
        </w:tc>
        <w:tc>
          <w:tcPr>
            <w:tcW w:w="464"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16,2%</w:t>
            </w:r>
          </w:p>
        </w:tc>
        <w:tc>
          <w:tcPr>
            <w:tcW w:w="563"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41,1%</w:t>
            </w:r>
          </w:p>
        </w:tc>
        <w:tc>
          <w:tcPr>
            <w:tcW w:w="572"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27,8%</w:t>
            </w:r>
          </w:p>
        </w:tc>
        <w:tc>
          <w:tcPr>
            <w:tcW w:w="527"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26,6%</w:t>
            </w:r>
          </w:p>
        </w:tc>
        <w:tc>
          <w:tcPr>
            <w:tcW w:w="567"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17,1%</w:t>
            </w:r>
          </w:p>
        </w:tc>
        <w:tc>
          <w:tcPr>
            <w:tcW w:w="567"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71,4%</w:t>
            </w:r>
          </w:p>
        </w:tc>
        <w:tc>
          <w:tcPr>
            <w:tcW w:w="573"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8,3%</w:t>
            </w:r>
          </w:p>
        </w:tc>
        <w:tc>
          <w:tcPr>
            <w:tcW w:w="481" w:type="dxa"/>
            <w:tcBorders>
              <w:top w:val="single" w:sz="4" w:space="0" w:color="auto"/>
              <w:left w:val="nil"/>
              <w:bottom w:val="single" w:sz="4" w:space="0" w:color="auto"/>
              <w:right w:val="single" w:sz="4" w:space="0" w:color="auto"/>
            </w:tcBorders>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38,6%</w:t>
            </w:r>
          </w:p>
        </w:tc>
      </w:tr>
      <w:tr w:rsidR="00A64028" w:rsidRPr="00507E3F" w:rsidTr="00EB3EA8">
        <w:tc>
          <w:tcPr>
            <w:tcW w:w="287" w:type="dxa"/>
            <w:vMerge/>
            <w:tcBorders>
              <w:top w:val="nil"/>
              <w:left w:val="single" w:sz="4" w:space="0" w:color="auto"/>
              <w:bottom w:val="single" w:sz="4" w:space="0" w:color="auto"/>
              <w:right w:val="single" w:sz="4" w:space="0" w:color="auto"/>
            </w:tcBorders>
            <w:vAlign w:val="center"/>
            <w:hideMark/>
          </w:tcPr>
          <w:p w:rsidR="00A64028" w:rsidRPr="00507E3F" w:rsidRDefault="00A64028" w:rsidP="00103148">
            <w:pPr>
              <w:spacing w:after="0"/>
              <w:rPr>
                <w:rFonts w:ascii="Arial Narrow" w:hAnsi="Arial Narrow" w:cs="Arial"/>
                <w:sz w:val="18"/>
                <w:szCs w:val="18"/>
              </w:rPr>
            </w:pPr>
          </w:p>
        </w:tc>
        <w:tc>
          <w:tcPr>
            <w:tcW w:w="1837" w:type="dxa"/>
            <w:gridSpan w:val="2"/>
            <w:tcBorders>
              <w:top w:val="single" w:sz="4" w:space="0" w:color="auto"/>
              <w:left w:val="nil"/>
              <w:bottom w:val="single" w:sz="4" w:space="0" w:color="auto"/>
              <w:right w:val="single" w:sz="4" w:space="0" w:color="auto"/>
            </w:tcBorders>
            <w:vAlign w:val="center"/>
            <w:hideMark/>
          </w:tcPr>
          <w:p w:rsidR="00A64028" w:rsidRPr="00507E3F" w:rsidRDefault="00A64028" w:rsidP="00F34DD1">
            <w:pPr>
              <w:spacing w:after="0"/>
              <w:ind w:left="149" w:right="131"/>
              <w:jc w:val="both"/>
              <w:rPr>
                <w:rFonts w:ascii="Arial Narrow" w:eastAsia="Calibri" w:hAnsi="Arial Narrow"/>
                <w:sz w:val="18"/>
                <w:szCs w:val="18"/>
              </w:rPr>
            </w:pPr>
            <w:r w:rsidRPr="00507E3F">
              <w:rPr>
                <w:rFonts w:ascii="Arial Narrow" w:eastAsia="Calibri" w:hAnsi="Arial Narrow"/>
                <w:sz w:val="18"/>
                <w:szCs w:val="18"/>
              </w:rPr>
              <w:t>Возможность выбора не изменилась, %</w:t>
            </w:r>
          </w:p>
        </w:tc>
        <w:tc>
          <w:tcPr>
            <w:tcW w:w="438"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54,9%</w:t>
            </w:r>
          </w:p>
        </w:tc>
        <w:tc>
          <w:tcPr>
            <w:tcW w:w="567"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50,9%</w:t>
            </w:r>
          </w:p>
        </w:tc>
        <w:tc>
          <w:tcPr>
            <w:tcW w:w="510"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51,1%</w:t>
            </w:r>
          </w:p>
        </w:tc>
        <w:tc>
          <w:tcPr>
            <w:tcW w:w="469"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51,1%</w:t>
            </w:r>
          </w:p>
        </w:tc>
        <w:tc>
          <w:tcPr>
            <w:tcW w:w="523"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62,3%</w:t>
            </w:r>
          </w:p>
        </w:tc>
        <w:tc>
          <w:tcPr>
            <w:tcW w:w="567"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46,2%</w:t>
            </w:r>
          </w:p>
        </w:tc>
        <w:tc>
          <w:tcPr>
            <w:tcW w:w="567"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67,6%</w:t>
            </w:r>
          </w:p>
        </w:tc>
        <w:tc>
          <w:tcPr>
            <w:tcW w:w="464"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70,1%</w:t>
            </w:r>
          </w:p>
        </w:tc>
        <w:tc>
          <w:tcPr>
            <w:tcW w:w="563"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50,8%</w:t>
            </w:r>
          </w:p>
        </w:tc>
        <w:tc>
          <w:tcPr>
            <w:tcW w:w="572"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62,6%</w:t>
            </w:r>
          </w:p>
        </w:tc>
        <w:tc>
          <w:tcPr>
            <w:tcW w:w="527"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65,8%</w:t>
            </w:r>
          </w:p>
        </w:tc>
        <w:tc>
          <w:tcPr>
            <w:tcW w:w="567"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64,2%</w:t>
            </w:r>
          </w:p>
        </w:tc>
        <w:tc>
          <w:tcPr>
            <w:tcW w:w="567"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9,6%</w:t>
            </w:r>
          </w:p>
        </w:tc>
        <w:tc>
          <w:tcPr>
            <w:tcW w:w="573" w:type="dxa"/>
            <w:tcBorders>
              <w:top w:val="single" w:sz="4" w:space="0" w:color="auto"/>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61,9%</w:t>
            </w:r>
          </w:p>
        </w:tc>
        <w:tc>
          <w:tcPr>
            <w:tcW w:w="481" w:type="dxa"/>
            <w:tcBorders>
              <w:top w:val="single" w:sz="4" w:space="0" w:color="auto"/>
              <w:left w:val="nil"/>
              <w:bottom w:val="single" w:sz="4" w:space="0" w:color="auto"/>
              <w:right w:val="single" w:sz="4" w:space="0" w:color="auto"/>
            </w:tcBorders>
            <w:vAlign w:val="center"/>
            <w:hideMark/>
          </w:tcPr>
          <w:p w:rsidR="00A64028" w:rsidRPr="00507E3F" w:rsidRDefault="00A64028" w:rsidP="00103148">
            <w:pPr>
              <w:spacing w:after="0"/>
              <w:jc w:val="center"/>
              <w:rPr>
                <w:rFonts w:ascii="Arial Narrow" w:eastAsia="Calibri" w:hAnsi="Arial Narrow"/>
                <w:sz w:val="18"/>
                <w:szCs w:val="18"/>
              </w:rPr>
            </w:pPr>
            <w:r w:rsidRPr="00507E3F">
              <w:rPr>
                <w:rFonts w:ascii="Arial Narrow" w:eastAsia="Calibri" w:hAnsi="Arial Narrow"/>
                <w:sz w:val="18"/>
                <w:szCs w:val="18"/>
              </w:rPr>
              <w:t>51,4%</w:t>
            </w:r>
          </w:p>
        </w:tc>
      </w:tr>
    </w:tbl>
    <w:p w:rsidR="00A64028" w:rsidRPr="000D5501" w:rsidRDefault="00A64028" w:rsidP="00103148">
      <w:pPr>
        <w:spacing w:after="0" w:line="360" w:lineRule="auto"/>
        <w:ind w:firstLine="284"/>
        <w:jc w:val="both"/>
        <w:rPr>
          <w:rFonts w:ascii="Arial Narrow" w:hAnsi="Arial Narrow" w:cs="Arial"/>
          <w:b/>
          <w:sz w:val="24"/>
          <w:szCs w:val="24"/>
        </w:rPr>
      </w:pPr>
    </w:p>
    <w:p w:rsidR="00A64028" w:rsidRPr="000D5501" w:rsidRDefault="00A64028" w:rsidP="00103148">
      <w:pPr>
        <w:spacing w:after="0" w:line="360" w:lineRule="auto"/>
        <w:ind w:firstLine="284"/>
        <w:jc w:val="both"/>
        <w:rPr>
          <w:rFonts w:ascii="Arial Narrow" w:hAnsi="Arial Narrow" w:cs="Arial"/>
          <w:b/>
          <w:sz w:val="24"/>
          <w:szCs w:val="24"/>
        </w:rPr>
      </w:pPr>
      <w:r w:rsidRPr="000D5501">
        <w:rPr>
          <w:rFonts w:ascii="Arial Narrow" w:hAnsi="Arial Narrow" w:cs="Arial"/>
          <w:b/>
          <w:sz w:val="24"/>
          <w:szCs w:val="24"/>
        </w:rPr>
        <w:t xml:space="preserve">Значения показателя 2.6. </w:t>
      </w:r>
      <w:r w:rsidRPr="000D5501">
        <w:rPr>
          <w:rFonts w:ascii="Arial Narrow" w:hAnsi="Arial Narrow" w:cs="Arial"/>
          <w:b/>
          <w:bCs/>
          <w:sz w:val="24"/>
          <w:szCs w:val="24"/>
        </w:rPr>
        <w:t>Отношение потребителей к уровню цен на товары и услуги социально значимых и приоритетных рынков Новосибирской области по сравнению с ценами на данные товары и услуги в других регионах РФ (% от числа опрошенных)</w:t>
      </w:r>
      <w:r w:rsidRPr="000D5501">
        <w:rPr>
          <w:rFonts w:ascii="Arial Narrow" w:hAnsi="Arial Narrow" w:cs="Arial"/>
          <w:b/>
          <w:sz w:val="24"/>
          <w:szCs w:val="24"/>
        </w:rPr>
        <w:t>.</w:t>
      </w:r>
    </w:p>
    <w:p w:rsidR="00A64028" w:rsidRPr="000D5501" w:rsidRDefault="00A64028" w:rsidP="00103148">
      <w:pPr>
        <w:spacing w:after="0" w:line="360" w:lineRule="auto"/>
        <w:ind w:firstLine="284"/>
        <w:jc w:val="both"/>
        <w:rPr>
          <w:rFonts w:ascii="Arial Narrow" w:hAnsi="Arial Narrow" w:cs="Arial"/>
          <w:sz w:val="24"/>
          <w:szCs w:val="24"/>
        </w:rPr>
      </w:pPr>
      <w:r w:rsidRPr="000D5501">
        <w:rPr>
          <w:rFonts w:ascii="Arial Narrow" w:hAnsi="Arial Narrow" w:cs="Arial"/>
          <w:sz w:val="24"/>
          <w:szCs w:val="24"/>
        </w:rPr>
        <w:t xml:space="preserve">В среднем по области только 9,1 % опрошенных потребителей товаров, работ и услуг социально значимых и приоритетных рынков считают, что в Новосибирской области уровень цен на соответствующие товары, работы и услуги выше, чем в других регионах Российской Федерации. Чаще всего такой вывод делался в отношении продовольственных товаров (39,9 %) как представляющих рынок розничной торговли и рынок развития, производства, переработки и хранения </w:t>
      </w:r>
      <w:r w:rsidRPr="000D5501">
        <w:rPr>
          <w:rFonts w:ascii="Arial Narrow" w:hAnsi="Arial Narrow" w:cs="Arial"/>
          <w:sz w:val="24"/>
          <w:szCs w:val="24"/>
        </w:rPr>
        <w:lastRenderedPageBreak/>
        <w:t>сельскохозяйственной продукции. Для остальных товаров, работ и услуг данный показатель варьируется от 2,9 % до 16,8 %, что незначительно отличается от среднего значения.</w:t>
      </w:r>
    </w:p>
    <w:p w:rsidR="00372BCB" w:rsidRDefault="00372BCB" w:rsidP="00103148">
      <w:pPr>
        <w:spacing w:after="0"/>
        <w:rPr>
          <w:rFonts w:ascii="Arial Narrow" w:hAnsi="Arial Narrow" w:cs="Arial"/>
          <w:sz w:val="24"/>
          <w:szCs w:val="24"/>
        </w:rPr>
      </w:pPr>
    </w:p>
    <w:p w:rsidR="00A64028" w:rsidRPr="000D5501" w:rsidRDefault="00372BCB" w:rsidP="00103148">
      <w:pPr>
        <w:spacing w:after="0"/>
        <w:rPr>
          <w:rFonts w:ascii="Arial Narrow" w:hAnsi="Arial Narrow" w:cs="Arial"/>
          <w:b/>
          <w:sz w:val="24"/>
          <w:szCs w:val="24"/>
        </w:rPr>
      </w:pPr>
      <w:r>
        <w:rPr>
          <w:rFonts w:ascii="Arial Narrow" w:hAnsi="Arial Narrow" w:cs="Arial"/>
          <w:sz w:val="24"/>
          <w:szCs w:val="24"/>
        </w:rPr>
        <w:t>Таблица 7.42</w:t>
      </w:r>
      <w:r w:rsidR="00262F71">
        <w:rPr>
          <w:rFonts w:ascii="Arial Narrow" w:hAnsi="Arial Narrow" w:cs="Arial"/>
          <w:sz w:val="24"/>
          <w:szCs w:val="24"/>
        </w:rPr>
        <w:t>.</w:t>
      </w:r>
      <w:r w:rsidR="00A64028" w:rsidRPr="000D5501">
        <w:rPr>
          <w:rFonts w:ascii="Arial Narrow" w:hAnsi="Arial Narrow" w:cs="Arial"/>
          <w:sz w:val="24"/>
          <w:szCs w:val="24"/>
        </w:rPr>
        <w:t xml:space="preserve"> – </w:t>
      </w:r>
      <w:r w:rsidR="00A64028" w:rsidRPr="000D5501">
        <w:rPr>
          <w:rFonts w:ascii="Arial Narrow" w:hAnsi="Arial Narrow" w:cs="Arial"/>
          <w:b/>
          <w:sz w:val="24"/>
          <w:szCs w:val="24"/>
        </w:rPr>
        <w:t xml:space="preserve">Значения показателя 2.6. </w:t>
      </w:r>
      <w:r w:rsidR="00A64028" w:rsidRPr="000D5501">
        <w:rPr>
          <w:rFonts w:ascii="Arial Narrow" w:hAnsi="Arial Narrow" w:cs="Arial"/>
          <w:b/>
          <w:bCs/>
          <w:sz w:val="24"/>
          <w:szCs w:val="24"/>
        </w:rPr>
        <w:t>Отношение потребителей к уровню цен на товары и услуги социально значимых и приоритетных рынков Новосибирской области по сравнению с ценами на данные товары и услуги в других регионах РФ (% от числа опрошенных)</w:t>
      </w:r>
    </w:p>
    <w:tbl>
      <w:tblPr>
        <w:tblW w:w="9933" w:type="dxa"/>
        <w:tblInd w:w="-147" w:type="dxa"/>
        <w:tblLayout w:type="fixed"/>
        <w:tblCellMar>
          <w:left w:w="0" w:type="dxa"/>
          <w:right w:w="0" w:type="dxa"/>
        </w:tblCellMar>
        <w:tblLook w:val="04A0"/>
      </w:tblPr>
      <w:tblGrid>
        <w:gridCol w:w="287"/>
        <w:gridCol w:w="2417"/>
        <w:gridCol w:w="699"/>
        <w:gridCol w:w="572"/>
        <w:gridCol w:w="562"/>
        <w:gridCol w:w="426"/>
        <w:gridCol w:w="425"/>
        <w:gridCol w:w="419"/>
        <w:gridCol w:w="441"/>
        <w:gridCol w:w="567"/>
        <w:gridCol w:w="567"/>
        <w:gridCol w:w="567"/>
        <w:gridCol w:w="426"/>
        <w:gridCol w:w="567"/>
        <w:gridCol w:w="419"/>
        <w:gridCol w:w="572"/>
      </w:tblGrid>
      <w:tr w:rsidR="00A64028" w:rsidRPr="00507E3F" w:rsidTr="00F34DD1">
        <w:trPr>
          <w:cantSplit/>
          <w:trHeight w:val="3693"/>
        </w:trPr>
        <w:tc>
          <w:tcPr>
            <w:tcW w:w="287" w:type="dxa"/>
            <w:tcBorders>
              <w:top w:val="single" w:sz="4" w:space="0" w:color="auto"/>
              <w:left w:val="single" w:sz="4" w:space="0" w:color="auto"/>
              <w:bottom w:val="single" w:sz="4" w:space="0" w:color="auto"/>
              <w:right w:val="single" w:sz="4" w:space="0" w:color="auto"/>
            </w:tcBorders>
            <w:vAlign w:val="center"/>
            <w:hideMark/>
          </w:tcPr>
          <w:p w:rsidR="00A64028" w:rsidRPr="00507E3F" w:rsidRDefault="00A64028" w:rsidP="00103148">
            <w:pPr>
              <w:spacing w:after="0"/>
              <w:jc w:val="center"/>
              <w:rPr>
                <w:rFonts w:ascii="Arial Narrow" w:hAnsi="Arial Narrow" w:cs="Arial"/>
                <w:sz w:val="18"/>
                <w:szCs w:val="18"/>
              </w:rPr>
            </w:pPr>
            <w:r w:rsidRPr="00507E3F">
              <w:rPr>
                <w:rFonts w:ascii="Arial Narrow" w:hAnsi="Arial Narrow" w:cs="Arial"/>
                <w:sz w:val="18"/>
                <w:szCs w:val="18"/>
              </w:rPr>
              <w:t>№</w:t>
            </w:r>
          </w:p>
        </w:tc>
        <w:tc>
          <w:tcPr>
            <w:tcW w:w="2417" w:type="dxa"/>
            <w:tcBorders>
              <w:top w:val="single" w:sz="4" w:space="0" w:color="auto"/>
              <w:left w:val="nil"/>
              <w:bottom w:val="single" w:sz="4" w:space="0" w:color="auto"/>
              <w:right w:val="single" w:sz="4" w:space="0" w:color="auto"/>
            </w:tcBorders>
            <w:vAlign w:val="center"/>
            <w:hideMark/>
          </w:tcPr>
          <w:p w:rsidR="00A64028" w:rsidRPr="00507E3F" w:rsidRDefault="00A64028" w:rsidP="00F34DD1">
            <w:pPr>
              <w:spacing w:after="0" w:line="240" w:lineRule="auto"/>
              <w:ind w:left="148"/>
              <w:jc w:val="center"/>
              <w:rPr>
                <w:rFonts w:ascii="Arial Narrow" w:hAnsi="Arial Narrow" w:cs="Arial"/>
                <w:sz w:val="18"/>
                <w:szCs w:val="18"/>
              </w:rPr>
            </w:pPr>
            <w:r w:rsidRPr="00507E3F">
              <w:rPr>
                <w:rFonts w:ascii="Arial Narrow" w:hAnsi="Arial Narrow" w:cs="Arial"/>
                <w:sz w:val="18"/>
                <w:szCs w:val="18"/>
              </w:rPr>
              <w:t>Наименование показателя, единица измерения</w:t>
            </w:r>
          </w:p>
        </w:tc>
        <w:tc>
          <w:tcPr>
            <w:tcW w:w="699" w:type="dxa"/>
            <w:tcBorders>
              <w:top w:val="single" w:sz="4" w:space="0" w:color="auto"/>
              <w:left w:val="nil"/>
              <w:bottom w:val="single" w:sz="4" w:space="0" w:color="auto"/>
              <w:right w:val="single" w:sz="4" w:space="0" w:color="auto"/>
            </w:tcBorders>
            <w:textDirection w:val="btLr"/>
            <w:vAlign w:val="center"/>
            <w:hideMark/>
          </w:tcPr>
          <w:p w:rsidR="00A64028" w:rsidRPr="00507E3F" w:rsidRDefault="00A64028" w:rsidP="00F34DD1">
            <w:pPr>
              <w:spacing w:after="0" w:line="240" w:lineRule="auto"/>
              <w:ind w:left="113" w:right="113"/>
              <w:jc w:val="center"/>
              <w:rPr>
                <w:rFonts w:ascii="Arial Narrow" w:hAnsi="Arial Narrow" w:cs="Arial"/>
                <w:sz w:val="18"/>
                <w:szCs w:val="18"/>
              </w:rPr>
            </w:pPr>
            <w:r w:rsidRPr="00507E3F">
              <w:rPr>
                <w:rFonts w:ascii="Arial Narrow" w:hAnsi="Arial Narrow" w:cs="Arial"/>
                <w:sz w:val="18"/>
                <w:szCs w:val="18"/>
              </w:rPr>
              <w:t>Общий по Новосибирской области</w:t>
            </w:r>
          </w:p>
        </w:tc>
        <w:tc>
          <w:tcPr>
            <w:tcW w:w="572" w:type="dxa"/>
            <w:tcBorders>
              <w:top w:val="single" w:sz="4" w:space="0" w:color="auto"/>
              <w:left w:val="nil"/>
              <w:bottom w:val="single" w:sz="4" w:space="0" w:color="auto"/>
              <w:right w:val="single" w:sz="4" w:space="0" w:color="auto"/>
            </w:tcBorders>
            <w:noWrap/>
            <w:textDirection w:val="btLr"/>
            <w:vAlign w:val="center"/>
            <w:hideMark/>
          </w:tcPr>
          <w:p w:rsidR="00A64028" w:rsidRPr="00507E3F" w:rsidRDefault="00A64028" w:rsidP="00F34DD1">
            <w:pPr>
              <w:spacing w:after="0" w:line="240" w:lineRule="auto"/>
              <w:ind w:left="113" w:right="113"/>
              <w:jc w:val="center"/>
              <w:rPr>
                <w:rFonts w:ascii="Arial Narrow" w:eastAsia="Calibri" w:hAnsi="Arial Narrow"/>
                <w:sz w:val="18"/>
                <w:szCs w:val="18"/>
              </w:rPr>
            </w:pPr>
            <w:r w:rsidRPr="00507E3F">
              <w:rPr>
                <w:rFonts w:ascii="Arial Narrow" w:eastAsia="Calibri" w:hAnsi="Arial Narrow"/>
                <w:sz w:val="18"/>
                <w:szCs w:val="18"/>
              </w:rPr>
              <w:t>продовольственные товары</w:t>
            </w:r>
          </w:p>
        </w:tc>
        <w:tc>
          <w:tcPr>
            <w:tcW w:w="562" w:type="dxa"/>
            <w:tcBorders>
              <w:top w:val="single" w:sz="4" w:space="0" w:color="auto"/>
              <w:left w:val="nil"/>
              <w:bottom w:val="single" w:sz="4" w:space="0" w:color="auto"/>
              <w:right w:val="single" w:sz="4" w:space="0" w:color="auto"/>
            </w:tcBorders>
            <w:noWrap/>
            <w:textDirection w:val="btLr"/>
            <w:vAlign w:val="center"/>
            <w:hideMark/>
          </w:tcPr>
          <w:p w:rsidR="00A64028" w:rsidRPr="00507E3F" w:rsidRDefault="00A64028" w:rsidP="00F34DD1">
            <w:pPr>
              <w:spacing w:after="0" w:line="240" w:lineRule="auto"/>
              <w:ind w:left="113" w:right="113"/>
              <w:jc w:val="center"/>
              <w:rPr>
                <w:rFonts w:ascii="Arial Narrow" w:eastAsia="Calibri" w:hAnsi="Arial Narrow"/>
                <w:sz w:val="18"/>
                <w:szCs w:val="18"/>
              </w:rPr>
            </w:pPr>
            <w:r w:rsidRPr="00507E3F">
              <w:rPr>
                <w:rFonts w:ascii="Arial Narrow" w:eastAsia="Calibri" w:hAnsi="Arial Narrow"/>
                <w:sz w:val="18"/>
                <w:szCs w:val="18"/>
              </w:rPr>
              <w:t>непродовольственные товары</w:t>
            </w:r>
          </w:p>
        </w:tc>
        <w:tc>
          <w:tcPr>
            <w:tcW w:w="426" w:type="dxa"/>
            <w:tcBorders>
              <w:top w:val="single" w:sz="4" w:space="0" w:color="auto"/>
              <w:left w:val="nil"/>
              <w:bottom w:val="single" w:sz="4" w:space="0" w:color="auto"/>
              <w:right w:val="single" w:sz="4" w:space="0" w:color="auto"/>
            </w:tcBorders>
            <w:noWrap/>
            <w:textDirection w:val="btLr"/>
            <w:vAlign w:val="center"/>
            <w:hideMark/>
          </w:tcPr>
          <w:p w:rsidR="00A64028" w:rsidRPr="00507E3F" w:rsidRDefault="00A64028" w:rsidP="00F34DD1">
            <w:pPr>
              <w:spacing w:after="0" w:line="240" w:lineRule="auto"/>
              <w:ind w:left="113" w:right="113"/>
              <w:jc w:val="center"/>
              <w:rPr>
                <w:rFonts w:ascii="Arial Narrow" w:eastAsia="Calibri" w:hAnsi="Arial Narrow"/>
                <w:sz w:val="18"/>
                <w:szCs w:val="18"/>
              </w:rPr>
            </w:pPr>
            <w:r w:rsidRPr="00507E3F">
              <w:rPr>
                <w:rFonts w:ascii="Arial Narrow" w:eastAsia="Calibri" w:hAnsi="Arial Narrow"/>
                <w:sz w:val="18"/>
                <w:szCs w:val="18"/>
              </w:rPr>
              <w:t>услуги дошкольного образования</w:t>
            </w:r>
          </w:p>
        </w:tc>
        <w:tc>
          <w:tcPr>
            <w:tcW w:w="425" w:type="dxa"/>
            <w:tcBorders>
              <w:top w:val="single" w:sz="4" w:space="0" w:color="auto"/>
              <w:left w:val="nil"/>
              <w:bottom w:val="single" w:sz="4" w:space="0" w:color="auto"/>
              <w:right w:val="single" w:sz="4" w:space="0" w:color="auto"/>
            </w:tcBorders>
            <w:noWrap/>
            <w:textDirection w:val="btLr"/>
            <w:vAlign w:val="center"/>
            <w:hideMark/>
          </w:tcPr>
          <w:p w:rsidR="00A64028" w:rsidRPr="00507E3F" w:rsidRDefault="00A64028" w:rsidP="00F34DD1">
            <w:pPr>
              <w:spacing w:after="0" w:line="240" w:lineRule="auto"/>
              <w:ind w:left="113" w:right="113"/>
              <w:jc w:val="center"/>
              <w:rPr>
                <w:rFonts w:ascii="Arial Narrow" w:eastAsia="Calibri" w:hAnsi="Arial Narrow"/>
                <w:sz w:val="18"/>
                <w:szCs w:val="18"/>
              </w:rPr>
            </w:pPr>
            <w:r w:rsidRPr="00507E3F">
              <w:rPr>
                <w:rFonts w:ascii="Arial Narrow" w:eastAsia="Calibri" w:hAnsi="Arial Narrow"/>
                <w:sz w:val="18"/>
                <w:szCs w:val="18"/>
              </w:rPr>
              <w:t>услуги детского отдыха и оздоровления</w:t>
            </w:r>
          </w:p>
        </w:tc>
        <w:tc>
          <w:tcPr>
            <w:tcW w:w="419" w:type="dxa"/>
            <w:tcBorders>
              <w:top w:val="single" w:sz="4" w:space="0" w:color="auto"/>
              <w:left w:val="nil"/>
              <w:bottom w:val="single" w:sz="4" w:space="0" w:color="auto"/>
              <w:right w:val="single" w:sz="4" w:space="0" w:color="auto"/>
            </w:tcBorders>
            <w:noWrap/>
            <w:textDirection w:val="btLr"/>
            <w:vAlign w:val="center"/>
            <w:hideMark/>
          </w:tcPr>
          <w:p w:rsidR="00A64028" w:rsidRPr="00507E3F" w:rsidRDefault="00A64028" w:rsidP="00F34DD1">
            <w:pPr>
              <w:spacing w:after="0" w:line="240" w:lineRule="auto"/>
              <w:ind w:left="113" w:right="113"/>
              <w:jc w:val="center"/>
              <w:rPr>
                <w:rFonts w:ascii="Arial Narrow" w:eastAsia="Calibri" w:hAnsi="Arial Narrow"/>
                <w:sz w:val="18"/>
                <w:szCs w:val="18"/>
              </w:rPr>
            </w:pPr>
            <w:r w:rsidRPr="00507E3F">
              <w:rPr>
                <w:rFonts w:ascii="Arial Narrow" w:eastAsia="Calibri" w:hAnsi="Arial Narrow"/>
                <w:sz w:val="18"/>
                <w:szCs w:val="18"/>
              </w:rPr>
              <w:t>услуги дополнительного образования детей</w:t>
            </w:r>
          </w:p>
        </w:tc>
        <w:tc>
          <w:tcPr>
            <w:tcW w:w="441" w:type="dxa"/>
            <w:tcBorders>
              <w:top w:val="single" w:sz="4" w:space="0" w:color="auto"/>
              <w:left w:val="nil"/>
              <w:bottom w:val="single" w:sz="4" w:space="0" w:color="auto"/>
              <w:right w:val="single" w:sz="4" w:space="0" w:color="auto"/>
            </w:tcBorders>
            <w:noWrap/>
            <w:textDirection w:val="btLr"/>
            <w:vAlign w:val="center"/>
            <w:hideMark/>
          </w:tcPr>
          <w:p w:rsidR="00A64028" w:rsidRPr="00507E3F" w:rsidRDefault="00A64028" w:rsidP="00F34DD1">
            <w:pPr>
              <w:spacing w:after="0" w:line="240" w:lineRule="auto"/>
              <w:ind w:left="113" w:right="113"/>
              <w:jc w:val="center"/>
              <w:rPr>
                <w:rFonts w:ascii="Arial Narrow" w:eastAsia="Calibri" w:hAnsi="Arial Narrow"/>
                <w:sz w:val="18"/>
                <w:szCs w:val="18"/>
              </w:rPr>
            </w:pPr>
            <w:r w:rsidRPr="00507E3F">
              <w:rPr>
                <w:rFonts w:ascii="Arial Narrow" w:eastAsia="Calibri" w:hAnsi="Arial Narrow"/>
                <w:sz w:val="18"/>
                <w:szCs w:val="18"/>
              </w:rPr>
              <w:t>медицинские услуги</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507E3F" w:rsidRDefault="00A64028" w:rsidP="00F34DD1">
            <w:pPr>
              <w:spacing w:after="0" w:line="240" w:lineRule="auto"/>
              <w:ind w:left="113" w:right="113"/>
              <w:jc w:val="center"/>
              <w:rPr>
                <w:rFonts w:ascii="Arial Narrow" w:eastAsia="Calibri" w:hAnsi="Arial Narrow"/>
                <w:sz w:val="18"/>
                <w:szCs w:val="18"/>
              </w:rPr>
            </w:pPr>
            <w:r w:rsidRPr="00507E3F">
              <w:rPr>
                <w:rFonts w:ascii="Arial Narrow" w:eastAsia="Calibri" w:hAnsi="Arial Narrow"/>
                <w:sz w:val="18"/>
                <w:szCs w:val="18"/>
              </w:rPr>
              <w:t>услуги психолого-педагогического сопровождения детей с ограниченными возможностями здоровья</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507E3F" w:rsidRDefault="00A64028" w:rsidP="00F34DD1">
            <w:pPr>
              <w:spacing w:after="0" w:line="240" w:lineRule="auto"/>
              <w:ind w:left="113" w:right="113"/>
              <w:jc w:val="center"/>
              <w:rPr>
                <w:rFonts w:ascii="Arial Narrow" w:eastAsia="Calibri" w:hAnsi="Arial Narrow"/>
                <w:sz w:val="18"/>
                <w:szCs w:val="18"/>
              </w:rPr>
            </w:pPr>
            <w:r w:rsidRPr="00507E3F">
              <w:rPr>
                <w:rFonts w:ascii="Arial Narrow" w:eastAsia="Calibri" w:hAnsi="Arial Narrow"/>
                <w:sz w:val="18"/>
                <w:szCs w:val="18"/>
              </w:rPr>
              <w:t>услуги жилищно-коммунального хозяйства</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507E3F" w:rsidRDefault="00A64028" w:rsidP="00F34DD1">
            <w:pPr>
              <w:spacing w:after="0" w:line="240" w:lineRule="auto"/>
              <w:ind w:left="113" w:right="113"/>
              <w:jc w:val="center"/>
              <w:rPr>
                <w:rFonts w:ascii="Arial Narrow" w:eastAsia="Calibri" w:hAnsi="Arial Narrow"/>
                <w:sz w:val="18"/>
                <w:szCs w:val="18"/>
              </w:rPr>
            </w:pPr>
            <w:r w:rsidRPr="00507E3F">
              <w:rPr>
                <w:rFonts w:ascii="Arial Narrow" w:eastAsia="Calibri" w:hAnsi="Arial Narrow"/>
                <w:sz w:val="18"/>
                <w:szCs w:val="18"/>
              </w:rPr>
              <w:t>услуги перевозок пассажиров наземным транспортом на межмуниципальных маршрутах</w:t>
            </w:r>
          </w:p>
        </w:tc>
        <w:tc>
          <w:tcPr>
            <w:tcW w:w="426" w:type="dxa"/>
            <w:tcBorders>
              <w:top w:val="single" w:sz="4" w:space="0" w:color="auto"/>
              <w:left w:val="nil"/>
              <w:bottom w:val="single" w:sz="4" w:space="0" w:color="auto"/>
              <w:right w:val="single" w:sz="4" w:space="0" w:color="auto"/>
            </w:tcBorders>
            <w:noWrap/>
            <w:textDirection w:val="btLr"/>
            <w:vAlign w:val="center"/>
            <w:hideMark/>
          </w:tcPr>
          <w:p w:rsidR="00A64028" w:rsidRPr="00507E3F" w:rsidRDefault="00A64028" w:rsidP="00F34DD1">
            <w:pPr>
              <w:spacing w:after="0" w:line="240" w:lineRule="auto"/>
              <w:ind w:left="113" w:right="113"/>
              <w:jc w:val="center"/>
              <w:rPr>
                <w:rFonts w:ascii="Arial Narrow" w:eastAsia="Calibri" w:hAnsi="Arial Narrow"/>
                <w:sz w:val="18"/>
                <w:szCs w:val="18"/>
              </w:rPr>
            </w:pPr>
            <w:r w:rsidRPr="00507E3F">
              <w:rPr>
                <w:rFonts w:ascii="Arial Narrow" w:eastAsia="Calibri" w:hAnsi="Arial Narrow"/>
                <w:sz w:val="18"/>
                <w:szCs w:val="18"/>
              </w:rPr>
              <w:t>услуги связи</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507E3F" w:rsidRDefault="00A64028" w:rsidP="00F34DD1">
            <w:pPr>
              <w:spacing w:after="0" w:line="240" w:lineRule="auto"/>
              <w:ind w:left="113" w:right="113"/>
              <w:jc w:val="center"/>
              <w:rPr>
                <w:rFonts w:ascii="Arial Narrow" w:eastAsia="Calibri" w:hAnsi="Arial Narrow"/>
                <w:sz w:val="18"/>
                <w:szCs w:val="18"/>
              </w:rPr>
            </w:pPr>
            <w:r w:rsidRPr="00507E3F">
              <w:rPr>
                <w:rFonts w:ascii="Arial Narrow" w:eastAsia="Calibri" w:hAnsi="Arial Narrow"/>
                <w:sz w:val="18"/>
                <w:szCs w:val="18"/>
              </w:rPr>
              <w:t>услуги социального обслуживания населения</w:t>
            </w:r>
          </w:p>
        </w:tc>
        <w:tc>
          <w:tcPr>
            <w:tcW w:w="419" w:type="dxa"/>
            <w:tcBorders>
              <w:top w:val="single" w:sz="4" w:space="0" w:color="auto"/>
              <w:left w:val="nil"/>
              <w:bottom w:val="single" w:sz="4" w:space="0" w:color="auto"/>
              <w:right w:val="single" w:sz="4" w:space="0" w:color="auto"/>
            </w:tcBorders>
            <w:noWrap/>
            <w:textDirection w:val="btLr"/>
            <w:vAlign w:val="center"/>
            <w:hideMark/>
          </w:tcPr>
          <w:p w:rsidR="00A64028" w:rsidRPr="00507E3F" w:rsidRDefault="00A64028" w:rsidP="00F34DD1">
            <w:pPr>
              <w:spacing w:after="0" w:line="240" w:lineRule="auto"/>
              <w:ind w:left="113" w:right="113"/>
              <w:jc w:val="center"/>
              <w:rPr>
                <w:rFonts w:ascii="Arial Narrow" w:eastAsia="Calibri" w:hAnsi="Arial Narrow"/>
                <w:sz w:val="18"/>
                <w:szCs w:val="18"/>
              </w:rPr>
            </w:pPr>
            <w:r w:rsidRPr="00507E3F">
              <w:rPr>
                <w:rFonts w:ascii="Arial Narrow" w:eastAsia="Calibri" w:hAnsi="Arial Narrow"/>
                <w:sz w:val="18"/>
                <w:szCs w:val="18"/>
              </w:rPr>
              <w:t>услуги в сфере культуры</w:t>
            </w:r>
          </w:p>
        </w:tc>
        <w:tc>
          <w:tcPr>
            <w:tcW w:w="572" w:type="dxa"/>
            <w:tcBorders>
              <w:top w:val="single" w:sz="4" w:space="0" w:color="auto"/>
              <w:left w:val="nil"/>
              <w:bottom w:val="single" w:sz="4" w:space="0" w:color="auto"/>
              <w:right w:val="single" w:sz="4" w:space="0" w:color="auto"/>
            </w:tcBorders>
            <w:noWrap/>
            <w:textDirection w:val="btLr"/>
            <w:vAlign w:val="center"/>
            <w:hideMark/>
          </w:tcPr>
          <w:p w:rsidR="00A64028" w:rsidRPr="00507E3F" w:rsidRDefault="00A64028" w:rsidP="00F34DD1">
            <w:pPr>
              <w:spacing w:after="0" w:line="240" w:lineRule="auto"/>
              <w:ind w:left="113" w:right="113"/>
              <w:jc w:val="center"/>
              <w:rPr>
                <w:rFonts w:ascii="Arial Narrow" w:eastAsia="Calibri" w:hAnsi="Arial Narrow"/>
                <w:sz w:val="18"/>
                <w:szCs w:val="18"/>
              </w:rPr>
            </w:pPr>
            <w:r w:rsidRPr="00507E3F">
              <w:rPr>
                <w:rFonts w:ascii="Arial Narrow" w:eastAsia="Calibri" w:hAnsi="Arial Narrow"/>
                <w:sz w:val="18"/>
                <w:szCs w:val="18"/>
              </w:rPr>
              <w:t>сбор, сортировка и переработка мусора</w:t>
            </w:r>
          </w:p>
        </w:tc>
      </w:tr>
      <w:tr w:rsidR="00A64028" w:rsidRPr="00507E3F" w:rsidTr="00F34DD1">
        <w:tc>
          <w:tcPr>
            <w:tcW w:w="287" w:type="dxa"/>
            <w:tcBorders>
              <w:top w:val="nil"/>
              <w:left w:val="single" w:sz="4" w:space="0" w:color="auto"/>
              <w:bottom w:val="single" w:sz="4" w:space="0" w:color="auto"/>
              <w:right w:val="single" w:sz="4" w:space="0" w:color="auto"/>
            </w:tcBorders>
            <w:vAlign w:val="center"/>
            <w:hideMark/>
          </w:tcPr>
          <w:p w:rsidR="00A64028" w:rsidRPr="00507E3F" w:rsidRDefault="00A64028" w:rsidP="00103148">
            <w:pPr>
              <w:spacing w:after="0"/>
              <w:jc w:val="center"/>
              <w:rPr>
                <w:rFonts w:ascii="Arial Narrow" w:hAnsi="Arial Narrow" w:cs="Arial"/>
                <w:b/>
                <w:bCs/>
                <w:sz w:val="18"/>
                <w:szCs w:val="18"/>
              </w:rPr>
            </w:pPr>
            <w:r w:rsidRPr="00507E3F">
              <w:rPr>
                <w:rFonts w:ascii="Arial Narrow" w:hAnsi="Arial Narrow" w:cs="Arial"/>
                <w:b/>
                <w:bCs/>
                <w:sz w:val="18"/>
                <w:szCs w:val="18"/>
              </w:rPr>
              <w:t>2.</w:t>
            </w:r>
          </w:p>
        </w:tc>
        <w:tc>
          <w:tcPr>
            <w:tcW w:w="9646" w:type="dxa"/>
            <w:gridSpan w:val="15"/>
            <w:tcBorders>
              <w:top w:val="single" w:sz="4" w:space="0" w:color="auto"/>
              <w:left w:val="nil"/>
              <w:bottom w:val="single" w:sz="4" w:space="0" w:color="auto"/>
              <w:right w:val="single" w:sz="4" w:space="0" w:color="000000"/>
            </w:tcBorders>
            <w:vAlign w:val="center"/>
            <w:hideMark/>
          </w:tcPr>
          <w:p w:rsidR="00A64028" w:rsidRPr="00F34DD1" w:rsidRDefault="00A64028" w:rsidP="00103148">
            <w:pPr>
              <w:spacing w:after="0"/>
              <w:ind w:left="148"/>
              <w:rPr>
                <w:rFonts w:ascii="Arial Narrow" w:hAnsi="Arial Narrow" w:cs="Arial"/>
                <w:b/>
                <w:bCs/>
                <w:sz w:val="18"/>
                <w:szCs w:val="18"/>
              </w:rPr>
            </w:pPr>
            <w:r w:rsidRPr="00F34DD1">
              <w:rPr>
                <w:rFonts w:ascii="Arial Narrow" w:hAnsi="Arial Narrow" w:cs="Arial"/>
                <w:b/>
                <w:bCs/>
                <w:sz w:val="18"/>
                <w:szCs w:val="18"/>
              </w:rPr>
              <w:t>Мониторинг удовлетворенности потребителей качеством товаров, работ и услуг на товарных рынках Новосибирской области и состоянием ценовой конкуренции</w:t>
            </w:r>
          </w:p>
        </w:tc>
      </w:tr>
      <w:tr w:rsidR="00A64028" w:rsidRPr="00507E3F" w:rsidTr="00F34DD1">
        <w:tc>
          <w:tcPr>
            <w:tcW w:w="287" w:type="dxa"/>
            <w:tcBorders>
              <w:top w:val="nil"/>
              <w:left w:val="single" w:sz="4" w:space="0" w:color="auto"/>
              <w:bottom w:val="single" w:sz="4" w:space="0" w:color="auto"/>
              <w:right w:val="single" w:sz="4" w:space="0" w:color="auto"/>
            </w:tcBorders>
            <w:vAlign w:val="center"/>
            <w:hideMark/>
          </w:tcPr>
          <w:p w:rsidR="00A64028" w:rsidRPr="00507E3F" w:rsidRDefault="00A64028" w:rsidP="00103148">
            <w:pPr>
              <w:spacing w:after="0"/>
              <w:jc w:val="center"/>
              <w:rPr>
                <w:rFonts w:ascii="Arial Narrow" w:hAnsi="Arial Narrow" w:cs="Arial"/>
                <w:sz w:val="18"/>
                <w:szCs w:val="18"/>
              </w:rPr>
            </w:pPr>
            <w:r w:rsidRPr="00507E3F">
              <w:rPr>
                <w:rFonts w:ascii="Arial Narrow" w:hAnsi="Arial Narrow" w:cs="Arial"/>
                <w:sz w:val="18"/>
                <w:szCs w:val="18"/>
              </w:rPr>
              <w:t>2.6.</w:t>
            </w:r>
          </w:p>
        </w:tc>
        <w:tc>
          <w:tcPr>
            <w:tcW w:w="2417" w:type="dxa"/>
            <w:tcBorders>
              <w:top w:val="nil"/>
              <w:left w:val="nil"/>
              <w:bottom w:val="single" w:sz="4" w:space="0" w:color="auto"/>
              <w:right w:val="single" w:sz="4" w:space="0" w:color="auto"/>
            </w:tcBorders>
            <w:vAlign w:val="center"/>
            <w:hideMark/>
          </w:tcPr>
          <w:p w:rsidR="00A64028" w:rsidRPr="00F34DD1" w:rsidRDefault="00A64028" w:rsidP="00103148">
            <w:pPr>
              <w:spacing w:after="0"/>
              <w:ind w:left="148" w:right="142"/>
              <w:rPr>
                <w:rFonts w:ascii="Arial Narrow" w:hAnsi="Arial Narrow" w:cs="Arial"/>
                <w:sz w:val="18"/>
                <w:szCs w:val="18"/>
              </w:rPr>
            </w:pPr>
            <w:r w:rsidRPr="00F34DD1">
              <w:rPr>
                <w:rFonts w:ascii="Arial Narrow" w:hAnsi="Arial Narrow" w:cs="Arial"/>
                <w:bCs/>
                <w:sz w:val="18"/>
                <w:szCs w:val="18"/>
              </w:rPr>
              <w:t>Отношение потребителей к уровню цен на товары и услуги социально значимых и приоритетных рынков Новосибирской области по сравнению с ценами на данные товары и услуги в других регионах РФ (% от числа опрошенных)</w:t>
            </w:r>
          </w:p>
        </w:tc>
        <w:tc>
          <w:tcPr>
            <w:tcW w:w="699" w:type="dxa"/>
            <w:tcBorders>
              <w:top w:val="nil"/>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hAnsi="Arial Narrow" w:cs="Arial"/>
                <w:sz w:val="18"/>
                <w:szCs w:val="18"/>
              </w:rPr>
            </w:pPr>
            <w:r w:rsidRPr="00507E3F">
              <w:rPr>
                <w:rFonts w:ascii="Arial Narrow" w:hAnsi="Arial Narrow" w:cs="Arial"/>
                <w:sz w:val="18"/>
                <w:szCs w:val="18"/>
              </w:rPr>
              <w:t>9,1%</w:t>
            </w:r>
          </w:p>
        </w:tc>
        <w:tc>
          <w:tcPr>
            <w:tcW w:w="572" w:type="dxa"/>
            <w:tcBorders>
              <w:top w:val="nil"/>
              <w:left w:val="nil"/>
              <w:bottom w:val="single" w:sz="4" w:space="0" w:color="auto"/>
              <w:right w:val="single" w:sz="4" w:space="0" w:color="auto"/>
            </w:tcBorders>
            <w:noWrap/>
            <w:vAlign w:val="center"/>
            <w:hideMark/>
          </w:tcPr>
          <w:p w:rsidR="00A64028" w:rsidRPr="00507E3F" w:rsidRDefault="00A64028" w:rsidP="00103148">
            <w:pPr>
              <w:spacing w:after="0" w:line="254" w:lineRule="auto"/>
              <w:jc w:val="center"/>
              <w:rPr>
                <w:rFonts w:ascii="Arial Narrow" w:eastAsia="Calibri" w:hAnsi="Arial Narrow"/>
                <w:sz w:val="18"/>
                <w:szCs w:val="18"/>
              </w:rPr>
            </w:pPr>
            <w:r w:rsidRPr="00507E3F">
              <w:rPr>
                <w:rFonts w:ascii="Arial Narrow" w:eastAsia="Calibri" w:hAnsi="Arial Narrow"/>
                <w:sz w:val="18"/>
                <w:szCs w:val="18"/>
              </w:rPr>
              <w:t>39,9%</w:t>
            </w:r>
          </w:p>
        </w:tc>
        <w:tc>
          <w:tcPr>
            <w:tcW w:w="562" w:type="dxa"/>
            <w:tcBorders>
              <w:top w:val="nil"/>
              <w:left w:val="nil"/>
              <w:bottom w:val="single" w:sz="4" w:space="0" w:color="auto"/>
              <w:right w:val="single" w:sz="4" w:space="0" w:color="auto"/>
            </w:tcBorders>
            <w:noWrap/>
            <w:vAlign w:val="center"/>
            <w:hideMark/>
          </w:tcPr>
          <w:p w:rsidR="00A64028" w:rsidRPr="00507E3F" w:rsidRDefault="00A64028" w:rsidP="00103148">
            <w:pPr>
              <w:spacing w:after="0" w:line="254" w:lineRule="auto"/>
              <w:jc w:val="center"/>
              <w:rPr>
                <w:rFonts w:ascii="Arial Narrow" w:eastAsia="Calibri" w:hAnsi="Arial Narrow"/>
                <w:sz w:val="18"/>
                <w:szCs w:val="18"/>
              </w:rPr>
            </w:pPr>
            <w:r w:rsidRPr="00507E3F">
              <w:rPr>
                <w:rFonts w:ascii="Arial Narrow" w:eastAsia="Calibri" w:hAnsi="Arial Narrow"/>
                <w:sz w:val="18"/>
                <w:szCs w:val="18"/>
              </w:rPr>
              <w:t>16,8%</w:t>
            </w:r>
          </w:p>
        </w:tc>
        <w:tc>
          <w:tcPr>
            <w:tcW w:w="426" w:type="dxa"/>
            <w:tcBorders>
              <w:top w:val="nil"/>
              <w:left w:val="nil"/>
              <w:bottom w:val="single" w:sz="4" w:space="0" w:color="auto"/>
              <w:right w:val="single" w:sz="4" w:space="0" w:color="auto"/>
            </w:tcBorders>
            <w:noWrap/>
            <w:vAlign w:val="center"/>
            <w:hideMark/>
          </w:tcPr>
          <w:p w:rsidR="00A64028" w:rsidRPr="00507E3F" w:rsidRDefault="00A64028" w:rsidP="00103148">
            <w:pPr>
              <w:spacing w:after="0" w:line="254" w:lineRule="auto"/>
              <w:jc w:val="center"/>
              <w:rPr>
                <w:rFonts w:ascii="Arial Narrow" w:eastAsia="Calibri" w:hAnsi="Arial Narrow"/>
                <w:sz w:val="18"/>
                <w:szCs w:val="18"/>
              </w:rPr>
            </w:pPr>
            <w:r w:rsidRPr="00507E3F">
              <w:rPr>
                <w:rFonts w:ascii="Arial Narrow" w:eastAsia="Calibri" w:hAnsi="Arial Narrow"/>
                <w:sz w:val="18"/>
                <w:szCs w:val="18"/>
              </w:rPr>
              <w:t>5,2%</w:t>
            </w:r>
          </w:p>
        </w:tc>
        <w:tc>
          <w:tcPr>
            <w:tcW w:w="425" w:type="dxa"/>
            <w:tcBorders>
              <w:top w:val="nil"/>
              <w:left w:val="nil"/>
              <w:bottom w:val="single" w:sz="4" w:space="0" w:color="auto"/>
              <w:right w:val="single" w:sz="4" w:space="0" w:color="auto"/>
            </w:tcBorders>
            <w:noWrap/>
            <w:vAlign w:val="center"/>
            <w:hideMark/>
          </w:tcPr>
          <w:p w:rsidR="00A64028" w:rsidRPr="00507E3F" w:rsidRDefault="00A64028" w:rsidP="00103148">
            <w:pPr>
              <w:spacing w:after="0" w:line="254" w:lineRule="auto"/>
              <w:jc w:val="center"/>
              <w:rPr>
                <w:rFonts w:ascii="Arial Narrow" w:eastAsia="Calibri" w:hAnsi="Arial Narrow"/>
                <w:sz w:val="18"/>
                <w:szCs w:val="18"/>
              </w:rPr>
            </w:pPr>
            <w:r w:rsidRPr="00507E3F">
              <w:rPr>
                <w:rFonts w:ascii="Arial Narrow" w:eastAsia="Calibri" w:hAnsi="Arial Narrow"/>
                <w:sz w:val="18"/>
                <w:szCs w:val="18"/>
              </w:rPr>
              <w:t>3,9%</w:t>
            </w:r>
          </w:p>
        </w:tc>
        <w:tc>
          <w:tcPr>
            <w:tcW w:w="419" w:type="dxa"/>
            <w:tcBorders>
              <w:top w:val="nil"/>
              <w:left w:val="nil"/>
              <w:bottom w:val="single" w:sz="4" w:space="0" w:color="auto"/>
              <w:right w:val="single" w:sz="4" w:space="0" w:color="auto"/>
            </w:tcBorders>
            <w:noWrap/>
            <w:vAlign w:val="center"/>
            <w:hideMark/>
          </w:tcPr>
          <w:p w:rsidR="00A64028" w:rsidRPr="00507E3F" w:rsidRDefault="00A64028" w:rsidP="00103148">
            <w:pPr>
              <w:spacing w:after="0" w:line="254" w:lineRule="auto"/>
              <w:jc w:val="center"/>
              <w:rPr>
                <w:rFonts w:ascii="Arial Narrow" w:eastAsia="Calibri" w:hAnsi="Arial Narrow"/>
                <w:sz w:val="18"/>
                <w:szCs w:val="18"/>
              </w:rPr>
            </w:pPr>
            <w:r w:rsidRPr="00507E3F">
              <w:rPr>
                <w:rFonts w:ascii="Arial Narrow" w:eastAsia="Calibri" w:hAnsi="Arial Narrow"/>
                <w:sz w:val="18"/>
                <w:szCs w:val="18"/>
              </w:rPr>
              <w:t>3,5%</w:t>
            </w:r>
          </w:p>
        </w:tc>
        <w:tc>
          <w:tcPr>
            <w:tcW w:w="441" w:type="dxa"/>
            <w:tcBorders>
              <w:top w:val="nil"/>
              <w:left w:val="nil"/>
              <w:bottom w:val="single" w:sz="4" w:space="0" w:color="auto"/>
              <w:right w:val="single" w:sz="4" w:space="0" w:color="auto"/>
            </w:tcBorders>
            <w:noWrap/>
            <w:vAlign w:val="center"/>
            <w:hideMark/>
          </w:tcPr>
          <w:p w:rsidR="00A64028" w:rsidRPr="00507E3F" w:rsidRDefault="00A64028" w:rsidP="00103148">
            <w:pPr>
              <w:spacing w:after="0" w:line="254" w:lineRule="auto"/>
              <w:jc w:val="center"/>
              <w:rPr>
                <w:rFonts w:ascii="Arial Narrow" w:eastAsia="Calibri" w:hAnsi="Arial Narrow"/>
                <w:sz w:val="18"/>
                <w:szCs w:val="18"/>
              </w:rPr>
            </w:pPr>
            <w:r w:rsidRPr="00507E3F">
              <w:rPr>
                <w:rFonts w:ascii="Arial Narrow" w:eastAsia="Calibri" w:hAnsi="Arial Narrow"/>
                <w:sz w:val="18"/>
                <w:szCs w:val="18"/>
              </w:rPr>
              <w:t>10,4%</w:t>
            </w:r>
          </w:p>
        </w:tc>
        <w:tc>
          <w:tcPr>
            <w:tcW w:w="567" w:type="dxa"/>
            <w:tcBorders>
              <w:top w:val="nil"/>
              <w:left w:val="nil"/>
              <w:bottom w:val="single" w:sz="4" w:space="0" w:color="auto"/>
              <w:right w:val="single" w:sz="4" w:space="0" w:color="auto"/>
            </w:tcBorders>
            <w:noWrap/>
            <w:vAlign w:val="center"/>
            <w:hideMark/>
          </w:tcPr>
          <w:p w:rsidR="00A64028" w:rsidRPr="00507E3F" w:rsidRDefault="00A64028" w:rsidP="00103148">
            <w:pPr>
              <w:spacing w:after="0" w:line="254" w:lineRule="auto"/>
              <w:jc w:val="center"/>
              <w:rPr>
                <w:rFonts w:ascii="Arial Narrow" w:eastAsia="Calibri" w:hAnsi="Arial Narrow"/>
                <w:sz w:val="18"/>
                <w:szCs w:val="18"/>
              </w:rPr>
            </w:pPr>
            <w:r w:rsidRPr="00507E3F">
              <w:rPr>
                <w:rFonts w:ascii="Arial Narrow" w:eastAsia="Calibri" w:hAnsi="Arial Narrow"/>
                <w:sz w:val="18"/>
                <w:szCs w:val="18"/>
              </w:rPr>
              <w:t>2,9%</w:t>
            </w:r>
          </w:p>
        </w:tc>
        <w:tc>
          <w:tcPr>
            <w:tcW w:w="567" w:type="dxa"/>
            <w:tcBorders>
              <w:top w:val="nil"/>
              <w:left w:val="nil"/>
              <w:bottom w:val="single" w:sz="4" w:space="0" w:color="auto"/>
              <w:right w:val="single" w:sz="4" w:space="0" w:color="auto"/>
            </w:tcBorders>
            <w:noWrap/>
            <w:vAlign w:val="center"/>
            <w:hideMark/>
          </w:tcPr>
          <w:p w:rsidR="00A64028" w:rsidRPr="00507E3F" w:rsidRDefault="00A64028" w:rsidP="00103148">
            <w:pPr>
              <w:spacing w:after="0" w:line="254" w:lineRule="auto"/>
              <w:jc w:val="center"/>
              <w:rPr>
                <w:rFonts w:ascii="Arial Narrow" w:eastAsia="Calibri" w:hAnsi="Arial Narrow"/>
                <w:sz w:val="18"/>
                <w:szCs w:val="18"/>
              </w:rPr>
            </w:pPr>
            <w:r w:rsidRPr="00507E3F">
              <w:rPr>
                <w:rFonts w:ascii="Arial Narrow" w:eastAsia="Calibri" w:hAnsi="Arial Narrow"/>
                <w:sz w:val="18"/>
                <w:szCs w:val="18"/>
              </w:rPr>
              <w:t>14,4%</w:t>
            </w:r>
          </w:p>
        </w:tc>
        <w:tc>
          <w:tcPr>
            <w:tcW w:w="567" w:type="dxa"/>
            <w:tcBorders>
              <w:top w:val="nil"/>
              <w:left w:val="nil"/>
              <w:bottom w:val="single" w:sz="4" w:space="0" w:color="auto"/>
              <w:right w:val="single" w:sz="4" w:space="0" w:color="auto"/>
            </w:tcBorders>
            <w:noWrap/>
            <w:vAlign w:val="center"/>
            <w:hideMark/>
          </w:tcPr>
          <w:p w:rsidR="00A64028" w:rsidRPr="00507E3F" w:rsidRDefault="00A64028" w:rsidP="00103148">
            <w:pPr>
              <w:spacing w:after="0" w:line="254" w:lineRule="auto"/>
              <w:jc w:val="center"/>
              <w:rPr>
                <w:rFonts w:ascii="Arial Narrow" w:eastAsia="Calibri" w:hAnsi="Arial Narrow"/>
                <w:sz w:val="18"/>
                <w:szCs w:val="18"/>
              </w:rPr>
            </w:pPr>
            <w:r w:rsidRPr="00507E3F">
              <w:rPr>
                <w:rFonts w:ascii="Arial Narrow" w:eastAsia="Calibri" w:hAnsi="Arial Narrow"/>
                <w:sz w:val="18"/>
                <w:szCs w:val="18"/>
              </w:rPr>
              <w:t>5,5%</w:t>
            </w:r>
          </w:p>
        </w:tc>
        <w:tc>
          <w:tcPr>
            <w:tcW w:w="426" w:type="dxa"/>
            <w:tcBorders>
              <w:top w:val="nil"/>
              <w:left w:val="nil"/>
              <w:bottom w:val="single" w:sz="4" w:space="0" w:color="auto"/>
              <w:right w:val="single" w:sz="4" w:space="0" w:color="auto"/>
            </w:tcBorders>
            <w:noWrap/>
            <w:vAlign w:val="center"/>
            <w:hideMark/>
          </w:tcPr>
          <w:p w:rsidR="00A64028" w:rsidRPr="00507E3F" w:rsidRDefault="00A64028" w:rsidP="00103148">
            <w:pPr>
              <w:spacing w:after="0" w:line="254" w:lineRule="auto"/>
              <w:jc w:val="center"/>
              <w:rPr>
                <w:rFonts w:ascii="Arial Narrow" w:eastAsia="Calibri" w:hAnsi="Arial Narrow"/>
                <w:sz w:val="18"/>
                <w:szCs w:val="18"/>
              </w:rPr>
            </w:pPr>
            <w:r w:rsidRPr="00507E3F">
              <w:rPr>
                <w:rFonts w:ascii="Arial Narrow" w:eastAsia="Calibri" w:hAnsi="Arial Narrow"/>
                <w:sz w:val="18"/>
                <w:szCs w:val="18"/>
              </w:rPr>
              <w:t>4,6%</w:t>
            </w:r>
          </w:p>
        </w:tc>
        <w:tc>
          <w:tcPr>
            <w:tcW w:w="567" w:type="dxa"/>
            <w:tcBorders>
              <w:top w:val="nil"/>
              <w:left w:val="nil"/>
              <w:bottom w:val="single" w:sz="4" w:space="0" w:color="auto"/>
              <w:right w:val="single" w:sz="4" w:space="0" w:color="auto"/>
            </w:tcBorders>
            <w:noWrap/>
            <w:vAlign w:val="center"/>
            <w:hideMark/>
          </w:tcPr>
          <w:p w:rsidR="00A64028" w:rsidRPr="00507E3F" w:rsidRDefault="00A64028" w:rsidP="00103148">
            <w:pPr>
              <w:spacing w:after="0" w:line="254" w:lineRule="auto"/>
              <w:jc w:val="center"/>
              <w:rPr>
                <w:rFonts w:ascii="Arial Narrow" w:eastAsia="Calibri" w:hAnsi="Arial Narrow"/>
                <w:sz w:val="18"/>
                <w:szCs w:val="18"/>
              </w:rPr>
            </w:pPr>
            <w:r w:rsidRPr="00507E3F">
              <w:rPr>
                <w:rFonts w:ascii="Arial Narrow" w:eastAsia="Calibri" w:hAnsi="Arial Narrow"/>
                <w:sz w:val="18"/>
                <w:szCs w:val="18"/>
              </w:rPr>
              <w:t>3,0%</w:t>
            </w:r>
          </w:p>
        </w:tc>
        <w:tc>
          <w:tcPr>
            <w:tcW w:w="419" w:type="dxa"/>
            <w:tcBorders>
              <w:top w:val="nil"/>
              <w:left w:val="nil"/>
              <w:bottom w:val="single" w:sz="4" w:space="0" w:color="auto"/>
              <w:right w:val="single" w:sz="4" w:space="0" w:color="auto"/>
            </w:tcBorders>
            <w:noWrap/>
            <w:vAlign w:val="center"/>
            <w:hideMark/>
          </w:tcPr>
          <w:p w:rsidR="00A64028" w:rsidRPr="00507E3F" w:rsidRDefault="00A64028" w:rsidP="00103148">
            <w:pPr>
              <w:spacing w:after="0" w:line="254" w:lineRule="auto"/>
              <w:jc w:val="center"/>
              <w:rPr>
                <w:rFonts w:ascii="Arial Narrow" w:eastAsia="Calibri" w:hAnsi="Arial Narrow"/>
                <w:sz w:val="18"/>
                <w:szCs w:val="18"/>
              </w:rPr>
            </w:pPr>
            <w:r w:rsidRPr="00507E3F">
              <w:rPr>
                <w:rFonts w:ascii="Arial Narrow" w:eastAsia="Calibri" w:hAnsi="Arial Narrow"/>
                <w:sz w:val="18"/>
                <w:szCs w:val="18"/>
              </w:rPr>
              <w:t>3,1%</w:t>
            </w:r>
          </w:p>
        </w:tc>
        <w:tc>
          <w:tcPr>
            <w:tcW w:w="572" w:type="dxa"/>
            <w:tcBorders>
              <w:top w:val="nil"/>
              <w:left w:val="nil"/>
              <w:bottom w:val="single" w:sz="4" w:space="0" w:color="auto"/>
              <w:right w:val="single" w:sz="4" w:space="0" w:color="auto"/>
            </w:tcBorders>
            <w:noWrap/>
            <w:vAlign w:val="center"/>
            <w:hideMark/>
          </w:tcPr>
          <w:p w:rsidR="00A64028" w:rsidRPr="00507E3F" w:rsidRDefault="00A64028" w:rsidP="00103148">
            <w:pPr>
              <w:spacing w:after="0" w:line="254" w:lineRule="auto"/>
              <w:jc w:val="center"/>
              <w:rPr>
                <w:rFonts w:ascii="Arial Narrow" w:eastAsia="Calibri" w:hAnsi="Arial Narrow"/>
                <w:sz w:val="18"/>
                <w:szCs w:val="18"/>
              </w:rPr>
            </w:pPr>
            <w:r w:rsidRPr="00507E3F">
              <w:rPr>
                <w:rFonts w:ascii="Arial Narrow" w:eastAsia="Calibri" w:hAnsi="Arial Narrow"/>
                <w:sz w:val="18"/>
                <w:szCs w:val="18"/>
              </w:rPr>
              <w:t>5,2%</w:t>
            </w:r>
          </w:p>
        </w:tc>
      </w:tr>
    </w:tbl>
    <w:p w:rsidR="00A64028" w:rsidRPr="000D5501" w:rsidRDefault="00A64028" w:rsidP="00103148">
      <w:pPr>
        <w:spacing w:after="0" w:line="360" w:lineRule="auto"/>
        <w:ind w:firstLine="284"/>
        <w:jc w:val="both"/>
        <w:rPr>
          <w:rFonts w:ascii="Arial Narrow" w:hAnsi="Arial Narrow" w:cs="Arial"/>
          <w:sz w:val="24"/>
          <w:szCs w:val="24"/>
        </w:rPr>
      </w:pPr>
    </w:p>
    <w:p w:rsidR="00A64028" w:rsidRPr="0030560B" w:rsidRDefault="00A64028" w:rsidP="00103148">
      <w:pPr>
        <w:spacing w:after="0" w:line="360" w:lineRule="auto"/>
        <w:ind w:firstLine="567"/>
        <w:jc w:val="both"/>
        <w:rPr>
          <w:rFonts w:ascii="Arial Narrow" w:hAnsi="Arial Narrow"/>
          <w:b/>
          <w:sz w:val="24"/>
          <w:szCs w:val="24"/>
        </w:rPr>
      </w:pPr>
      <w:r w:rsidRPr="0030560B">
        <w:rPr>
          <w:rFonts w:ascii="Arial Narrow" w:hAnsi="Arial Narrow"/>
          <w:b/>
          <w:sz w:val="24"/>
          <w:szCs w:val="24"/>
        </w:rPr>
        <w:br w:type="page"/>
      </w:r>
    </w:p>
    <w:p w:rsidR="00A64028" w:rsidRPr="0030560B" w:rsidRDefault="00A64028" w:rsidP="00372BCB">
      <w:pPr>
        <w:pStyle w:val="1"/>
        <w:jc w:val="both"/>
        <w:rPr>
          <w:rFonts w:ascii="Arial Narrow" w:hAnsi="Arial Narrow"/>
        </w:rPr>
      </w:pPr>
      <w:bookmarkStart w:id="96" w:name="_Toc469663934"/>
      <w:bookmarkStart w:id="97" w:name="_Toc473725876"/>
      <w:r>
        <w:rPr>
          <w:rFonts w:ascii="Arial Narrow" w:hAnsi="Arial Narrow"/>
        </w:rPr>
        <w:lastRenderedPageBreak/>
        <w:t>4</w:t>
      </w:r>
      <w:r w:rsidRPr="0030560B">
        <w:rPr>
          <w:rFonts w:ascii="Arial Narrow" w:hAnsi="Arial Narrow"/>
        </w:rPr>
        <w:t xml:space="preserve">. </w:t>
      </w:r>
      <w:bookmarkEnd w:id="96"/>
      <w:r w:rsidRPr="0030560B">
        <w:rPr>
          <w:rFonts w:ascii="Arial Narrow" w:hAnsi="Arial Narrow"/>
        </w:rPr>
        <w:t>Оценка информации, размещаемой министерством экономического развития Новосибирской области и муниципальными районами и городскими округами Новосибирской области, о состоянии конкурентной среды на рынках товаров, работ и услуг Новосибирской области и деятельности по содействию развитию конкуренции</w:t>
      </w:r>
      <w:bookmarkEnd w:id="97"/>
    </w:p>
    <w:p w:rsidR="00A64028" w:rsidRPr="0030560B" w:rsidRDefault="00A64028" w:rsidP="00103148">
      <w:pPr>
        <w:pStyle w:val="a5"/>
        <w:ind w:firstLine="567"/>
        <w:jc w:val="both"/>
        <w:rPr>
          <w:rFonts w:ascii="Arial Narrow" w:hAnsi="Arial Narrow"/>
          <w:b/>
          <w:sz w:val="22"/>
          <w:szCs w:val="22"/>
        </w:rPr>
      </w:pPr>
    </w:p>
    <w:p w:rsidR="00A64028" w:rsidRDefault="00A64028" w:rsidP="00103148">
      <w:pPr>
        <w:spacing w:after="0" w:line="360" w:lineRule="auto"/>
        <w:ind w:firstLine="284"/>
        <w:jc w:val="both"/>
        <w:rPr>
          <w:rFonts w:ascii="Arial Narrow" w:hAnsi="Arial Narrow" w:cs="Arial"/>
          <w:b/>
          <w:sz w:val="24"/>
          <w:szCs w:val="24"/>
        </w:rPr>
      </w:pPr>
      <w:r>
        <w:rPr>
          <w:rFonts w:ascii="Arial Narrow" w:hAnsi="Arial Narrow" w:cs="Arial"/>
          <w:b/>
          <w:sz w:val="24"/>
          <w:szCs w:val="24"/>
        </w:rPr>
        <w:t>Значения показателя 3.1</w:t>
      </w:r>
      <w:r>
        <w:rPr>
          <w:rStyle w:val="af2"/>
          <w:rFonts w:ascii="Arial Narrow" w:hAnsi="Arial Narrow" w:cs="Arial"/>
          <w:b/>
          <w:sz w:val="24"/>
          <w:szCs w:val="24"/>
        </w:rPr>
        <w:footnoteReference w:id="6"/>
      </w:r>
      <w:r>
        <w:rPr>
          <w:rFonts w:ascii="Arial Narrow" w:hAnsi="Arial Narrow" w:cs="Arial"/>
          <w:b/>
          <w:sz w:val="24"/>
          <w:szCs w:val="24"/>
        </w:rPr>
        <w:t>. Доля представителей бизнеса, удовлетворенных уровнем доступности информации, размещаемой Министерством экономического развития Новосибирской области и органами местного самоуправления в открытом доступе, о состоянии конкурентной среды и деятельности по содействию развитию конкуренции в Новосибирской области в 2016 г. среди предприятий, оказывающих услуги/предоставляющих товары на социально значимых и приоритетных рынках (% от числа опрошенных участников рынков).</w:t>
      </w:r>
    </w:p>
    <w:p w:rsidR="00A64028" w:rsidRDefault="00A64028" w:rsidP="00103148">
      <w:pPr>
        <w:spacing w:after="0" w:line="360" w:lineRule="auto"/>
        <w:ind w:firstLine="284"/>
        <w:jc w:val="both"/>
        <w:rPr>
          <w:rFonts w:ascii="Arial Narrow" w:hAnsi="Arial Narrow" w:cs="Arial"/>
          <w:sz w:val="24"/>
          <w:szCs w:val="24"/>
        </w:rPr>
      </w:pPr>
      <w:r>
        <w:rPr>
          <w:rFonts w:ascii="Arial Narrow" w:hAnsi="Arial Narrow" w:cs="Arial"/>
          <w:sz w:val="24"/>
          <w:szCs w:val="24"/>
        </w:rPr>
        <w:t xml:space="preserve">В среднем по всем социально значимым и приоритетным рынкам по Новосибирской области доля субъектов предпринимательства, удовлетворенных </w:t>
      </w:r>
      <w:r>
        <w:rPr>
          <w:rFonts w:ascii="Arial Narrow" w:hAnsi="Arial Narrow" w:cs="Arial"/>
          <w:b/>
          <w:sz w:val="24"/>
          <w:szCs w:val="24"/>
        </w:rPr>
        <w:t>уровнем доступности информации</w:t>
      </w:r>
      <w:r>
        <w:rPr>
          <w:rFonts w:ascii="Arial Narrow" w:hAnsi="Arial Narrow" w:cs="Arial"/>
          <w:sz w:val="24"/>
          <w:szCs w:val="24"/>
        </w:rPr>
        <w:t xml:space="preserve">, размещаемой Министерством экономического развития Новосибирской области и органами местного самоуправления в открытом доступе, </w:t>
      </w:r>
      <w:r>
        <w:rPr>
          <w:rFonts w:ascii="Arial Narrow" w:hAnsi="Arial Narrow" w:cs="Arial"/>
          <w:bCs/>
          <w:sz w:val="24"/>
          <w:szCs w:val="24"/>
        </w:rPr>
        <w:t xml:space="preserve">о состоянии конкурентной среды и деятельности по содействию развитию конкуренции в Новосибирской области </w:t>
      </w:r>
      <w:r>
        <w:rPr>
          <w:rFonts w:ascii="Arial Narrow" w:hAnsi="Arial Narrow" w:cs="Arial"/>
          <w:sz w:val="24"/>
          <w:szCs w:val="24"/>
        </w:rPr>
        <w:t>в 2016 г., составляет 53 %. По отдельным рынкам показатель варьируется от 24 % до 74 %. Наиболее удовлетворены доступностью информации представители рынка услуг жилищно-коммунального хозяйства (управляющие компании) (74 %), наименее удовлетворены – субъекты предпринимательства рынка услуг в сфере культуры (24 %), а также рынка услуг детского отдыха и оздоровления (40 %). Представители остальных 10 социально значимых и приоритетных рынков удовлетворены уровнем доступности информации в пределах 48–64 %, эти результаты близки к среднему значению (53 %).</w:t>
      </w:r>
    </w:p>
    <w:p w:rsidR="00A64028" w:rsidRDefault="00A64028" w:rsidP="00103148">
      <w:pPr>
        <w:spacing w:after="0" w:line="360" w:lineRule="auto"/>
        <w:ind w:firstLine="567"/>
        <w:jc w:val="both"/>
        <w:rPr>
          <w:rFonts w:ascii="Arial Narrow" w:hAnsi="Arial Narrow" w:cs="Arial"/>
          <w:sz w:val="24"/>
          <w:szCs w:val="24"/>
        </w:rPr>
      </w:pPr>
    </w:p>
    <w:p w:rsidR="00A64028" w:rsidRDefault="00A64028" w:rsidP="00372BCB">
      <w:pPr>
        <w:spacing w:after="0" w:line="240" w:lineRule="auto"/>
        <w:rPr>
          <w:rFonts w:ascii="Arial Narrow" w:hAnsi="Arial Narrow" w:cs="Arial"/>
          <w:b/>
          <w:sz w:val="24"/>
          <w:szCs w:val="24"/>
        </w:rPr>
      </w:pPr>
      <w:r>
        <w:rPr>
          <w:rFonts w:ascii="Arial Narrow" w:hAnsi="Arial Narrow" w:cs="Arial"/>
          <w:sz w:val="24"/>
          <w:szCs w:val="24"/>
        </w:rPr>
        <w:br w:type="page"/>
      </w:r>
      <w:r w:rsidR="00372BCB">
        <w:rPr>
          <w:rFonts w:ascii="Arial Narrow" w:hAnsi="Arial Narrow" w:cs="Arial"/>
          <w:sz w:val="24"/>
          <w:szCs w:val="24"/>
        </w:rPr>
        <w:lastRenderedPageBreak/>
        <w:t>Таблица 7.43</w:t>
      </w:r>
      <w:r w:rsidR="00262F71">
        <w:rPr>
          <w:rFonts w:ascii="Arial Narrow" w:hAnsi="Arial Narrow" w:cs="Arial"/>
          <w:sz w:val="24"/>
          <w:szCs w:val="24"/>
        </w:rPr>
        <w:t>.</w:t>
      </w:r>
      <w:r>
        <w:rPr>
          <w:rFonts w:ascii="Arial Narrow" w:hAnsi="Arial Narrow" w:cs="Arial"/>
          <w:sz w:val="24"/>
          <w:szCs w:val="24"/>
        </w:rPr>
        <w:t xml:space="preserve"> – </w:t>
      </w:r>
      <w:r>
        <w:rPr>
          <w:rFonts w:ascii="Arial Narrow" w:hAnsi="Arial Narrow" w:cs="Arial"/>
          <w:b/>
          <w:sz w:val="24"/>
          <w:szCs w:val="24"/>
        </w:rPr>
        <w:t>Значения показателя 3.1. Доля представителей бизнеса, удовлетворенных уровнем доступности информации, размещаемой Министерством экономического развития Новосибирской области и органами местного самоуправления в открытом доступе, о состоянии конкурентной среды и деятельности по содействию развитию конкуренции в Новосибирской области в 2016 г. среди предприятий, оказывающих услуги/предоставляющих товары на социально значимых и приоритетных рынках (% от числа опрошенных участников рынков)</w:t>
      </w:r>
    </w:p>
    <w:tbl>
      <w:tblPr>
        <w:tblW w:w="10143" w:type="dxa"/>
        <w:tblInd w:w="-289" w:type="dxa"/>
        <w:tblLayout w:type="fixed"/>
        <w:tblCellMar>
          <w:left w:w="0" w:type="dxa"/>
          <w:right w:w="0" w:type="dxa"/>
        </w:tblCellMar>
        <w:tblLook w:val="04A0"/>
      </w:tblPr>
      <w:tblGrid>
        <w:gridCol w:w="289"/>
        <w:gridCol w:w="2699"/>
        <w:gridCol w:w="567"/>
        <w:gridCol w:w="573"/>
        <w:gridCol w:w="425"/>
        <w:gridCol w:w="426"/>
        <w:gridCol w:w="425"/>
        <w:gridCol w:w="567"/>
        <w:gridCol w:w="425"/>
        <w:gridCol w:w="425"/>
        <w:gridCol w:w="567"/>
        <w:gridCol w:w="567"/>
        <w:gridCol w:w="426"/>
        <w:gridCol w:w="425"/>
        <w:gridCol w:w="708"/>
        <w:gridCol w:w="629"/>
      </w:tblGrid>
      <w:tr w:rsidR="00A64028" w:rsidRPr="00422331" w:rsidTr="00EB3EA8">
        <w:trPr>
          <w:cantSplit/>
          <w:trHeight w:val="3165"/>
        </w:trPr>
        <w:tc>
          <w:tcPr>
            <w:tcW w:w="289" w:type="dxa"/>
            <w:tcBorders>
              <w:top w:val="single" w:sz="4" w:space="0" w:color="auto"/>
              <w:left w:val="single" w:sz="4" w:space="0" w:color="auto"/>
              <w:bottom w:val="single" w:sz="4" w:space="0" w:color="auto"/>
              <w:right w:val="single" w:sz="4" w:space="0" w:color="auto"/>
            </w:tcBorders>
            <w:vAlign w:val="center"/>
            <w:hideMark/>
          </w:tcPr>
          <w:p w:rsidR="00A64028" w:rsidRPr="00422331" w:rsidRDefault="00A64028" w:rsidP="00103148">
            <w:pPr>
              <w:spacing w:after="0"/>
              <w:jc w:val="center"/>
              <w:rPr>
                <w:rFonts w:ascii="Arial Narrow" w:hAnsi="Arial Narrow" w:cs="Arial"/>
                <w:sz w:val="17"/>
                <w:szCs w:val="17"/>
              </w:rPr>
            </w:pPr>
            <w:r w:rsidRPr="00422331">
              <w:rPr>
                <w:rFonts w:ascii="Arial Narrow" w:hAnsi="Arial Narrow" w:cs="Arial"/>
                <w:sz w:val="17"/>
                <w:szCs w:val="17"/>
              </w:rPr>
              <w:t>№</w:t>
            </w:r>
          </w:p>
        </w:tc>
        <w:tc>
          <w:tcPr>
            <w:tcW w:w="2699" w:type="dxa"/>
            <w:tcBorders>
              <w:top w:val="single" w:sz="4" w:space="0" w:color="auto"/>
              <w:left w:val="nil"/>
              <w:bottom w:val="single" w:sz="4" w:space="0" w:color="auto"/>
              <w:right w:val="single" w:sz="4" w:space="0" w:color="auto"/>
            </w:tcBorders>
            <w:vAlign w:val="center"/>
            <w:hideMark/>
          </w:tcPr>
          <w:p w:rsidR="00A64028" w:rsidRPr="00F34DD1" w:rsidRDefault="00A64028" w:rsidP="00F34DD1">
            <w:pPr>
              <w:spacing w:after="0" w:line="240" w:lineRule="auto"/>
              <w:ind w:left="148" w:right="141"/>
              <w:rPr>
                <w:rFonts w:ascii="Arial Narrow" w:hAnsi="Arial Narrow" w:cs="Arial"/>
                <w:sz w:val="18"/>
                <w:szCs w:val="18"/>
              </w:rPr>
            </w:pPr>
            <w:r w:rsidRPr="00F34DD1">
              <w:rPr>
                <w:rFonts w:ascii="Arial Narrow" w:hAnsi="Arial Narrow" w:cs="Arial"/>
                <w:sz w:val="18"/>
                <w:szCs w:val="18"/>
              </w:rPr>
              <w:t>Наименование показателя, единица измерения</w:t>
            </w:r>
          </w:p>
        </w:tc>
        <w:tc>
          <w:tcPr>
            <w:tcW w:w="567" w:type="dxa"/>
            <w:tcBorders>
              <w:top w:val="single" w:sz="4" w:space="0" w:color="auto"/>
              <w:left w:val="nil"/>
              <w:bottom w:val="single" w:sz="4" w:space="0" w:color="auto"/>
              <w:right w:val="single" w:sz="4" w:space="0" w:color="auto"/>
            </w:tcBorders>
            <w:textDirection w:val="btLr"/>
            <w:vAlign w:val="center"/>
            <w:hideMark/>
          </w:tcPr>
          <w:p w:rsidR="00A64028" w:rsidRPr="00F34DD1" w:rsidRDefault="00A64028" w:rsidP="00F34DD1">
            <w:pPr>
              <w:spacing w:after="0" w:line="240" w:lineRule="auto"/>
              <w:ind w:left="113" w:right="113"/>
              <w:jc w:val="center"/>
              <w:rPr>
                <w:rFonts w:ascii="Arial Narrow" w:hAnsi="Arial Narrow" w:cs="Arial"/>
                <w:sz w:val="18"/>
                <w:szCs w:val="18"/>
              </w:rPr>
            </w:pPr>
            <w:r w:rsidRPr="00F34DD1">
              <w:rPr>
                <w:rFonts w:ascii="Arial Narrow" w:hAnsi="Arial Narrow" w:cs="Arial"/>
                <w:sz w:val="18"/>
                <w:szCs w:val="18"/>
              </w:rPr>
              <w:t>Общий по Новосибирской области</w:t>
            </w:r>
          </w:p>
        </w:tc>
        <w:tc>
          <w:tcPr>
            <w:tcW w:w="573" w:type="dxa"/>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F34DD1">
            <w:pPr>
              <w:spacing w:after="0" w:line="240" w:lineRule="auto"/>
              <w:ind w:left="113" w:right="113"/>
              <w:jc w:val="center"/>
              <w:rPr>
                <w:rFonts w:ascii="Arial Narrow" w:hAnsi="Arial Narrow" w:cs="Arial"/>
                <w:sz w:val="18"/>
                <w:szCs w:val="18"/>
              </w:rPr>
            </w:pPr>
            <w:r w:rsidRPr="00F34DD1">
              <w:rPr>
                <w:rFonts w:ascii="Arial Narrow" w:hAnsi="Arial Narrow" w:cs="Arial"/>
                <w:sz w:val="18"/>
                <w:szCs w:val="18"/>
              </w:rPr>
              <w:t>Рынок услуг дошкольного образования (коммерческие детские сады и учреждения пребывания неполного дня)</w:t>
            </w:r>
          </w:p>
        </w:tc>
        <w:tc>
          <w:tcPr>
            <w:tcW w:w="425" w:type="dxa"/>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F34DD1">
            <w:pPr>
              <w:spacing w:after="0" w:line="240" w:lineRule="auto"/>
              <w:ind w:left="113" w:right="113"/>
              <w:jc w:val="center"/>
              <w:rPr>
                <w:rFonts w:ascii="Arial Narrow" w:hAnsi="Arial Narrow" w:cs="Arial"/>
                <w:sz w:val="18"/>
                <w:szCs w:val="18"/>
              </w:rPr>
            </w:pPr>
            <w:r w:rsidRPr="00F34DD1">
              <w:rPr>
                <w:rFonts w:ascii="Arial Narrow" w:hAnsi="Arial Narrow" w:cs="Arial"/>
                <w:sz w:val="18"/>
                <w:szCs w:val="18"/>
              </w:rPr>
              <w:t>Рынок услуг детского отдыха и оздоровления</w:t>
            </w:r>
          </w:p>
        </w:tc>
        <w:tc>
          <w:tcPr>
            <w:tcW w:w="426" w:type="dxa"/>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F34DD1">
            <w:pPr>
              <w:spacing w:after="0" w:line="240" w:lineRule="auto"/>
              <w:ind w:left="113" w:right="113"/>
              <w:jc w:val="center"/>
              <w:rPr>
                <w:rFonts w:ascii="Arial Narrow" w:hAnsi="Arial Narrow" w:cs="Arial"/>
                <w:sz w:val="18"/>
                <w:szCs w:val="18"/>
              </w:rPr>
            </w:pPr>
            <w:r w:rsidRPr="00F34DD1">
              <w:rPr>
                <w:rFonts w:ascii="Arial Narrow" w:hAnsi="Arial Narrow" w:cs="Arial"/>
                <w:sz w:val="18"/>
                <w:szCs w:val="18"/>
              </w:rPr>
              <w:t>Рынок дополнительного образования детей</w:t>
            </w:r>
          </w:p>
        </w:tc>
        <w:tc>
          <w:tcPr>
            <w:tcW w:w="425" w:type="dxa"/>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F34DD1">
            <w:pPr>
              <w:spacing w:after="0" w:line="240" w:lineRule="auto"/>
              <w:ind w:left="113" w:right="113"/>
              <w:jc w:val="center"/>
              <w:rPr>
                <w:rFonts w:ascii="Arial Narrow" w:hAnsi="Arial Narrow" w:cs="Arial"/>
                <w:sz w:val="18"/>
                <w:szCs w:val="18"/>
              </w:rPr>
            </w:pPr>
            <w:r w:rsidRPr="00F34DD1">
              <w:rPr>
                <w:rFonts w:ascii="Arial Narrow" w:hAnsi="Arial Narrow" w:cs="Arial"/>
                <w:sz w:val="18"/>
                <w:szCs w:val="18"/>
              </w:rPr>
              <w:t>Рынок медицинских услуг</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F34DD1">
            <w:pPr>
              <w:spacing w:after="0" w:line="240" w:lineRule="auto"/>
              <w:ind w:left="113" w:right="113"/>
              <w:jc w:val="center"/>
              <w:rPr>
                <w:rFonts w:ascii="Arial Narrow" w:hAnsi="Arial Narrow" w:cs="Arial"/>
                <w:sz w:val="18"/>
                <w:szCs w:val="18"/>
              </w:rPr>
            </w:pPr>
            <w:r w:rsidRPr="00F34DD1">
              <w:rPr>
                <w:rFonts w:ascii="Arial Narrow" w:hAnsi="Arial Narrow" w:cs="Arial"/>
                <w:sz w:val="18"/>
                <w:szCs w:val="18"/>
              </w:rPr>
              <w:t>Рынок услуг психолого-педагогического сопровождения детей с ограниченными возможностями здоровья</w:t>
            </w:r>
          </w:p>
        </w:tc>
        <w:tc>
          <w:tcPr>
            <w:tcW w:w="425" w:type="dxa"/>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F34DD1">
            <w:pPr>
              <w:spacing w:after="0" w:line="240" w:lineRule="auto"/>
              <w:ind w:left="113" w:right="113"/>
              <w:jc w:val="center"/>
              <w:rPr>
                <w:rFonts w:ascii="Arial Narrow" w:hAnsi="Arial Narrow" w:cs="Arial"/>
                <w:sz w:val="18"/>
                <w:szCs w:val="18"/>
              </w:rPr>
            </w:pPr>
            <w:r w:rsidRPr="00F34DD1">
              <w:rPr>
                <w:rFonts w:ascii="Arial Narrow" w:hAnsi="Arial Narrow" w:cs="Arial"/>
                <w:sz w:val="18"/>
                <w:szCs w:val="18"/>
              </w:rPr>
              <w:t>Рынок услуг в сфере культуры</w:t>
            </w:r>
          </w:p>
        </w:tc>
        <w:tc>
          <w:tcPr>
            <w:tcW w:w="425" w:type="dxa"/>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F34DD1">
            <w:pPr>
              <w:spacing w:after="0" w:line="240" w:lineRule="auto"/>
              <w:ind w:left="113" w:right="113"/>
              <w:jc w:val="center"/>
              <w:rPr>
                <w:rFonts w:ascii="Arial Narrow" w:hAnsi="Arial Narrow" w:cs="Arial"/>
                <w:sz w:val="18"/>
                <w:szCs w:val="18"/>
              </w:rPr>
            </w:pPr>
            <w:r w:rsidRPr="00F34DD1">
              <w:rPr>
                <w:rFonts w:ascii="Arial Narrow" w:hAnsi="Arial Narrow" w:cs="Arial"/>
                <w:sz w:val="18"/>
                <w:szCs w:val="18"/>
              </w:rPr>
              <w:t>Рынок услуг ЖКХ (управляющие компании)</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F34DD1">
            <w:pPr>
              <w:spacing w:after="0" w:line="240" w:lineRule="auto"/>
              <w:ind w:left="113" w:right="113"/>
              <w:jc w:val="center"/>
              <w:rPr>
                <w:rFonts w:ascii="Arial Narrow" w:hAnsi="Arial Narrow" w:cs="Arial"/>
                <w:sz w:val="18"/>
                <w:szCs w:val="18"/>
              </w:rPr>
            </w:pPr>
            <w:r w:rsidRPr="00F34DD1">
              <w:rPr>
                <w:rFonts w:ascii="Arial Narrow" w:hAnsi="Arial Narrow" w:cs="Arial"/>
                <w:sz w:val="18"/>
                <w:szCs w:val="18"/>
              </w:rPr>
              <w:t>Розничная торговля (продажа продуктов питания и непродовольственных товаров)</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F34DD1">
            <w:pPr>
              <w:spacing w:after="0" w:line="240" w:lineRule="auto"/>
              <w:ind w:left="113" w:right="113"/>
              <w:jc w:val="center"/>
              <w:rPr>
                <w:rFonts w:ascii="Arial Narrow" w:hAnsi="Arial Narrow" w:cs="Arial"/>
                <w:sz w:val="18"/>
                <w:szCs w:val="18"/>
              </w:rPr>
            </w:pPr>
            <w:r w:rsidRPr="00F34DD1">
              <w:rPr>
                <w:rFonts w:ascii="Arial Narrow" w:hAnsi="Arial Narrow" w:cs="Arial"/>
                <w:sz w:val="18"/>
                <w:szCs w:val="18"/>
              </w:rPr>
              <w:t>Рынок услуг перевозок пассажиров наземным транспортом (автобусные перевозки и такси)</w:t>
            </w:r>
          </w:p>
        </w:tc>
        <w:tc>
          <w:tcPr>
            <w:tcW w:w="426" w:type="dxa"/>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F34DD1">
            <w:pPr>
              <w:spacing w:after="0" w:line="240" w:lineRule="auto"/>
              <w:ind w:left="113" w:right="113"/>
              <w:jc w:val="center"/>
              <w:rPr>
                <w:rFonts w:ascii="Arial Narrow" w:hAnsi="Arial Narrow" w:cs="Arial"/>
                <w:sz w:val="18"/>
                <w:szCs w:val="18"/>
              </w:rPr>
            </w:pPr>
            <w:r w:rsidRPr="00F34DD1">
              <w:rPr>
                <w:rFonts w:ascii="Arial Narrow" w:hAnsi="Arial Narrow" w:cs="Arial"/>
                <w:sz w:val="18"/>
                <w:szCs w:val="18"/>
              </w:rPr>
              <w:t>Рынок услуг связи</w:t>
            </w:r>
          </w:p>
        </w:tc>
        <w:tc>
          <w:tcPr>
            <w:tcW w:w="425" w:type="dxa"/>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F34DD1">
            <w:pPr>
              <w:spacing w:after="0" w:line="240" w:lineRule="auto"/>
              <w:ind w:left="113" w:right="113"/>
              <w:jc w:val="center"/>
              <w:rPr>
                <w:rFonts w:ascii="Arial Narrow" w:hAnsi="Arial Narrow" w:cs="Arial"/>
                <w:sz w:val="18"/>
                <w:szCs w:val="18"/>
              </w:rPr>
            </w:pPr>
            <w:r w:rsidRPr="00F34DD1">
              <w:rPr>
                <w:rFonts w:ascii="Arial Narrow" w:hAnsi="Arial Narrow" w:cs="Arial"/>
                <w:sz w:val="18"/>
                <w:szCs w:val="18"/>
              </w:rPr>
              <w:t>Рынок услуг социального обслуживания населения</w:t>
            </w:r>
          </w:p>
        </w:tc>
        <w:tc>
          <w:tcPr>
            <w:tcW w:w="708" w:type="dxa"/>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F34DD1">
            <w:pPr>
              <w:spacing w:after="0" w:line="240" w:lineRule="auto"/>
              <w:ind w:left="113" w:right="113"/>
              <w:jc w:val="center"/>
              <w:rPr>
                <w:rFonts w:ascii="Arial Narrow" w:hAnsi="Arial Narrow" w:cs="Arial"/>
                <w:sz w:val="18"/>
                <w:szCs w:val="18"/>
              </w:rPr>
            </w:pPr>
            <w:r w:rsidRPr="00F34DD1">
              <w:rPr>
                <w:rFonts w:ascii="Arial Narrow" w:hAnsi="Arial Narrow" w:cs="Arial"/>
                <w:sz w:val="18"/>
                <w:szCs w:val="18"/>
              </w:rPr>
              <w:t>Рынок развития, производства, переработки и хранения сельскохозяйственной продукции</w:t>
            </w:r>
          </w:p>
        </w:tc>
        <w:tc>
          <w:tcPr>
            <w:tcW w:w="629" w:type="dxa"/>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F34DD1">
            <w:pPr>
              <w:spacing w:after="0" w:line="240" w:lineRule="auto"/>
              <w:ind w:left="113" w:right="113"/>
              <w:jc w:val="center"/>
              <w:rPr>
                <w:rFonts w:ascii="Arial Narrow" w:hAnsi="Arial Narrow" w:cs="Arial"/>
                <w:sz w:val="18"/>
                <w:szCs w:val="18"/>
              </w:rPr>
            </w:pPr>
            <w:r w:rsidRPr="00F34DD1">
              <w:rPr>
                <w:rFonts w:ascii="Arial Narrow" w:hAnsi="Arial Narrow" w:cs="Arial"/>
                <w:sz w:val="18"/>
                <w:szCs w:val="18"/>
              </w:rPr>
              <w:t>Рынок услуг по сбору, сортировке и переработке твердых коммунальных (бытовых) отходов</w:t>
            </w:r>
          </w:p>
        </w:tc>
      </w:tr>
      <w:tr w:rsidR="00A64028" w:rsidRPr="00422331" w:rsidTr="00EB3EA8">
        <w:tc>
          <w:tcPr>
            <w:tcW w:w="289" w:type="dxa"/>
            <w:tcBorders>
              <w:top w:val="nil"/>
              <w:left w:val="single" w:sz="4" w:space="0" w:color="auto"/>
              <w:bottom w:val="single" w:sz="4" w:space="0" w:color="auto"/>
              <w:right w:val="single" w:sz="4" w:space="0" w:color="auto"/>
            </w:tcBorders>
            <w:vAlign w:val="center"/>
            <w:hideMark/>
          </w:tcPr>
          <w:p w:rsidR="00A64028" w:rsidRPr="00422331" w:rsidRDefault="00A64028" w:rsidP="00103148">
            <w:pPr>
              <w:spacing w:after="0"/>
              <w:jc w:val="center"/>
              <w:rPr>
                <w:rFonts w:ascii="Arial Narrow" w:hAnsi="Arial Narrow" w:cs="Arial"/>
                <w:b/>
                <w:bCs/>
                <w:sz w:val="17"/>
                <w:szCs w:val="17"/>
              </w:rPr>
            </w:pPr>
            <w:r w:rsidRPr="00422331">
              <w:rPr>
                <w:rFonts w:ascii="Arial Narrow" w:hAnsi="Arial Narrow" w:cs="Arial"/>
                <w:b/>
                <w:bCs/>
                <w:sz w:val="17"/>
                <w:szCs w:val="17"/>
              </w:rPr>
              <w:t>3.</w:t>
            </w:r>
          </w:p>
        </w:tc>
        <w:tc>
          <w:tcPr>
            <w:tcW w:w="9854" w:type="dxa"/>
            <w:gridSpan w:val="15"/>
            <w:tcBorders>
              <w:top w:val="single" w:sz="4" w:space="0" w:color="auto"/>
              <w:left w:val="nil"/>
              <w:bottom w:val="single" w:sz="4" w:space="0" w:color="auto"/>
              <w:right w:val="single" w:sz="4" w:space="0" w:color="000000"/>
            </w:tcBorders>
            <w:vAlign w:val="center"/>
            <w:hideMark/>
          </w:tcPr>
          <w:p w:rsidR="00A64028" w:rsidRPr="00F34DD1" w:rsidRDefault="00A64028" w:rsidP="00103148">
            <w:pPr>
              <w:spacing w:after="0"/>
              <w:ind w:left="148" w:right="142"/>
              <w:rPr>
                <w:rFonts w:ascii="Arial Narrow" w:hAnsi="Arial Narrow" w:cs="Arial"/>
                <w:b/>
                <w:bCs/>
                <w:sz w:val="18"/>
                <w:szCs w:val="18"/>
              </w:rPr>
            </w:pPr>
            <w:r w:rsidRPr="00F34DD1">
              <w:rPr>
                <w:rFonts w:ascii="Arial Narrow" w:hAnsi="Arial Narrow" w:cs="Arial"/>
                <w:b/>
                <w:bCs/>
                <w:sz w:val="18"/>
                <w:szCs w:val="18"/>
              </w:rPr>
              <w:t>Мониторинг удовлетворенности субъектов предпринимательской деятельности и потребителей товаров, работ и услуг качеством официальной информации о состоянии конкурентной среды на рынках товаров, работ и услуг и деятельности по содействию развитию конкуренции в Новосибирской области, размещаемой уполномоченным органом и муниципальными образованиями</w:t>
            </w:r>
          </w:p>
        </w:tc>
      </w:tr>
      <w:tr w:rsidR="00A64028" w:rsidRPr="00422331" w:rsidTr="00EB3EA8">
        <w:tc>
          <w:tcPr>
            <w:tcW w:w="289" w:type="dxa"/>
            <w:tcBorders>
              <w:top w:val="nil"/>
              <w:left w:val="single" w:sz="4" w:space="0" w:color="auto"/>
              <w:bottom w:val="single" w:sz="4" w:space="0" w:color="auto"/>
              <w:right w:val="single" w:sz="4" w:space="0" w:color="auto"/>
            </w:tcBorders>
            <w:vAlign w:val="center"/>
            <w:hideMark/>
          </w:tcPr>
          <w:p w:rsidR="00A64028" w:rsidRPr="00422331" w:rsidRDefault="00A64028" w:rsidP="00103148">
            <w:pPr>
              <w:spacing w:after="0"/>
              <w:jc w:val="center"/>
              <w:rPr>
                <w:rFonts w:ascii="Arial Narrow" w:hAnsi="Arial Narrow" w:cs="Arial"/>
                <w:sz w:val="17"/>
                <w:szCs w:val="17"/>
              </w:rPr>
            </w:pPr>
            <w:r w:rsidRPr="00422331">
              <w:rPr>
                <w:rFonts w:ascii="Arial Narrow" w:hAnsi="Arial Narrow" w:cs="Arial"/>
                <w:sz w:val="17"/>
                <w:szCs w:val="17"/>
              </w:rPr>
              <w:t>3.1.</w:t>
            </w:r>
          </w:p>
        </w:tc>
        <w:tc>
          <w:tcPr>
            <w:tcW w:w="2699" w:type="dxa"/>
            <w:tcBorders>
              <w:top w:val="nil"/>
              <w:left w:val="nil"/>
              <w:bottom w:val="single" w:sz="4" w:space="0" w:color="auto"/>
              <w:right w:val="single" w:sz="4" w:space="0" w:color="auto"/>
            </w:tcBorders>
            <w:hideMark/>
          </w:tcPr>
          <w:p w:rsidR="00A64028" w:rsidRPr="00F34DD1" w:rsidRDefault="00A64028" w:rsidP="00103148">
            <w:pPr>
              <w:pStyle w:val="af7"/>
              <w:widowControl w:val="0"/>
              <w:autoSpaceDE w:val="0"/>
              <w:autoSpaceDN w:val="0"/>
              <w:adjustRightInd w:val="0"/>
              <w:spacing w:before="0" w:beforeAutospacing="0" w:after="0" w:afterAutospacing="0"/>
              <w:ind w:left="148" w:right="141"/>
              <w:rPr>
                <w:rFonts w:ascii="Arial Narrow" w:hAnsi="Arial Narrow" w:cs="Arial"/>
                <w:color w:val="000000"/>
                <w:sz w:val="18"/>
                <w:szCs w:val="18"/>
                <w:lang w:eastAsia="en-US"/>
              </w:rPr>
            </w:pPr>
            <w:r w:rsidRPr="00F34DD1">
              <w:rPr>
                <w:rFonts w:ascii="Arial Narrow" w:hAnsi="Arial Narrow" w:cs="Arial"/>
                <w:bCs/>
                <w:color w:val="000000"/>
                <w:sz w:val="18"/>
                <w:szCs w:val="18"/>
                <w:lang w:eastAsia="en-US"/>
              </w:rPr>
              <w:t>Доля представителей бизнеса, удовлетворенных уровнем доступности информации, размещаемой Министерством экономического развития Новосибирской области и органами местного самоуправления в открытом доступе, о состоянии конкурентной среды и деятельности по содействию развитию конкуренции в Новосибирской области в 2016 г. среди предприятий, оказывающих услуги/предоставляющих товары на социально значимых и приоритетных рынках (% от числа опрошенных участников рынков)</w:t>
            </w:r>
          </w:p>
        </w:tc>
        <w:tc>
          <w:tcPr>
            <w:tcW w:w="567"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cs="Arial"/>
                <w:sz w:val="17"/>
                <w:szCs w:val="17"/>
              </w:rPr>
            </w:pPr>
            <w:r w:rsidRPr="00422331">
              <w:rPr>
                <w:rFonts w:ascii="Arial Narrow" w:hAnsi="Arial Narrow" w:cs="Arial"/>
                <w:sz w:val="17"/>
                <w:szCs w:val="17"/>
              </w:rPr>
              <w:t>53%</w:t>
            </w:r>
          </w:p>
        </w:tc>
        <w:tc>
          <w:tcPr>
            <w:tcW w:w="573"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cs="Arial"/>
                <w:sz w:val="17"/>
                <w:szCs w:val="17"/>
              </w:rPr>
            </w:pPr>
            <w:r w:rsidRPr="00422331">
              <w:rPr>
                <w:rFonts w:ascii="Arial Narrow" w:hAnsi="Arial Narrow" w:cs="Arial"/>
                <w:sz w:val="17"/>
                <w:szCs w:val="17"/>
              </w:rPr>
              <w:t>60%</w:t>
            </w:r>
          </w:p>
        </w:tc>
        <w:tc>
          <w:tcPr>
            <w:tcW w:w="425"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cs="Arial"/>
                <w:sz w:val="17"/>
                <w:szCs w:val="17"/>
              </w:rPr>
            </w:pPr>
            <w:r w:rsidRPr="00422331">
              <w:rPr>
                <w:rFonts w:ascii="Arial Narrow" w:hAnsi="Arial Narrow" w:cs="Arial"/>
                <w:sz w:val="17"/>
                <w:szCs w:val="17"/>
              </w:rPr>
              <w:t>40%</w:t>
            </w:r>
          </w:p>
        </w:tc>
        <w:tc>
          <w:tcPr>
            <w:tcW w:w="426"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cs="Arial"/>
                <w:sz w:val="17"/>
                <w:szCs w:val="17"/>
              </w:rPr>
            </w:pPr>
            <w:r w:rsidRPr="00422331">
              <w:rPr>
                <w:rFonts w:ascii="Arial Narrow" w:hAnsi="Arial Narrow" w:cs="Arial"/>
                <w:sz w:val="17"/>
                <w:szCs w:val="17"/>
              </w:rPr>
              <w:t>56%</w:t>
            </w:r>
          </w:p>
        </w:tc>
        <w:tc>
          <w:tcPr>
            <w:tcW w:w="425"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cs="Arial"/>
                <w:sz w:val="17"/>
                <w:szCs w:val="17"/>
              </w:rPr>
            </w:pPr>
            <w:r w:rsidRPr="00422331">
              <w:rPr>
                <w:rFonts w:ascii="Arial Narrow" w:hAnsi="Arial Narrow" w:cs="Arial"/>
                <w:sz w:val="17"/>
                <w:szCs w:val="17"/>
              </w:rPr>
              <w:t>46%</w:t>
            </w:r>
          </w:p>
        </w:tc>
        <w:tc>
          <w:tcPr>
            <w:tcW w:w="567"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cs="Arial"/>
                <w:sz w:val="17"/>
                <w:szCs w:val="17"/>
              </w:rPr>
            </w:pPr>
            <w:r w:rsidRPr="00422331">
              <w:rPr>
                <w:rFonts w:ascii="Arial Narrow" w:hAnsi="Arial Narrow" w:cs="Arial"/>
                <w:sz w:val="17"/>
                <w:szCs w:val="17"/>
              </w:rPr>
              <w:t>64%</w:t>
            </w:r>
          </w:p>
        </w:tc>
        <w:tc>
          <w:tcPr>
            <w:tcW w:w="425"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cs="Arial"/>
                <w:sz w:val="17"/>
                <w:szCs w:val="17"/>
              </w:rPr>
            </w:pPr>
            <w:r w:rsidRPr="00422331">
              <w:rPr>
                <w:rFonts w:ascii="Arial Narrow" w:hAnsi="Arial Narrow" w:cs="Arial"/>
                <w:sz w:val="17"/>
                <w:szCs w:val="17"/>
              </w:rPr>
              <w:t>24%</w:t>
            </w:r>
          </w:p>
        </w:tc>
        <w:tc>
          <w:tcPr>
            <w:tcW w:w="425"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cs="Arial"/>
                <w:sz w:val="17"/>
                <w:szCs w:val="17"/>
              </w:rPr>
            </w:pPr>
            <w:r w:rsidRPr="00422331">
              <w:rPr>
                <w:rFonts w:ascii="Arial Narrow" w:hAnsi="Arial Narrow" w:cs="Arial"/>
                <w:sz w:val="17"/>
                <w:szCs w:val="17"/>
              </w:rPr>
              <w:t>74%</w:t>
            </w:r>
          </w:p>
        </w:tc>
        <w:tc>
          <w:tcPr>
            <w:tcW w:w="567"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cs="Arial"/>
                <w:sz w:val="17"/>
                <w:szCs w:val="17"/>
              </w:rPr>
            </w:pPr>
            <w:r w:rsidRPr="00422331">
              <w:rPr>
                <w:rFonts w:ascii="Arial Narrow" w:hAnsi="Arial Narrow" w:cs="Arial"/>
                <w:sz w:val="17"/>
                <w:szCs w:val="17"/>
              </w:rPr>
              <w:t>53%</w:t>
            </w:r>
          </w:p>
        </w:tc>
        <w:tc>
          <w:tcPr>
            <w:tcW w:w="567"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cs="Arial"/>
                <w:sz w:val="17"/>
                <w:szCs w:val="17"/>
              </w:rPr>
            </w:pPr>
            <w:r w:rsidRPr="00422331">
              <w:rPr>
                <w:rFonts w:ascii="Arial Narrow" w:hAnsi="Arial Narrow" w:cs="Arial"/>
                <w:sz w:val="17"/>
                <w:szCs w:val="17"/>
              </w:rPr>
              <w:t>62%</w:t>
            </w:r>
          </w:p>
        </w:tc>
        <w:tc>
          <w:tcPr>
            <w:tcW w:w="426"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cs="Arial"/>
                <w:sz w:val="17"/>
                <w:szCs w:val="17"/>
              </w:rPr>
            </w:pPr>
            <w:r w:rsidRPr="00422331">
              <w:rPr>
                <w:rFonts w:ascii="Arial Narrow" w:hAnsi="Arial Narrow" w:cs="Arial"/>
                <w:sz w:val="17"/>
                <w:szCs w:val="17"/>
              </w:rPr>
              <w:t>48%</w:t>
            </w:r>
          </w:p>
        </w:tc>
        <w:tc>
          <w:tcPr>
            <w:tcW w:w="425"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cs="Arial"/>
                <w:sz w:val="17"/>
                <w:szCs w:val="17"/>
              </w:rPr>
            </w:pPr>
            <w:r w:rsidRPr="00422331">
              <w:rPr>
                <w:rFonts w:ascii="Arial Narrow" w:hAnsi="Arial Narrow" w:cs="Arial"/>
                <w:sz w:val="17"/>
                <w:szCs w:val="17"/>
              </w:rPr>
              <w:t>64%</w:t>
            </w:r>
          </w:p>
        </w:tc>
        <w:tc>
          <w:tcPr>
            <w:tcW w:w="708"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cs="Arial"/>
                <w:sz w:val="17"/>
                <w:szCs w:val="17"/>
              </w:rPr>
            </w:pPr>
            <w:r w:rsidRPr="00422331">
              <w:rPr>
                <w:rFonts w:ascii="Arial Narrow" w:hAnsi="Arial Narrow" w:cs="Arial"/>
                <w:sz w:val="17"/>
                <w:szCs w:val="17"/>
              </w:rPr>
              <w:t>64%</w:t>
            </w:r>
          </w:p>
        </w:tc>
        <w:tc>
          <w:tcPr>
            <w:tcW w:w="62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cs="Arial"/>
                <w:sz w:val="17"/>
                <w:szCs w:val="17"/>
              </w:rPr>
            </w:pPr>
            <w:r w:rsidRPr="00422331">
              <w:rPr>
                <w:rFonts w:ascii="Arial Narrow" w:hAnsi="Arial Narrow" w:cs="Arial"/>
                <w:sz w:val="17"/>
                <w:szCs w:val="17"/>
              </w:rPr>
              <w:t>50%</w:t>
            </w:r>
          </w:p>
        </w:tc>
      </w:tr>
    </w:tbl>
    <w:p w:rsidR="00A64028" w:rsidRDefault="00A64028" w:rsidP="00103148">
      <w:pPr>
        <w:spacing w:after="0" w:line="360" w:lineRule="auto"/>
        <w:ind w:firstLine="284"/>
        <w:jc w:val="both"/>
        <w:rPr>
          <w:rFonts w:ascii="Arial Narrow" w:hAnsi="Arial Narrow" w:cs="Arial"/>
          <w:b/>
          <w:sz w:val="24"/>
          <w:szCs w:val="24"/>
        </w:rPr>
      </w:pPr>
    </w:p>
    <w:p w:rsidR="00A64028" w:rsidRDefault="00A64028" w:rsidP="00103148">
      <w:pPr>
        <w:spacing w:after="0" w:line="360" w:lineRule="auto"/>
        <w:ind w:firstLine="284"/>
        <w:jc w:val="both"/>
        <w:rPr>
          <w:rFonts w:ascii="Arial Narrow" w:hAnsi="Arial Narrow" w:cs="Arial"/>
          <w:b/>
          <w:sz w:val="24"/>
          <w:szCs w:val="24"/>
        </w:rPr>
      </w:pPr>
      <w:r>
        <w:rPr>
          <w:rFonts w:ascii="Arial Narrow" w:hAnsi="Arial Narrow" w:cs="Arial"/>
          <w:b/>
          <w:sz w:val="24"/>
          <w:szCs w:val="24"/>
        </w:rPr>
        <w:t>Значения показателя 3.2. Доля представителей бизнеса, удовлетворенных уровнем понятности информации, размещаемой Министерством экономического развития Новосибирской области и органами местного самоуправления в открытом доступе, о состоянии конкурентной среды и деятельности по содействию развитию конкуренции в Новосибирской области в 2016 г. среди предприятий, оказывающих услуги/предоставляющих товары на социально значимых и приоритетных рынках (% от числа опрошенных участников рынков).</w:t>
      </w:r>
    </w:p>
    <w:p w:rsidR="00A64028" w:rsidRDefault="00A64028" w:rsidP="00103148">
      <w:pPr>
        <w:spacing w:after="0" w:line="360" w:lineRule="auto"/>
        <w:ind w:firstLine="284"/>
        <w:jc w:val="both"/>
        <w:rPr>
          <w:rFonts w:ascii="Arial Narrow" w:hAnsi="Arial Narrow" w:cs="Arial"/>
          <w:sz w:val="24"/>
          <w:szCs w:val="24"/>
        </w:rPr>
      </w:pPr>
      <w:r>
        <w:rPr>
          <w:rFonts w:ascii="Arial Narrow" w:hAnsi="Arial Narrow" w:cs="Arial"/>
          <w:b/>
          <w:sz w:val="24"/>
          <w:szCs w:val="24"/>
        </w:rPr>
        <w:t>Уровнем понятности информации</w:t>
      </w:r>
      <w:r>
        <w:rPr>
          <w:rFonts w:ascii="Arial Narrow" w:hAnsi="Arial Narrow" w:cs="Arial"/>
          <w:sz w:val="24"/>
          <w:szCs w:val="24"/>
        </w:rPr>
        <w:t xml:space="preserve">, размещаемой Министерством экономического развития Новосибирской области и органами местного самоуправления в открытом доступе, о состоянии конкурентной среды и деятельности по содействию развитию конкуренции в Новосибирской области в 2016 г., удовлетворены в среднем 56 % опрошенных представителей социально значимых и приоритетных рынков. Наиболее высокий процент удовлетворенных зафиксирован среди </w:t>
      </w:r>
      <w:r>
        <w:rPr>
          <w:rFonts w:ascii="Arial Narrow" w:hAnsi="Arial Narrow" w:cs="Arial"/>
          <w:sz w:val="24"/>
          <w:szCs w:val="24"/>
        </w:rPr>
        <w:lastRenderedPageBreak/>
        <w:t>представителей рынка услуг жилищно-коммунального хозяйства (управляющих компаний) (73 %), самый низкий – среди субъектов предпринимательства рынка услуг в сфере культуры (24 %), а также рынка услуг детского отдыха и оздоровления (40 %). Представители остальных 10 социально значимых и приоритетных рынков удовлетворены уровнем доступности информации в пределах 50–65 %, эти результаты близки к среднему значению (53 %).</w:t>
      </w:r>
    </w:p>
    <w:p w:rsidR="00372BCB" w:rsidRDefault="00372BCB" w:rsidP="00103148">
      <w:pPr>
        <w:spacing w:after="0"/>
        <w:rPr>
          <w:rFonts w:ascii="Arial Narrow" w:hAnsi="Arial Narrow" w:cs="Arial"/>
          <w:sz w:val="24"/>
          <w:szCs w:val="24"/>
        </w:rPr>
      </w:pPr>
    </w:p>
    <w:p w:rsidR="00A64028" w:rsidRDefault="00372BCB" w:rsidP="00372BCB">
      <w:pPr>
        <w:spacing w:after="0" w:line="240" w:lineRule="auto"/>
        <w:rPr>
          <w:rFonts w:ascii="Arial Narrow" w:hAnsi="Arial Narrow" w:cs="Arial"/>
          <w:b/>
          <w:sz w:val="24"/>
          <w:szCs w:val="24"/>
        </w:rPr>
      </w:pPr>
      <w:r>
        <w:rPr>
          <w:rFonts w:ascii="Arial Narrow" w:hAnsi="Arial Narrow" w:cs="Arial"/>
          <w:sz w:val="24"/>
          <w:szCs w:val="24"/>
        </w:rPr>
        <w:t>Таблица 7.44</w:t>
      </w:r>
      <w:r w:rsidR="00262F71">
        <w:rPr>
          <w:rFonts w:ascii="Arial Narrow" w:hAnsi="Arial Narrow" w:cs="Arial"/>
          <w:sz w:val="24"/>
          <w:szCs w:val="24"/>
        </w:rPr>
        <w:t>.</w:t>
      </w:r>
      <w:r w:rsidR="00A64028">
        <w:rPr>
          <w:rFonts w:ascii="Arial Narrow" w:hAnsi="Arial Narrow" w:cs="Arial"/>
          <w:sz w:val="24"/>
          <w:szCs w:val="24"/>
        </w:rPr>
        <w:t xml:space="preserve"> – </w:t>
      </w:r>
      <w:r w:rsidR="00A64028">
        <w:rPr>
          <w:rFonts w:ascii="Arial Narrow" w:hAnsi="Arial Narrow" w:cs="Arial"/>
          <w:b/>
          <w:sz w:val="24"/>
          <w:szCs w:val="24"/>
        </w:rPr>
        <w:t>Значения показателя 3.2. Доля представителей бизнеса, удовлетворенных уровнем понятности информации, размещаемой Министерством экономического развития Новосибирской области и органами местного самоуправления в открытом доступе, о состоянии конкурентной среды и деятельности по содействию развитию конкуренции в Новосибирской области в 2016 г. среди предприятий, оказывающих услуги/предоставляющих товары на социально значимых и приоритетных рынках (% от числа опрошенных участников рынков)</w:t>
      </w:r>
    </w:p>
    <w:tbl>
      <w:tblPr>
        <w:tblW w:w="10018" w:type="dxa"/>
        <w:tblInd w:w="-289" w:type="dxa"/>
        <w:tblLayout w:type="fixed"/>
        <w:tblCellMar>
          <w:left w:w="0" w:type="dxa"/>
          <w:right w:w="0" w:type="dxa"/>
        </w:tblCellMar>
        <w:tblLook w:val="04A0"/>
      </w:tblPr>
      <w:tblGrid>
        <w:gridCol w:w="286"/>
        <w:gridCol w:w="2843"/>
        <w:gridCol w:w="426"/>
        <w:gridCol w:w="567"/>
        <w:gridCol w:w="425"/>
        <w:gridCol w:w="425"/>
        <w:gridCol w:w="426"/>
        <w:gridCol w:w="567"/>
        <w:gridCol w:w="364"/>
        <w:gridCol w:w="425"/>
        <w:gridCol w:w="567"/>
        <w:gridCol w:w="567"/>
        <w:gridCol w:w="425"/>
        <w:gridCol w:w="425"/>
        <w:gridCol w:w="203"/>
        <w:gridCol w:w="505"/>
        <w:gridCol w:w="572"/>
      </w:tblGrid>
      <w:tr w:rsidR="00A64028" w:rsidRPr="00507E3F" w:rsidTr="00EB3EA8">
        <w:trPr>
          <w:cantSplit/>
          <w:trHeight w:val="3917"/>
        </w:trPr>
        <w:tc>
          <w:tcPr>
            <w:tcW w:w="286" w:type="dxa"/>
            <w:tcBorders>
              <w:top w:val="single" w:sz="4" w:space="0" w:color="auto"/>
              <w:left w:val="single" w:sz="4" w:space="0" w:color="auto"/>
              <w:bottom w:val="single" w:sz="4" w:space="0" w:color="auto"/>
              <w:right w:val="single" w:sz="4" w:space="0" w:color="auto"/>
            </w:tcBorders>
            <w:vAlign w:val="center"/>
            <w:hideMark/>
          </w:tcPr>
          <w:p w:rsidR="00A64028" w:rsidRPr="00507E3F" w:rsidRDefault="00A64028" w:rsidP="00103148">
            <w:pPr>
              <w:spacing w:after="0"/>
              <w:jc w:val="center"/>
              <w:rPr>
                <w:rFonts w:ascii="Arial Narrow" w:hAnsi="Arial Narrow" w:cs="Arial"/>
                <w:sz w:val="18"/>
                <w:szCs w:val="18"/>
              </w:rPr>
            </w:pPr>
            <w:r w:rsidRPr="00507E3F">
              <w:rPr>
                <w:rFonts w:ascii="Arial Narrow" w:hAnsi="Arial Narrow" w:cs="Arial"/>
                <w:sz w:val="18"/>
                <w:szCs w:val="18"/>
              </w:rPr>
              <w:t>№</w:t>
            </w:r>
          </w:p>
        </w:tc>
        <w:tc>
          <w:tcPr>
            <w:tcW w:w="2843" w:type="dxa"/>
            <w:tcBorders>
              <w:top w:val="single" w:sz="4" w:space="0" w:color="auto"/>
              <w:left w:val="nil"/>
              <w:bottom w:val="single" w:sz="4" w:space="0" w:color="auto"/>
              <w:right w:val="single" w:sz="4" w:space="0" w:color="auto"/>
            </w:tcBorders>
            <w:vAlign w:val="center"/>
            <w:hideMark/>
          </w:tcPr>
          <w:p w:rsidR="00A64028" w:rsidRPr="00F34DD1" w:rsidRDefault="00A64028" w:rsidP="00F34DD1">
            <w:pPr>
              <w:spacing w:after="0" w:line="240" w:lineRule="auto"/>
              <w:ind w:left="148" w:right="131"/>
              <w:rPr>
                <w:rFonts w:ascii="Arial Narrow" w:hAnsi="Arial Narrow" w:cs="Arial"/>
                <w:sz w:val="18"/>
                <w:szCs w:val="18"/>
              </w:rPr>
            </w:pPr>
            <w:r w:rsidRPr="00F34DD1">
              <w:rPr>
                <w:rFonts w:ascii="Arial Narrow" w:hAnsi="Arial Narrow" w:cs="Arial"/>
                <w:sz w:val="18"/>
                <w:szCs w:val="18"/>
              </w:rPr>
              <w:t>Наименование показателя, единица измерения</w:t>
            </w:r>
          </w:p>
        </w:tc>
        <w:tc>
          <w:tcPr>
            <w:tcW w:w="426" w:type="dxa"/>
            <w:tcBorders>
              <w:top w:val="single" w:sz="4" w:space="0" w:color="auto"/>
              <w:left w:val="nil"/>
              <w:bottom w:val="single" w:sz="4" w:space="0" w:color="auto"/>
              <w:right w:val="single" w:sz="4" w:space="0" w:color="auto"/>
            </w:tcBorders>
            <w:textDirection w:val="btLr"/>
            <w:vAlign w:val="center"/>
            <w:hideMark/>
          </w:tcPr>
          <w:p w:rsidR="00A64028" w:rsidRPr="00F34DD1" w:rsidRDefault="00A64028" w:rsidP="00F34DD1">
            <w:pPr>
              <w:spacing w:after="0" w:line="240" w:lineRule="auto"/>
              <w:ind w:left="3"/>
              <w:jc w:val="center"/>
              <w:rPr>
                <w:rFonts w:ascii="Arial Narrow" w:hAnsi="Arial Narrow" w:cs="Arial"/>
                <w:sz w:val="18"/>
                <w:szCs w:val="18"/>
              </w:rPr>
            </w:pPr>
            <w:r w:rsidRPr="00F34DD1">
              <w:rPr>
                <w:rFonts w:ascii="Arial Narrow" w:hAnsi="Arial Narrow" w:cs="Arial"/>
                <w:sz w:val="18"/>
                <w:szCs w:val="18"/>
              </w:rPr>
              <w:t>Общий по Новосибирской области</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F34DD1">
            <w:pPr>
              <w:spacing w:after="0" w:line="240" w:lineRule="auto"/>
              <w:ind w:left="3"/>
              <w:jc w:val="center"/>
              <w:rPr>
                <w:rFonts w:ascii="Arial Narrow" w:hAnsi="Arial Narrow" w:cs="Arial"/>
                <w:sz w:val="18"/>
                <w:szCs w:val="18"/>
              </w:rPr>
            </w:pPr>
            <w:r w:rsidRPr="00F34DD1">
              <w:rPr>
                <w:rFonts w:ascii="Arial Narrow" w:hAnsi="Arial Narrow" w:cs="Arial"/>
                <w:sz w:val="18"/>
                <w:szCs w:val="18"/>
              </w:rPr>
              <w:t>Рынок услуг дошкольного образования (коммерческие детские сады и учреждения пребывания неполного дня)</w:t>
            </w:r>
          </w:p>
        </w:tc>
        <w:tc>
          <w:tcPr>
            <w:tcW w:w="425" w:type="dxa"/>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F34DD1">
            <w:pPr>
              <w:spacing w:after="0" w:line="240" w:lineRule="auto"/>
              <w:ind w:left="113" w:right="113"/>
              <w:jc w:val="center"/>
              <w:rPr>
                <w:rFonts w:ascii="Arial Narrow" w:hAnsi="Arial Narrow" w:cs="Arial"/>
                <w:sz w:val="18"/>
                <w:szCs w:val="18"/>
              </w:rPr>
            </w:pPr>
            <w:r w:rsidRPr="00F34DD1">
              <w:rPr>
                <w:rFonts w:ascii="Arial Narrow" w:hAnsi="Arial Narrow" w:cs="Arial"/>
                <w:sz w:val="18"/>
                <w:szCs w:val="18"/>
              </w:rPr>
              <w:t>Рынок услуг детского отдыха и оздоровления</w:t>
            </w:r>
          </w:p>
        </w:tc>
        <w:tc>
          <w:tcPr>
            <w:tcW w:w="425" w:type="dxa"/>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F34DD1">
            <w:pPr>
              <w:spacing w:after="0" w:line="240" w:lineRule="auto"/>
              <w:ind w:left="113" w:right="113"/>
              <w:jc w:val="center"/>
              <w:rPr>
                <w:rFonts w:ascii="Arial Narrow" w:hAnsi="Arial Narrow" w:cs="Arial"/>
                <w:sz w:val="18"/>
                <w:szCs w:val="18"/>
              </w:rPr>
            </w:pPr>
            <w:r w:rsidRPr="00F34DD1">
              <w:rPr>
                <w:rFonts w:ascii="Arial Narrow" w:hAnsi="Arial Narrow" w:cs="Arial"/>
                <w:sz w:val="18"/>
                <w:szCs w:val="18"/>
              </w:rPr>
              <w:t>Рынок дополнительного образования детей</w:t>
            </w:r>
          </w:p>
        </w:tc>
        <w:tc>
          <w:tcPr>
            <w:tcW w:w="426" w:type="dxa"/>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F34DD1">
            <w:pPr>
              <w:spacing w:after="0" w:line="240" w:lineRule="auto"/>
              <w:ind w:left="113" w:right="113"/>
              <w:jc w:val="center"/>
              <w:rPr>
                <w:rFonts w:ascii="Arial Narrow" w:hAnsi="Arial Narrow" w:cs="Arial"/>
                <w:sz w:val="18"/>
                <w:szCs w:val="18"/>
              </w:rPr>
            </w:pPr>
            <w:r w:rsidRPr="00F34DD1">
              <w:rPr>
                <w:rFonts w:ascii="Arial Narrow" w:hAnsi="Arial Narrow" w:cs="Arial"/>
                <w:sz w:val="18"/>
                <w:szCs w:val="18"/>
              </w:rPr>
              <w:t>Рынок медицинских услуг</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F34DD1">
            <w:pPr>
              <w:spacing w:after="0" w:line="240" w:lineRule="auto"/>
              <w:ind w:left="113" w:right="113"/>
              <w:jc w:val="center"/>
              <w:rPr>
                <w:rFonts w:ascii="Arial Narrow" w:hAnsi="Arial Narrow" w:cs="Arial"/>
                <w:sz w:val="18"/>
                <w:szCs w:val="18"/>
              </w:rPr>
            </w:pPr>
            <w:r w:rsidRPr="00F34DD1">
              <w:rPr>
                <w:rFonts w:ascii="Arial Narrow" w:hAnsi="Arial Narrow" w:cs="Arial"/>
                <w:sz w:val="18"/>
                <w:szCs w:val="18"/>
              </w:rPr>
              <w:t>Рынок услуг психолого-педагогического сопровождения детей с ограниченными возможностями здоровья</w:t>
            </w:r>
          </w:p>
        </w:tc>
        <w:tc>
          <w:tcPr>
            <w:tcW w:w="364" w:type="dxa"/>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F34DD1">
            <w:pPr>
              <w:spacing w:after="0" w:line="240" w:lineRule="auto"/>
              <w:ind w:left="113" w:right="113"/>
              <w:jc w:val="center"/>
              <w:rPr>
                <w:rFonts w:ascii="Arial Narrow" w:hAnsi="Arial Narrow" w:cs="Arial"/>
                <w:sz w:val="18"/>
                <w:szCs w:val="18"/>
              </w:rPr>
            </w:pPr>
            <w:r w:rsidRPr="00F34DD1">
              <w:rPr>
                <w:rFonts w:ascii="Arial Narrow" w:hAnsi="Arial Narrow" w:cs="Arial"/>
                <w:sz w:val="18"/>
                <w:szCs w:val="18"/>
              </w:rPr>
              <w:t>Рынок услуг в сфере культуры</w:t>
            </w:r>
          </w:p>
        </w:tc>
        <w:tc>
          <w:tcPr>
            <w:tcW w:w="425" w:type="dxa"/>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F34DD1">
            <w:pPr>
              <w:spacing w:after="0" w:line="240" w:lineRule="auto"/>
              <w:ind w:left="113" w:right="113"/>
              <w:jc w:val="center"/>
              <w:rPr>
                <w:rFonts w:ascii="Arial Narrow" w:hAnsi="Arial Narrow" w:cs="Arial"/>
                <w:sz w:val="18"/>
                <w:szCs w:val="18"/>
              </w:rPr>
            </w:pPr>
            <w:r w:rsidRPr="00F34DD1">
              <w:rPr>
                <w:rFonts w:ascii="Arial Narrow" w:hAnsi="Arial Narrow" w:cs="Arial"/>
                <w:sz w:val="18"/>
                <w:szCs w:val="18"/>
              </w:rPr>
              <w:t>Рынок услуг ЖКХ (управляющие компании)</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F34DD1">
            <w:pPr>
              <w:spacing w:after="0" w:line="240" w:lineRule="auto"/>
              <w:ind w:left="113" w:right="113"/>
              <w:jc w:val="center"/>
              <w:rPr>
                <w:rFonts w:ascii="Arial Narrow" w:hAnsi="Arial Narrow" w:cs="Arial"/>
                <w:sz w:val="18"/>
                <w:szCs w:val="18"/>
              </w:rPr>
            </w:pPr>
            <w:r w:rsidRPr="00F34DD1">
              <w:rPr>
                <w:rFonts w:ascii="Arial Narrow" w:hAnsi="Arial Narrow" w:cs="Arial"/>
                <w:sz w:val="18"/>
                <w:szCs w:val="18"/>
              </w:rPr>
              <w:t>Розничная торговля (продажа продуктов питания и непродовольственных товаров)</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F34DD1">
            <w:pPr>
              <w:spacing w:after="0" w:line="240" w:lineRule="auto"/>
              <w:ind w:left="113" w:right="113"/>
              <w:jc w:val="center"/>
              <w:rPr>
                <w:rFonts w:ascii="Arial Narrow" w:hAnsi="Arial Narrow" w:cs="Arial"/>
                <w:sz w:val="18"/>
                <w:szCs w:val="18"/>
              </w:rPr>
            </w:pPr>
            <w:r w:rsidRPr="00F34DD1">
              <w:rPr>
                <w:rFonts w:ascii="Arial Narrow" w:hAnsi="Arial Narrow" w:cs="Arial"/>
                <w:sz w:val="18"/>
                <w:szCs w:val="18"/>
              </w:rPr>
              <w:t>Рынок услуг перевозок пассажиров наземным транспортом (автобусные перевозки и такси)</w:t>
            </w:r>
          </w:p>
        </w:tc>
        <w:tc>
          <w:tcPr>
            <w:tcW w:w="425" w:type="dxa"/>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F34DD1">
            <w:pPr>
              <w:spacing w:after="0" w:line="240" w:lineRule="auto"/>
              <w:ind w:left="113" w:right="113"/>
              <w:jc w:val="center"/>
              <w:rPr>
                <w:rFonts w:ascii="Arial Narrow" w:hAnsi="Arial Narrow" w:cs="Arial"/>
                <w:sz w:val="18"/>
                <w:szCs w:val="18"/>
              </w:rPr>
            </w:pPr>
            <w:r w:rsidRPr="00F34DD1">
              <w:rPr>
                <w:rFonts w:ascii="Arial Narrow" w:hAnsi="Arial Narrow" w:cs="Arial"/>
                <w:sz w:val="18"/>
                <w:szCs w:val="18"/>
              </w:rPr>
              <w:t>Рынок услуг связи</w:t>
            </w:r>
          </w:p>
        </w:tc>
        <w:tc>
          <w:tcPr>
            <w:tcW w:w="425" w:type="dxa"/>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F34DD1">
            <w:pPr>
              <w:spacing w:after="0" w:line="240" w:lineRule="auto"/>
              <w:ind w:left="113" w:right="113"/>
              <w:jc w:val="center"/>
              <w:rPr>
                <w:rFonts w:ascii="Arial Narrow" w:hAnsi="Arial Narrow" w:cs="Arial"/>
                <w:sz w:val="18"/>
                <w:szCs w:val="18"/>
              </w:rPr>
            </w:pPr>
            <w:r w:rsidRPr="00F34DD1">
              <w:rPr>
                <w:rFonts w:ascii="Arial Narrow" w:hAnsi="Arial Narrow" w:cs="Arial"/>
                <w:sz w:val="18"/>
                <w:szCs w:val="18"/>
              </w:rPr>
              <w:t>Рынок услуг социального обслуживания населения</w:t>
            </w:r>
          </w:p>
        </w:tc>
        <w:tc>
          <w:tcPr>
            <w:tcW w:w="708" w:type="dxa"/>
            <w:gridSpan w:val="2"/>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F34DD1">
            <w:pPr>
              <w:spacing w:after="0" w:line="240" w:lineRule="auto"/>
              <w:ind w:left="113" w:right="113"/>
              <w:jc w:val="center"/>
              <w:rPr>
                <w:rFonts w:ascii="Arial Narrow" w:hAnsi="Arial Narrow" w:cs="Arial"/>
                <w:sz w:val="18"/>
                <w:szCs w:val="18"/>
              </w:rPr>
            </w:pPr>
            <w:r w:rsidRPr="00F34DD1">
              <w:rPr>
                <w:rFonts w:ascii="Arial Narrow" w:hAnsi="Arial Narrow" w:cs="Arial"/>
                <w:sz w:val="18"/>
                <w:szCs w:val="18"/>
              </w:rPr>
              <w:t>Рынок развития, производства, переработки и хранения сельскохозяйственной продукции</w:t>
            </w:r>
          </w:p>
        </w:tc>
        <w:tc>
          <w:tcPr>
            <w:tcW w:w="572" w:type="dxa"/>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F34DD1">
            <w:pPr>
              <w:spacing w:after="0" w:line="240" w:lineRule="auto"/>
              <w:ind w:left="113" w:right="113"/>
              <w:jc w:val="center"/>
              <w:rPr>
                <w:rFonts w:ascii="Arial Narrow" w:hAnsi="Arial Narrow" w:cs="Arial"/>
                <w:sz w:val="18"/>
                <w:szCs w:val="18"/>
              </w:rPr>
            </w:pPr>
            <w:r w:rsidRPr="00F34DD1">
              <w:rPr>
                <w:rFonts w:ascii="Arial Narrow" w:hAnsi="Arial Narrow" w:cs="Arial"/>
                <w:sz w:val="18"/>
                <w:szCs w:val="18"/>
              </w:rPr>
              <w:t>Рынок услуг по сбору, сортировке и переработке твердых коммунальных (бытовых) отходов</w:t>
            </w:r>
          </w:p>
        </w:tc>
      </w:tr>
      <w:tr w:rsidR="00A64028" w:rsidRPr="00507E3F" w:rsidTr="00EB3EA8">
        <w:tc>
          <w:tcPr>
            <w:tcW w:w="286" w:type="dxa"/>
            <w:tcBorders>
              <w:top w:val="nil"/>
              <w:left w:val="single" w:sz="4" w:space="0" w:color="auto"/>
              <w:bottom w:val="single" w:sz="4" w:space="0" w:color="auto"/>
              <w:right w:val="single" w:sz="4" w:space="0" w:color="auto"/>
            </w:tcBorders>
            <w:vAlign w:val="center"/>
            <w:hideMark/>
          </w:tcPr>
          <w:p w:rsidR="00A64028" w:rsidRPr="00507E3F" w:rsidRDefault="00A64028" w:rsidP="00103148">
            <w:pPr>
              <w:spacing w:after="0"/>
              <w:jc w:val="center"/>
              <w:rPr>
                <w:rFonts w:ascii="Arial Narrow" w:hAnsi="Arial Narrow" w:cs="Arial"/>
                <w:b/>
                <w:bCs/>
                <w:sz w:val="18"/>
                <w:szCs w:val="18"/>
              </w:rPr>
            </w:pPr>
            <w:r w:rsidRPr="00507E3F">
              <w:rPr>
                <w:rFonts w:ascii="Arial Narrow" w:hAnsi="Arial Narrow" w:cs="Arial"/>
                <w:b/>
                <w:bCs/>
                <w:sz w:val="18"/>
                <w:szCs w:val="18"/>
              </w:rPr>
              <w:t>3.</w:t>
            </w:r>
          </w:p>
        </w:tc>
        <w:tc>
          <w:tcPr>
            <w:tcW w:w="9732" w:type="dxa"/>
            <w:gridSpan w:val="16"/>
            <w:tcBorders>
              <w:top w:val="single" w:sz="4" w:space="0" w:color="auto"/>
              <w:left w:val="nil"/>
              <w:bottom w:val="single" w:sz="4" w:space="0" w:color="auto"/>
              <w:right w:val="single" w:sz="4" w:space="0" w:color="000000"/>
            </w:tcBorders>
            <w:vAlign w:val="center"/>
            <w:hideMark/>
          </w:tcPr>
          <w:p w:rsidR="00A64028" w:rsidRPr="00372BCB" w:rsidRDefault="00A64028" w:rsidP="00F34DD1">
            <w:pPr>
              <w:spacing w:after="0" w:line="240" w:lineRule="auto"/>
              <w:ind w:left="147"/>
              <w:rPr>
                <w:rFonts w:ascii="Arial Narrow" w:hAnsi="Arial Narrow" w:cs="Arial"/>
                <w:b/>
                <w:bCs/>
                <w:sz w:val="20"/>
                <w:szCs w:val="20"/>
              </w:rPr>
            </w:pPr>
            <w:r w:rsidRPr="00372BCB">
              <w:rPr>
                <w:rFonts w:ascii="Arial Narrow" w:hAnsi="Arial Narrow" w:cs="Arial"/>
                <w:b/>
                <w:bCs/>
                <w:sz w:val="20"/>
                <w:szCs w:val="20"/>
              </w:rPr>
              <w:t>Мониторинг удовлетворенности субъектов предпринимательской деятельности и потребителей товаров, работ и услуг качеством официальной информации о состоянии конкурентной среды на рынках товаров, работ и услуг и деятельности по содействию развитию конкуренции в Новосибирской области, размещаемой уполномоченным органом и муниципальными образованиями</w:t>
            </w:r>
          </w:p>
        </w:tc>
      </w:tr>
      <w:tr w:rsidR="00A64028" w:rsidRPr="00507E3F" w:rsidTr="00EB3EA8">
        <w:tc>
          <w:tcPr>
            <w:tcW w:w="286" w:type="dxa"/>
            <w:tcBorders>
              <w:top w:val="nil"/>
              <w:left w:val="single" w:sz="4" w:space="0" w:color="auto"/>
              <w:bottom w:val="single" w:sz="4" w:space="0" w:color="auto"/>
              <w:right w:val="single" w:sz="4" w:space="0" w:color="auto"/>
            </w:tcBorders>
            <w:vAlign w:val="center"/>
            <w:hideMark/>
          </w:tcPr>
          <w:p w:rsidR="00A64028" w:rsidRPr="00507E3F" w:rsidRDefault="00A64028" w:rsidP="00103148">
            <w:pPr>
              <w:spacing w:after="0"/>
              <w:jc w:val="center"/>
              <w:rPr>
                <w:rFonts w:ascii="Arial Narrow" w:hAnsi="Arial Narrow" w:cs="Arial"/>
                <w:sz w:val="18"/>
                <w:szCs w:val="18"/>
              </w:rPr>
            </w:pPr>
            <w:r w:rsidRPr="00507E3F">
              <w:rPr>
                <w:rFonts w:ascii="Arial Narrow" w:hAnsi="Arial Narrow" w:cs="Arial"/>
                <w:sz w:val="18"/>
                <w:szCs w:val="18"/>
              </w:rPr>
              <w:t>3.2.</w:t>
            </w:r>
          </w:p>
        </w:tc>
        <w:tc>
          <w:tcPr>
            <w:tcW w:w="2843" w:type="dxa"/>
            <w:tcBorders>
              <w:top w:val="nil"/>
              <w:left w:val="nil"/>
              <w:bottom w:val="single" w:sz="4" w:space="0" w:color="auto"/>
              <w:right w:val="single" w:sz="4" w:space="0" w:color="auto"/>
            </w:tcBorders>
            <w:hideMark/>
          </w:tcPr>
          <w:p w:rsidR="00A64028" w:rsidRPr="00372BCB" w:rsidRDefault="00A64028" w:rsidP="00103148">
            <w:pPr>
              <w:pStyle w:val="af7"/>
              <w:widowControl w:val="0"/>
              <w:autoSpaceDE w:val="0"/>
              <w:autoSpaceDN w:val="0"/>
              <w:adjustRightInd w:val="0"/>
              <w:spacing w:before="0" w:beforeAutospacing="0" w:after="0" w:afterAutospacing="0"/>
              <w:ind w:left="148" w:right="131"/>
              <w:rPr>
                <w:rFonts w:ascii="Arial Narrow" w:hAnsi="Arial Narrow" w:cs="Arial"/>
                <w:color w:val="000000"/>
                <w:sz w:val="18"/>
                <w:szCs w:val="18"/>
                <w:lang w:eastAsia="en-US"/>
              </w:rPr>
            </w:pPr>
            <w:r w:rsidRPr="00372BCB">
              <w:rPr>
                <w:rFonts w:ascii="Arial Narrow" w:hAnsi="Arial Narrow" w:cs="Arial"/>
                <w:bCs/>
                <w:color w:val="000000"/>
                <w:sz w:val="18"/>
                <w:szCs w:val="18"/>
                <w:lang w:eastAsia="en-US"/>
              </w:rPr>
              <w:t>Доля представителей бизнеса, удовлетворенных уровнем понятности информации, размещаемой Министерством экономического развития Новосибирской области и органами местного самоуправления в открытом доступе, о состоянии конкурентной среды и деятельности по содействию развитию конкуренции в Новосибирской области в 2016 г. среди предприятий, оказывающих услуги/предоставляющих товары на социально значимых и приоритетных рынках (% от числа опрошенных участников рынков)</w:t>
            </w:r>
          </w:p>
        </w:tc>
        <w:tc>
          <w:tcPr>
            <w:tcW w:w="426" w:type="dxa"/>
            <w:tcBorders>
              <w:top w:val="nil"/>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hAnsi="Arial Narrow" w:cs="Arial"/>
                <w:sz w:val="18"/>
                <w:szCs w:val="18"/>
              </w:rPr>
            </w:pPr>
            <w:r w:rsidRPr="00507E3F">
              <w:rPr>
                <w:rFonts w:ascii="Arial Narrow" w:hAnsi="Arial Narrow" w:cs="Arial"/>
                <w:sz w:val="18"/>
                <w:szCs w:val="18"/>
              </w:rPr>
              <w:t>56%</w:t>
            </w:r>
          </w:p>
        </w:tc>
        <w:tc>
          <w:tcPr>
            <w:tcW w:w="567" w:type="dxa"/>
            <w:tcBorders>
              <w:top w:val="nil"/>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hAnsi="Arial Narrow" w:cs="Arial"/>
                <w:sz w:val="18"/>
                <w:szCs w:val="18"/>
              </w:rPr>
            </w:pPr>
            <w:r w:rsidRPr="00507E3F">
              <w:rPr>
                <w:rFonts w:ascii="Arial Narrow" w:hAnsi="Arial Narrow" w:cs="Arial"/>
                <w:sz w:val="18"/>
                <w:szCs w:val="18"/>
              </w:rPr>
              <w:t>60%</w:t>
            </w:r>
          </w:p>
        </w:tc>
        <w:tc>
          <w:tcPr>
            <w:tcW w:w="425" w:type="dxa"/>
            <w:tcBorders>
              <w:top w:val="nil"/>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hAnsi="Arial Narrow" w:cs="Arial"/>
                <w:sz w:val="18"/>
                <w:szCs w:val="18"/>
              </w:rPr>
            </w:pPr>
            <w:r w:rsidRPr="00507E3F">
              <w:rPr>
                <w:rFonts w:ascii="Arial Narrow" w:hAnsi="Arial Narrow" w:cs="Arial"/>
                <w:sz w:val="18"/>
                <w:szCs w:val="18"/>
              </w:rPr>
              <w:t>40%</w:t>
            </w:r>
          </w:p>
        </w:tc>
        <w:tc>
          <w:tcPr>
            <w:tcW w:w="425" w:type="dxa"/>
            <w:tcBorders>
              <w:top w:val="nil"/>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hAnsi="Arial Narrow" w:cs="Arial"/>
                <w:sz w:val="18"/>
                <w:szCs w:val="18"/>
              </w:rPr>
            </w:pPr>
            <w:r w:rsidRPr="00507E3F">
              <w:rPr>
                <w:rFonts w:ascii="Arial Narrow" w:hAnsi="Arial Narrow" w:cs="Arial"/>
                <w:sz w:val="18"/>
                <w:szCs w:val="18"/>
              </w:rPr>
              <w:t>56%</w:t>
            </w:r>
          </w:p>
        </w:tc>
        <w:tc>
          <w:tcPr>
            <w:tcW w:w="426" w:type="dxa"/>
            <w:tcBorders>
              <w:top w:val="nil"/>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hAnsi="Arial Narrow" w:cs="Arial"/>
                <w:sz w:val="18"/>
                <w:szCs w:val="18"/>
              </w:rPr>
            </w:pPr>
            <w:r w:rsidRPr="00507E3F">
              <w:rPr>
                <w:rFonts w:ascii="Arial Narrow" w:hAnsi="Arial Narrow" w:cs="Arial"/>
                <w:sz w:val="18"/>
                <w:szCs w:val="18"/>
              </w:rPr>
              <w:t>50%</w:t>
            </w:r>
          </w:p>
        </w:tc>
        <w:tc>
          <w:tcPr>
            <w:tcW w:w="567" w:type="dxa"/>
            <w:tcBorders>
              <w:top w:val="nil"/>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hAnsi="Arial Narrow" w:cs="Arial"/>
                <w:sz w:val="18"/>
                <w:szCs w:val="18"/>
              </w:rPr>
            </w:pPr>
            <w:r w:rsidRPr="00507E3F">
              <w:rPr>
                <w:rFonts w:ascii="Arial Narrow" w:hAnsi="Arial Narrow" w:cs="Arial"/>
                <w:sz w:val="18"/>
                <w:szCs w:val="18"/>
              </w:rPr>
              <w:t>64%</w:t>
            </w:r>
          </w:p>
        </w:tc>
        <w:tc>
          <w:tcPr>
            <w:tcW w:w="364" w:type="dxa"/>
            <w:tcBorders>
              <w:top w:val="nil"/>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hAnsi="Arial Narrow" w:cs="Arial"/>
                <w:sz w:val="18"/>
                <w:szCs w:val="18"/>
              </w:rPr>
            </w:pPr>
            <w:r w:rsidRPr="00507E3F">
              <w:rPr>
                <w:rFonts w:ascii="Arial Narrow" w:hAnsi="Arial Narrow" w:cs="Arial"/>
                <w:sz w:val="18"/>
                <w:szCs w:val="18"/>
              </w:rPr>
              <w:t>24%</w:t>
            </w:r>
          </w:p>
        </w:tc>
        <w:tc>
          <w:tcPr>
            <w:tcW w:w="425" w:type="dxa"/>
            <w:tcBorders>
              <w:top w:val="nil"/>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hAnsi="Arial Narrow" w:cs="Arial"/>
                <w:sz w:val="18"/>
                <w:szCs w:val="18"/>
              </w:rPr>
            </w:pPr>
            <w:r w:rsidRPr="00507E3F">
              <w:rPr>
                <w:rFonts w:ascii="Arial Narrow" w:hAnsi="Arial Narrow" w:cs="Arial"/>
                <w:sz w:val="18"/>
                <w:szCs w:val="18"/>
              </w:rPr>
              <w:t>73%</w:t>
            </w:r>
          </w:p>
        </w:tc>
        <w:tc>
          <w:tcPr>
            <w:tcW w:w="567" w:type="dxa"/>
            <w:tcBorders>
              <w:top w:val="nil"/>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hAnsi="Arial Narrow" w:cs="Arial"/>
                <w:sz w:val="18"/>
                <w:szCs w:val="18"/>
              </w:rPr>
            </w:pPr>
            <w:r w:rsidRPr="00507E3F">
              <w:rPr>
                <w:rFonts w:ascii="Arial Narrow" w:hAnsi="Arial Narrow" w:cs="Arial"/>
                <w:sz w:val="18"/>
                <w:szCs w:val="18"/>
              </w:rPr>
              <w:t>57%</w:t>
            </w:r>
          </w:p>
        </w:tc>
        <w:tc>
          <w:tcPr>
            <w:tcW w:w="567" w:type="dxa"/>
            <w:tcBorders>
              <w:top w:val="nil"/>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hAnsi="Arial Narrow" w:cs="Arial"/>
                <w:sz w:val="18"/>
                <w:szCs w:val="18"/>
              </w:rPr>
            </w:pPr>
            <w:r w:rsidRPr="00507E3F">
              <w:rPr>
                <w:rFonts w:ascii="Arial Narrow" w:hAnsi="Arial Narrow" w:cs="Arial"/>
                <w:sz w:val="18"/>
                <w:szCs w:val="18"/>
              </w:rPr>
              <w:t>65%</w:t>
            </w:r>
          </w:p>
        </w:tc>
        <w:tc>
          <w:tcPr>
            <w:tcW w:w="425" w:type="dxa"/>
            <w:tcBorders>
              <w:top w:val="nil"/>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hAnsi="Arial Narrow" w:cs="Arial"/>
                <w:sz w:val="18"/>
                <w:szCs w:val="18"/>
              </w:rPr>
            </w:pPr>
            <w:r w:rsidRPr="00507E3F">
              <w:rPr>
                <w:rFonts w:ascii="Arial Narrow" w:hAnsi="Arial Narrow" w:cs="Arial"/>
                <w:sz w:val="18"/>
                <w:szCs w:val="18"/>
              </w:rPr>
              <w:t>56%</w:t>
            </w:r>
          </w:p>
        </w:tc>
        <w:tc>
          <w:tcPr>
            <w:tcW w:w="628" w:type="dxa"/>
            <w:gridSpan w:val="2"/>
            <w:tcBorders>
              <w:top w:val="nil"/>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hAnsi="Arial Narrow" w:cs="Arial"/>
                <w:sz w:val="18"/>
                <w:szCs w:val="18"/>
              </w:rPr>
            </w:pPr>
            <w:r w:rsidRPr="00507E3F">
              <w:rPr>
                <w:rFonts w:ascii="Arial Narrow" w:hAnsi="Arial Narrow" w:cs="Arial"/>
                <w:sz w:val="18"/>
                <w:szCs w:val="18"/>
              </w:rPr>
              <w:t>60%</w:t>
            </w:r>
          </w:p>
        </w:tc>
        <w:tc>
          <w:tcPr>
            <w:tcW w:w="505" w:type="dxa"/>
            <w:tcBorders>
              <w:top w:val="nil"/>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hAnsi="Arial Narrow" w:cs="Arial"/>
                <w:sz w:val="18"/>
                <w:szCs w:val="18"/>
              </w:rPr>
            </w:pPr>
            <w:r w:rsidRPr="00507E3F">
              <w:rPr>
                <w:rFonts w:ascii="Arial Narrow" w:hAnsi="Arial Narrow" w:cs="Arial"/>
                <w:sz w:val="18"/>
                <w:szCs w:val="18"/>
              </w:rPr>
              <w:t>63%</w:t>
            </w:r>
          </w:p>
        </w:tc>
        <w:tc>
          <w:tcPr>
            <w:tcW w:w="572" w:type="dxa"/>
            <w:tcBorders>
              <w:top w:val="nil"/>
              <w:left w:val="nil"/>
              <w:bottom w:val="single" w:sz="4" w:space="0" w:color="auto"/>
              <w:right w:val="single" w:sz="4" w:space="0" w:color="auto"/>
            </w:tcBorders>
            <w:noWrap/>
            <w:vAlign w:val="center"/>
            <w:hideMark/>
          </w:tcPr>
          <w:p w:rsidR="00A64028" w:rsidRPr="00507E3F" w:rsidRDefault="00A64028" w:rsidP="00103148">
            <w:pPr>
              <w:spacing w:after="0"/>
              <w:jc w:val="center"/>
              <w:rPr>
                <w:rFonts w:ascii="Arial Narrow" w:hAnsi="Arial Narrow" w:cs="Arial"/>
                <w:sz w:val="18"/>
                <w:szCs w:val="18"/>
              </w:rPr>
            </w:pPr>
            <w:r w:rsidRPr="00507E3F">
              <w:rPr>
                <w:rFonts w:ascii="Arial Narrow" w:hAnsi="Arial Narrow" w:cs="Arial"/>
                <w:sz w:val="18"/>
                <w:szCs w:val="18"/>
              </w:rPr>
              <w:t>50%</w:t>
            </w:r>
          </w:p>
        </w:tc>
      </w:tr>
    </w:tbl>
    <w:p w:rsidR="00A64028" w:rsidRDefault="00A64028" w:rsidP="00103148">
      <w:pPr>
        <w:spacing w:after="0" w:line="360" w:lineRule="auto"/>
        <w:ind w:firstLine="284"/>
        <w:jc w:val="both"/>
        <w:rPr>
          <w:rFonts w:ascii="Arial Narrow" w:hAnsi="Arial Narrow" w:cs="Arial"/>
          <w:b/>
          <w:sz w:val="24"/>
          <w:szCs w:val="24"/>
        </w:rPr>
      </w:pPr>
    </w:p>
    <w:p w:rsidR="00A64028" w:rsidRDefault="00A64028" w:rsidP="00103148">
      <w:pPr>
        <w:spacing w:after="0" w:line="360" w:lineRule="auto"/>
        <w:ind w:firstLine="284"/>
        <w:jc w:val="both"/>
        <w:rPr>
          <w:rFonts w:ascii="Arial Narrow" w:hAnsi="Arial Narrow" w:cs="Arial"/>
          <w:b/>
          <w:sz w:val="24"/>
          <w:szCs w:val="24"/>
        </w:rPr>
      </w:pPr>
      <w:r>
        <w:rPr>
          <w:rFonts w:ascii="Arial Narrow" w:hAnsi="Arial Narrow" w:cs="Arial"/>
          <w:b/>
          <w:sz w:val="24"/>
          <w:szCs w:val="24"/>
        </w:rPr>
        <w:t xml:space="preserve">Значения показателя 3.3. Доля представителей бизнеса, удовлетворенных уровнем удобства получения информации, размещаемой Министерством экономического развития Новосибирской области и органами местного самоуправления в открытом доступе, о состоянии конкурентной среды и деятельности по содействию развитию конкуренции в Новосибирской </w:t>
      </w:r>
      <w:r>
        <w:rPr>
          <w:rFonts w:ascii="Arial Narrow" w:hAnsi="Arial Narrow" w:cs="Arial"/>
          <w:b/>
          <w:sz w:val="24"/>
          <w:szCs w:val="24"/>
        </w:rPr>
        <w:lastRenderedPageBreak/>
        <w:t>области в 2016 г. среди предприятий, оказывающих услуги/предоставляющих товары на социально значимых и приоритетных рынках (% от числа опрошенных участников рынков).</w:t>
      </w:r>
    </w:p>
    <w:p w:rsidR="00A64028" w:rsidRDefault="00A64028" w:rsidP="00103148">
      <w:pPr>
        <w:spacing w:after="0" w:line="360" w:lineRule="auto"/>
        <w:ind w:firstLine="284"/>
        <w:jc w:val="both"/>
        <w:rPr>
          <w:rFonts w:ascii="Arial Narrow" w:hAnsi="Arial Narrow" w:cs="Arial"/>
          <w:sz w:val="24"/>
          <w:szCs w:val="24"/>
        </w:rPr>
      </w:pPr>
      <w:r>
        <w:rPr>
          <w:rFonts w:ascii="Arial Narrow" w:hAnsi="Arial Narrow" w:cs="Arial"/>
          <w:sz w:val="24"/>
          <w:szCs w:val="24"/>
        </w:rPr>
        <w:t xml:space="preserve">Удовлетворены уровнем </w:t>
      </w:r>
      <w:r>
        <w:rPr>
          <w:rFonts w:ascii="Arial Narrow" w:hAnsi="Arial Narrow" w:cs="Arial"/>
          <w:b/>
          <w:sz w:val="24"/>
          <w:szCs w:val="24"/>
        </w:rPr>
        <w:t>удобства получения информации</w:t>
      </w:r>
      <w:r>
        <w:rPr>
          <w:rFonts w:ascii="Arial Narrow" w:hAnsi="Arial Narrow" w:cs="Arial"/>
          <w:sz w:val="24"/>
          <w:szCs w:val="24"/>
        </w:rPr>
        <w:t>, размещаемой Министерством экономического развития Новосибирской области и органами местного самоуправления в открытом доступе, о состоянии конкурентной среды и деятельности по содействию развитию конкуренции в Новосибирской области в 2016 г., в среднем 55 % субъектов предпринимательства, относящихся к социально значимым и приоритетным рынкам. Наибольшие значения удовлетворенности характерны для представителей рынка услуг жилищно-коммунального хозяйства (управляющих компаний) (75 %), самый низкий – среди субъектов предпринимательства рынка услуг в сфере культуры (24 %), а также рынка услуг детского отдыха и оздоровления (40 %). Представители остальных 10 социально значимых и приоритетных рынков удовлетворены уровнем доступности информации в пределах 47–65 %, эти результаты близки к среднему значению (53 %).</w:t>
      </w:r>
    </w:p>
    <w:p w:rsidR="00272625" w:rsidRDefault="00272625" w:rsidP="00372BCB">
      <w:pPr>
        <w:spacing w:after="0" w:line="240" w:lineRule="auto"/>
        <w:rPr>
          <w:rFonts w:ascii="Arial Narrow" w:hAnsi="Arial Narrow" w:cs="Arial"/>
          <w:sz w:val="24"/>
          <w:szCs w:val="24"/>
        </w:rPr>
      </w:pPr>
    </w:p>
    <w:p w:rsidR="00A64028" w:rsidRDefault="00272625" w:rsidP="00F34DD1">
      <w:pPr>
        <w:rPr>
          <w:rFonts w:ascii="Arial Narrow" w:hAnsi="Arial Narrow" w:cs="Arial"/>
          <w:b/>
          <w:sz w:val="24"/>
          <w:szCs w:val="24"/>
        </w:rPr>
      </w:pPr>
      <w:r>
        <w:rPr>
          <w:rFonts w:ascii="Arial Narrow" w:hAnsi="Arial Narrow" w:cs="Arial"/>
          <w:sz w:val="24"/>
          <w:szCs w:val="24"/>
        </w:rPr>
        <w:br w:type="page"/>
      </w:r>
      <w:r>
        <w:rPr>
          <w:rFonts w:ascii="Arial Narrow" w:hAnsi="Arial Narrow" w:cs="Arial"/>
          <w:sz w:val="24"/>
          <w:szCs w:val="24"/>
        </w:rPr>
        <w:lastRenderedPageBreak/>
        <w:t>Таблица 7.45</w:t>
      </w:r>
      <w:r w:rsidR="00262F71">
        <w:rPr>
          <w:rFonts w:ascii="Arial Narrow" w:hAnsi="Arial Narrow" w:cs="Arial"/>
          <w:sz w:val="24"/>
          <w:szCs w:val="24"/>
        </w:rPr>
        <w:t>.</w:t>
      </w:r>
      <w:r w:rsidR="00A64028">
        <w:rPr>
          <w:rFonts w:ascii="Arial Narrow" w:hAnsi="Arial Narrow" w:cs="Arial"/>
          <w:sz w:val="24"/>
          <w:szCs w:val="24"/>
        </w:rPr>
        <w:t xml:space="preserve">– </w:t>
      </w:r>
      <w:r w:rsidR="00A64028">
        <w:rPr>
          <w:rFonts w:ascii="Arial Narrow" w:hAnsi="Arial Narrow" w:cs="Arial"/>
          <w:b/>
          <w:sz w:val="24"/>
          <w:szCs w:val="24"/>
        </w:rPr>
        <w:t>Значения показателя 3.3. Доля представителей бизнеса, удовлетворенных уровнем удобства получения информации, размещаемой Министерством экономического развития Новосибирской области и органами местного самоуправления в открытом доступе, о состоянии конкурентной среды и деятельности по содействию развитию конкуренции в Новосибирской области в 2016 г. среди предприятий, оказывающих услуги/предоставляющих товары на социально значимых и приоритетных рынках (% от числа опрошенных участников рынков)</w:t>
      </w:r>
    </w:p>
    <w:tbl>
      <w:tblPr>
        <w:tblW w:w="10075" w:type="dxa"/>
        <w:tblInd w:w="-289" w:type="dxa"/>
        <w:tblLayout w:type="fixed"/>
        <w:tblCellMar>
          <w:left w:w="0" w:type="dxa"/>
          <w:right w:w="0" w:type="dxa"/>
        </w:tblCellMar>
        <w:tblLook w:val="04A0"/>
      </w:tblPr>
      <w:tblGrid>
        <w:gridCol w:w="288"/>
        <w:gridCol w:w="2274"/>
        <w:gridCol w:w="567"/>
        <w:gridCol w:w="709"/>
        <w:gridCol w:w="567"/>
        <w:gridCol w:w="425"/>
        <w:gridCol w:w="425"/>
        <w:gridCol w:w="709"/>
        <w:gridCol w:w="425"/>
        <w:gridCol w:w="425"/>
        <w:gridCol w:w="567"/>
        <w:gridCol w:w="567"/>
        <w:gridCol w:w="426"/>
        <w:gridCol w:w="567"/>
        <w:gridCol w:w="567"/>
        <w:gridCol w:w="567"/>
      </w:tblGrid>
      <w:tr w:rsidR="00A64028" w:rsidRPr="00422331" w:rsidTr="001820C5">
        <w:trPr>
          <w:cantSplit/>
          <w:trHeight w:val="3610"/>
        </w:trPr>
        <w:tc>
          <w:tcPr>
            <w:tcW w:w="288" w:type="dxa"/>
            <w:tcBorders>
              <w:top w:val="single" w:sz="4" w:space="0" w:color="auto"/>
              <w:left w:val="single" w:sz="4" w:space="0" w:color="auto"/>
              <w:bottom w:val="single" w:sz="4" w:space="0" w:color="auto"/>
              <w:right w:val="single" w:sz="4" w:space="0" w:color="auto"/>
            </w:tcBorders>
            <w:vAlign w:val="center"/>
            <w:hideMark/>
          </w:tcPr>
          <w:p w:rsidR="00A64028" w:rsidRPr="00422331" w:rsidRDefault="00A64028" w:rsidP="00103148">
            <w:pPr>
              <w:spacing w:after="0"/>
              <w:jc w:val="center"/>
              <w:rPr>
                <w:rFonts w:ascii="Arial Narrow" w:hAnsi="Arial Narrow" w:cs="Arial"/>
                <w:sz w:val="17"/>
                <w:szCs w:val="17"/>
              </w:rPr>
            </w:pPr>
            <w:r w:rsidRPr="00422331">
              <w:rPr>
                <w:rFonts w:ascii="Arial Narrow" w:hAnsi="Arial Narrow" w:cs="Arial"/>
                <w:sz w:val="17"/>
                <w:szCs w:val="17"/>
              </w:rPr>
              <w:t>№</w:t>
            </w:r>
          </w:p>
        </w:tc>
        <w:tc>
          <w:tcPr>
            <w:tcW w:w="2274" w:type="dxa"/>
            <w:tcBorders>
              <w:top w:val="single" w:sz="4" w:space="0" w:color="auto"/>
              <w:left w:val="nil"/>
              <w:bottom w:val="single" w:sz="4" w:space="0" w:color="auto"/>
              <w:right w:val="single" w:sz="4" w:space="0" w:color="auto"/>
            </w:tcBorders>
            <w:vAlign w:val="center"/>
            <w:hideMark/>
          </w:tcPr>
          <w:p w:rsidR="00A64028" w:rsidRPr="00422331" w:rsidRDefault="00A64028" w:rsidP="00F34DD1">
            <w:pPr>
              <w:spacing w:after="0" w:line="240" w:lineRule="auto"/>
              <w:ind w:left="6"/>
              <w:jc w:val="center"/>
              <w:rPr>
                <w:rFonts w:ascii="Arial Narrow" w:hAnsi="Arial Narrow" w:cs="Arial"/>
                <w:sz w:val="17"/>
                <w:szCs w:val="17"/>
              </w:rPr>
            </w:pPr>
            <w:r w:rsidRPr="00422331">
              <w:rPr>
                <w:rFonts w:ascii="Arial Narrow" w:hAnsi="Arial Narrow" w:cs="Arial"/>
                <w:sz w:val="17"/>
                <w:szCs w:val="17"/>
              </w:rPr>
              <w:t>Наименование показателя, единица измерения</w:t>
            </w:r>
          </w:p>
        </w:tc>
        <w:tc>
          <w:tcPr>
            <w:tcW w:w="567" w:type="dxa"/>
            <w:tcBorders>
              <w:top w:val="single" w:sz="4" w:space="0" w:color="auto"/>
              <w:left w:val="nil"/>
              <w:bottom w:val="single" w:sz="4" w:space="0" w:color="auto"/>
              <w:right w:val="single" w:sz="4" w:space="0" w:color="auto"/>
            </w:tcBorders>
            <w:textDirection w:val="btLr"/>
            <w:vAlign w:val="center"/>
            <w:hideMark/>
          </w:tcPr>
          <w:p w:rsidR="00A64028" w:rsidRPr="00422331" w:rsidRDefault="00A64028" w:rsidP="00F34DD1">
            <w:pPr>
              <w:spacing w:after="0" w:line="240" w:lineRule="auto"/>
              <w:ind w:left="113" w:right="113"/>
              <w:jc w:val="center"/>
              <w:rPr>
                <w:rFonts w:ascii="Arial Narrow" w:hAnsi="Arial Narrow" w:cs="Arial"/>
                <w:sz w:val="17"/>
                <w:szCs w:val="17"/>
              </w:rPr>
            </w:pPr>
            <w:r w:rsidRPr="00422331">
              <w:rPr>
                <w:rFonts w:ascii="Arial Narrow" w:hAnsi="Arial Narrow" w:cs="Arial"/>
                <w:sz w:val="17"/>
                <w:szCs w:val="17"/>
              </w:rPr>
              <w:t>Общий по Новосибирской области</w:t>
            </w:r>
          </w:p>
        </w:tc>
        <w:tc>
          <w:tcPr>
            <w:tcW w:w="709" w:type="dxa"/>
            <w:tcBorders>
              <w:top w:val="single" w:sz="4" w:space="0" w:color="auto"/>
              <w:left w:val="nil"/>
              <w:bottom w:val="single" w:sz="4" w:space="0" w:color="auto"/>
              <w:right w:val="single" w:sz="4" w:space="0" w:color="auto"/>
            </w:tcBorders>
            <w:noWrap/>
            <w:textDirection w:val="btLr"/>
            <w:vAlign w:val="center"/>
            <w:hideMark/>
          </w:tcPr>
          <w:p w:rsidR="00A64028" w:rsidRPr="00422331" w:rsidRDefault="00A64028" w:rsidP="00F34DD1">
            <w:pPr>
              <w:spacing w:after="0" w:line="240" w:lineRule="auto"/>
              <w:ind w:left="113" w:right="113"/>
              <w:jc w:val="center"/>
              <w:rPr>
                <w:rFonts w:ascii="Arial Narrow" w:hAnsi="Arial Narrow" w:cs="Arial"/>
                <w:sz w:val="17"/>
                <w:szCs w:val="17"/>
              </w:rPr>
            </w:pPr>
            <w:r w:rsidRPr="00422331">
              <w:rPr>
                <w:rFonts w:ascii="Arial Narrow" w:hAnsi="Arial Narrow" w:cs="Arial"/>
                <w:sz w:val="17"/>
                <w:szCs w:val="17"/>
              </w:rPr>
              <w:t>Рынок услуг дошкольного образования (коммерческие детские сады и учреждения пребывания неполного дня)</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422331" w:rsidRDefault="00A64028" w:rsidP="00F34DD1">
            <w:pPr>
              <w:spacing w:after="0" w:line="240" w:lineRule="auto"/>
              <w:ind w:left="113" w:right="113"/>
              <w:jc w:val="center"/>
              <w:rPr>
                <w:rFonts w:ascii="Arial Narrow" w:hAnsi="Arial Narrow" w:cs="Arial"/>
                <w:sz w:val="17"/>
                <w:szCs w:val="17"/>
              </w:rPr>
            </w:pPr>
            <w:r w:rsidRPr="00422331">
              <w:rPr>
                <w:rFonts w:ascii="Arial Narrow" w:hAnsi="Arial Narrow" w:cs="Arial"/>
                <w:sz w:val="17"/>
                <w:szCs w:val="17"/>
              </w:rPr>
              <w:t>Рынок услуг детского отдыха и оздоровления</w:t>
            </w:r>
          </w:p>
        </w:tc>
        <w:tc>
          <w:tcPr>
            <w:tcW w:w="425" w:type="dxa"/>
            <w:tcBorders>
              <w:top w:val="single" w:sz="4" w:space="0" w:color="auto"/>
              <w:left w:val="nil"/>
              <w:bottom w:val="single" w:sz="4" w:space="0" w:color="auto"/>
              <w:right w:val="single" w:sz="4" w:space="0" w:color="auto"/>
            </w:tcBorders>
            <w:noWrap/>
            <w:textDirection w:val="btLr"/>
            <w:vAlign w:val="center"/>
            <w:hideMark/>
          </w:tcPr>
          <w:p w:rsidR="00A64028" w:rsidRPr="00422331" w:rsidRDefault="00A64028" w:rsidP="00F34DD1">
            <w:pPr>
              <w:spacing w:after="0" w:line="240" w:lineRule="auto"/>
              <w:ind w:left="113" w:right="113"/>
              <w:jc w:val="center"/>
              <w:rPr>
                <w:rFonts w:ascii="Arial Narrow" w:hAnsi="Arial Narrow" w:cs="Arial"/>
                <w:sz w:val="17"/>
                <w:szCs w:val="17"/>
              </w:rPr>
            </w:pPr>
            <w:r w:rsidRPr="00422331">
              <w:rPr>
                <w:rFonts w:ascii="Arial Narrow" w:hAnsi="Arial Narrow" w:cs="Arial"/>
                <w:sz w:val="17"/>
                <w:szCs w:val="17"/>
              </w:rPr>
              <w:t>Рынок дополнительного образования детей</w:t>
            </w:r>
          </w:p>
        </w:tc>
        <w:tc>
          <w:tcPr>
            <w:tcW w:w="425" w:type="dxa"/>
            <w:tcBorders>
              <w:top w:val="single" w:sz="4" w:space="0" w:color="auto"/>
              <w:left w:val="nil"/>
              <w:bottom w:val="single" w:sz="4" w:space="0" w:color="auto"/>
              <w:right w:val="single" w:sz="4" w:space="0" w:color="auto"/>
            </w:tcBorders>
            <w:noWrap/>
            <w:textDirection w:val="btLr"/>
            <w:vAlign w:val="center"/>
            <w:hideMark/>
          </w:tcPr>
          <w:p w:rsidR="00A64028" w:rsidRPr="00422331" w:rsidRDefault="00A64028" w:rsidP="00F34DD1">
            <w:pPr>
              <w:spacing w:after="0" w:line="240" w:lineRule="auto"/>
              <w:ind w:left="113" w:right="113"/>
              <w:jc w:val="center"/>
              <w:rPr>
                <w:rFonts w:ascii="Arial Narrow" w:hAnsi="Arial Narrow" w:cs="Arial"/>
                <w:sz w:val="17"/>
                <w:szCs w:val="17"/>
              </w:rPr>
            </w:pPr>
            <w:r w:rsidRPr="00422331">
              <w:rPr>
                <w:rFonts w:ascii="Arial Narrow" w:hAnsi="Arial Narrow" w:cs="Arial"/>
                <w:sz w:val="17"/>
                <w:szCs w:val="17"/>
              </w:rPr>
              <w:t>Рынок медицинских услуг</w:t>
            </w:r>
          </w:p>
        </w:tc>
        <w:tc>
          <w:tcPr>
            <w:tcW w:w="709" w:type="dxa"/>
            <w:tcBorders>
              <w:top w:val="single" w:sz="4" w:space="0" w:color="auto"/>
              <w:left w:val="nil"/>
              <w:bottom w:val="single" w:sz="4" w:space="0" w:color="auto"/>
              <w:right w:val="single" w:sz="4" w:space="0" w:color="auto"/>
            </w:tcBorders>
            <w:noWrap/>
            <w:textDirection w:val="btLr"/>
            <w:vAlign w:val="center"/>
            <w:hideMark/>
          </w:tcPr>
          <w:p w:rsidR="00A64028" w:rsidRPr="00422331" w:rsidRDefault="00A64028" w:rsidP="00F34DD1">
            <w:pPr>
              <w:spacing w:after="0" w:line="240" w:lineRule="auto"/>
              <w:ind w:left="113" w:right="113"/>
              <w:jc w:val="center"/>
              <w:rPr>
                <w:rFonts w:ascii="Arial Narrow" w:hAnsi="Arial Narrow" w:cs="Arial"/>
                <w:sz w:val="17"/>
                <w:szCs w:val="17"/>
              </w:rPr>
            </w:pPr>
            <w:r w:rsidRPr="00422331">
              <w:rPr>
                <w:rFonts w:ascii="Arial Narrow" w:hAnsi="Arial Narrow" w:cs="Arial"/>
                <w:sz w:val="17"/>
                <w:szCs w:val="17"/>
              </w:rPr>
              <w:t>Рынок услуг психолого-педагогического сопровождения детей с ограниченными возможностями здоровья</w:t>
            </w:r>
          </w:p>
        </w:tc>
        <w:tc>
          <w:tcPr>
            <w:tcW w:w="425" w:type="dxa"/>
            <w:tcBorders>
              <w:top w:val="single" w:sz="4" w:space="0" w:color="auto"/>
              <w:left w:val="nil"/>
              <w:bottom w:val="single" w:sz="4" w:space="0" w:color="auto"/>
              <w:right w:val="single" w:sz="4" w:space="0" w:color="auto"/>
            </w:tcBorders>
            <w:noWrap/>
            <w:textDirection w:val="btLr"/>
            <w:vAlign w:val="center"/>
            <w:hideMark/>
          </w:tcPr>
          <w:p w:rsidR="00A64028" w:rsidRPr="00422331" w:rsidRDefault="00A64028" w:rsidP="00F34DD1">
            <w:pPr>
              <w:spacing w:after="0" w:line="240" w:lineRule="auto"/>
              <w:ind w:left="113" w:right="113"/>
              <w:jc w:val="center"/>
              <w:rPr>
                <w:rFonts w:ascii="Arial Narrow" w:hAnsi="Arial Narrow" w:cs="Arial"/>
                <w:sz w:val="17"/>
                <w:szCs w:val="17"/>
              </w:rPr>
            </w:pPr>
            <w:r w:rsidRPr="00422331">
              <w:rPr>
                <w:rFonts w:ascii="Arial Narrow" w:hAnsi="Arial Narrow" w:cs="Arial"/>
                <w:sz w:val="17"/>
                <w:szCs w:val="17"/>
              </w:rPr>
              <w:t>Рынок услуг в сфере культуры</w:t>
            </w:r>
          </w:p>
        </w:tc>
        <w:tc>
          <w:tcPr>
            <w:tcW w:w="425" w:type="dxa"/>
            <w:tcBorders>
              <w:top w:val="single" w:sz="4" w:space="0" w:color="auto"/>
              <w:left w:val="nil"/>
              <w:bottom w:val="single" w:sz="4" w:space="0" w:color="auto"/>
              <w:right w:val="single" w:sz="4" w:space="0" w:color="auto"/>
            </w:tcBorders>
            <w:noWrap/>
            <w:textDirection w:val="btLr"/>
            <w:vAlign w:val="center"/>
            <w:hideMark/>
          </w:tcPr>
          <w:p w:rsidR="00A64028" w:rsidRPr="00422331" w:rsidRDefault="00A64028" w:rsidP="00F34DD1">
            <w:pPr>
              <w:spacing w:after="0" w:line="240" w:lineRule="auto"/>
              <w:ind w:left="113" w:right="113"/>
              <w:jc w:val="center"/>
              <w:rPr>
                <w:rFonts w:ascii="Arial Narrow" w:hAnsi="Arial Narrow" w:cs="Arial"/>
                <w:sz w:val="17"/>
                <w:szCs w:val="17"/>
              </w:rPr>
            </w:pPr>
            <w:r w:rsidRPr="00422331">
              <w:rPr>
                <w:rFonts w:ascii="Arial Narrow" w:hAnsi="Arial Narrow" w:cs="Arial"/>
                <w:sz w:val="17"/>
                <w:szCs w:val="17"/>
              </w:rPr>
              <w:t>Рынок услуг ЖКХ (управляющие компании)</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422331" w:rsidRDefault="00A64028" w:rsidP="00F34DD1">
            <w:pPr>
              <w:spacing w:after="0" w:line="240" w:lineRule="auto"/>
              <w:ind w:left="113" w:right="113"/>
              <w:jc w:val="center"/>
              <w:rPr>
                <w:rFonts w:ascii="Arial Narrow" w:hAnsi="Arial Narrow" w:cs="Arial"/>
                <w:sz w:val="17"/>
                <w:szCs w:val="17"/>
              </w:rPr>
            </w:pPr>
            <w:r w:rsidRPr="00422331">
              <w:rPr>
                <w:rFonts w:ascii="Arial Narrow" w:hAnsi="Arial Narrow" w:cs="Arial"/>
                <w:sz w:val="17"/>
                <w:szCs w:val="17"/>
              </w:rPr>
              <w:t>Розничная торговля (продажа продуктов питания и непродовольственных товаров)</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422331" w:rsidRDefault="00A64028" w:rsidP="00F34DD1">
            <w:pPr>
              <w:spacing w:after="0" w:line="240" w:lineRule="auto"/>
              <w:ind w:left="113" w:right="113"/>
              <w:jc w:val="center"/>
              <w:rPr>
                <w:rFonts w:ascii="Arial Narrow" w:hAnsi="Arial Narrow" w:cs="Arial"/>
                <w:sz w:val="17"/>
                <w:szCs w:val="17"/>
              </w:rPr>
            </w:pPr>
            <w:r w:rsidRPr="00422331">
              <w:rPr>
                <w:rFonts w:ascii="Arial Narrow" w:hAnsi="Arial Narrow" w:cs="Arial"/>
                <w:sz w:val="17"/>
                <w:szCs w:val="17"/>
              </w:rPr>
              <w:t>Рынок услуг перевозок пассажиров наземным транспортом (автобусные перевозки и такси)</w:t>
            </w:r>
          </w:p>
        </w:tc>
        <w:tc>
          <w:tcPr>
            <w:tcW w:w="426" w:type="dxa"/>
            <w:tcBorders>
              <w:top w:val="single" w:sz="4" w:space="0" w:color="auto"/>
              <w:left w:val="nil"/>
              <w:bottom w:val="single" w:sz="4" w:space="0" w:color="auto"/>
              <w:right w:val="single" w:sz="4" w:space="0" w:color="auto"/>
            </w:tcBorders>
            <w:noWrap/>
            <w:textDirection w:val="btLr"/>
            <w:vAlign w:val="center"/>
            <w:hideMark/>
          </w:tcPr>
          <w:p w:rsidR="00A64028" w:rsidRPr="00422331" w:rsidRDefault="00A64028" w:rsidP="00F34DD1">
            <w:pPr>
              <w:spacing w:after="0" w:line="240" w:lineRule="auto"/>
              <w:ind w:left="113" w:right="113"/>
              <w:jc w:val="center"/>
              <w:rPr>
                <w:rFonts w:ascii="Arial Narrow" w:hAnsi="Arial Narrow" w:cs="Arial"/>
                <w:sz w:val="17"/>
                <w:szCs w:val="17"/>
              </w:rPr>
            </w:pPr>
            <w:r w:rsidRPr="00422331">
              <w:rPr>
                <w:rFonts w:ascii="Arial Narrow" w:hAnsi="Arial Narrow" w:cs="Arial"/>
                <w:sz w:val="17"/>
                <w:szCs w:val="17"/>
              </w:rPr>
              <w:t>Рынок услуг связи</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422331" w:rsidRDefault="00A64028" w:rsidP="00F34DD1">
            <w:pPr>
              <w:spacing w:after="0" w:line="240" w:lineRule="auto"/>
              <w:ind w:left="113" w:right="113"/>
              <w:jc w:val="center"/>
              <w:rPr>
                <w:rFonts w:ascii="Arial Narrow" w:hAnsi="Arial Narrow" w:cs="Arial"/>
                <w:sz w:val="17"/>
                <w:szCs w:val="17"/>
              </w:rPr>
            </w:pPr>
            <w:r w:rsidRPr="00422331">
              <w:rPr>
                <w:rFonts w:ascii="Arial Narrow" w:hAnsi="Arial Narrow" w:cs="Arial"/>
                <w:sz w:val="17"/>
                <w:szCs w:val="17"/>
              </w:rPr>
              <w:t>Рынок услуг социального обслуживания населения</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422331" w:rsidRDefault="00A64028" w:rsidP="00F34DD1">
            <w:pPr>
              <w:spacing w:after="0" w:line="240" w:lineRule="auto"/>
              <w:ind w:left="113" w:right="113"/>
              <w:jc w:val="center"/>
              <w:rPr>
                <w:rFonts w:ascii="Arial Narrow" w:hAnsi="Arial Narrow" w:cs="Arial"/>
                <w:sz w:val="17"/>
                <w:szCs w:val="17"/>
              </w:rPr>
            </w:pPr>
            <w:r w:rsidRPr="00422331">
              <w:rPr>
                <w:rFonts w:ascii="Arial Narrow" w:hAnsi="Arial Narrow" w:cs="Arial"/>
                <w:sz w:val="17"/>
                <w:szCs w:val="17"/>
              </w:rPr>
              <w:t>Рынок развития, производства, переработки и хранения сельскохозяйственной продукции</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422331" w:rsidRDefault="00A64028" w:rsidP="00F34DD1">
            <w:pPr>
              <w:spacing w:after="0" w:line="240" w:lineRule="auto"/>
              <w:ind w:left="113" w:right="113"/>
              <w:jc w:val="center"/>
              <w:rPr>
                <w:rFonts w:ascii="Arial Narrow" w:hAnsi="Arial Narrow" w:cs="Arial"/>
                <w:sz w:val="17"/>
                <w:szCs w:val="17"/>
              </w:rPr>
            </w:pPr>
            <w:r w:rsidRPr="00422331">
              <w:rPr>
                <w:rFonts w:ascii="Arial Narrow" w:hAnsi="Arial Narrow" w:cs="Arial"/>
                <w:sz w:val="17"/>
                <w:szCs w:val="17"/>
              </w:rPr>
              <w:t>Рынок услуг по сбору, сортировке и переработке твердых коммунальных (бытовых) отходов</w:t>
            </w:r>
          </w:p>
        </w:tc>
      </w:tr>
      <w:tr w:rsidR="00A64028" w:rsidRPr="00422331" w:rsidTr="001820C5">
        <w:tc>
          <w:tcPr>
            <w:tcW w:w="288" w:type="dxa"/>
            <w:tcBorders>
              <w:top w:val="nil"/>
              <w:left w:val="single" w:sz="4" w:space="0" w:color="auto"/>
              <w:bottom w:val="single" w:sz="4" w:space="0" w:color="auto"/>
              <w:right w:val="single" w:sz="4" w:space="0" w:color="auto"/>
            </w:tcBorders>
            <w:vAlign w:val="center"/>
            <w:hideMark/>
          </w:tcPr>
          <w:p w:rsidR="00A64028" w:rsidRPr="00422331" w:rsidRDefault="00A64028" w:rsidP="00103148">
            <w:pPr>
              <w:spacing w:after="0"/>
              <w:jc w:val="center"/>
              <w:rPr>
                <w:rFonts w:ascii="Arial Narrow" w:hAnsi="Arial Narrow" w:cs="Arial"/>
                <w:b/>
                <w:bCs/>
                <w:sz w:val="17"/>
                <w:szCs w:val="17"/>
              </w:rPr>
            </w:pPr>
            <w:r w:rsidRPr="00422331">
              <w:rPr>
                <w:rFonts w:ascii="Arial Narrow" w:hAnsi="Arial Narrow" w:cs="Arial"/>
                <w:b/>
                <w:bCs/>
                <w:sz w:val="17"/>
                <w:szCs w:val="17"/>
              </w:rPr>
              <w:t>3.</w:t>
            </w:r>
          </w:p>
        </w:tc>
        <w:tc>
          <w:tcPr>
            <w:tcW w:w="9787" w:type="dxa"/>
            <w:gridSpan w:val="15"/>
            <w:tcBorders>
              <w:top w:val="single" w:sz="4" w:space="0" w:color="auto"/>
              <w:left w:val="nil"/>
              <w:bottom w:val="single" w:sz="4" w:space="0" w:color="auto"/>
              <w:right w:val="single" w:sz="4" w:space="0" w:color="000000"/>
            </w:tcBorders>
            <w:vAlign w:val="center"/>
            <w:hideMark/>
          </w:tcPr>
          <w:p w:rsidR="00A64028" w:rsidRPr="00F34DD1" w:rsidRDefault="00A64028" w:rsidP="00103148">
            <w:pPr>
              <w:spacing w:after="0"/>
              <w:ind w:left="148"/>
              <w:rPr>
                <w:rFonts w:ascii="Arial Narrow" w:hAnsi="Arial Narrow" w:cs="Arial"/>
                <w:b/>
                <w:bCs/>
                <w:sz w:val="18"/>
                <w:szCs w:val="18"/>
              </w:rPr>
            </w:pPr>
            <w:r w:rsidRPr="00F34DD1">
              <w:rPr>
                <w:rFonts w:ascii="Arial Narrow" w:hAnsi="Arial Narrow" w:cs="Arial"/>
                <w:b/>
                <w:bCs/>
                <w:sz w:val="18"/>
                <w:szCs w:val="18"/>
              </w:rPr>
              <w:t>Мониторинг удовлетворенности субъектов предпринимательской деятельности и потребителей товаров, работ и услуг качеством официальной информации о состоянии конкурентной среды на рынках товаров, работ и услуг и деятельности по содействию развитию конкуренции в Новосибирской области, размещаемой уполномоченным органом и муниципальными образованиями</w:t>
            </w:r>
          </w:p>
        </w:tc>
      </w:tr>
      <w:tr w:rsidR="00A64028" w:rsidRPr="00422331" w:rsidTr="001820C5">
        <w:tc>
          <w:tcPr>
            <w:tcW w:w="288" w:type="dxa"/>
            <w:tcBorders>
              <w:top w:val="nil"/>
              <w:left w:val="single" w:sz="4" w:space="0" w:color="auto"/>
              <w:bottom w:val="single" w:sz="4" w:space="0" w:color="auto"/>
              <w:right w:val="single" w:sz="4" w:space="0" w:color="auto"/>
            </w:tcBorders>
            <w:vAlign w:val="center"/>
            <w:hideMark/>
          </w:tcPr>
          <w:p w:rsidR="00A64028" w:rsidRPr="00422331" w:rsidRDefault="00A64028" w:rsidP="00103148">
            <w:pPr>
              <w:spacing w:after="0"/>
              <w:jc w:val="center"/>
              <w:rPr>
                <w:rFonts w:ascii="Arial Narrow" w:hAnsi="Arial Narrow" w:cs="Arial"/>
                <w:sz w:val="17"/>
                <w:szCs w:val="17"/>
              </w:rPr>
            </w:pPr>
            <w:r w:rsidRPr="00422331">
              <w:rPr>
                <w:rFonts w:ascii="Arial Narrow" w:hAnsi="Arial Narrow" w:cs="Arial"/>
                <w:sz w:val="17"/>
                <w:szCs w:val="17"/>
              </w:rPr>
              <w:t>3.3.</w:t>
            </w:r>
          </w:p>
        </w:tc>
        <w:tc>
          <w:tcPr>
            <w:tcW w:w="2274" w:type="dxa"/>
            <w:tcBorders>
              <w:top w:val="nil"/>
              <w:left w:val="nil"/>
              <w:bottom w:val="single" w:sz="4" w:space="0" w:color="auto"/>
              <w:right w:val="single" w:sz="4" w:space="0" w:color="auto"/>
            </w:tcBorders>
            <w:hideMark/>
          </w:tcPr>
          <w:p w:rsidR="00A64028" w:rsidRPr="00F34DD1" w:rsidRDefault="00A64028" w:rsidP="00103148">
            <w:pPr>
              <w:pStyle w:val="af7"/>
              <w:widowControl w:val="0"/>
              <w:autoSpaceDE w:val="0"/>
              <w:autoSpaceDN w:val="0"/>
              <w:adjustRightInd w:val="0"/>
              <w:spacing w:before="0" w:beforeAutospacing="0" w:after="0" w:afterAutospacing="0"/>
              <w:ind w:left="148" w:right="142"/>
              <w:rPr>
                <w:rFonts w:ascii="Arial Narrow" w:hAnsi="Arial Narrow" w:cs="Arial"/>
                <w:color w:val="000000"/>
                <w:sz w:val="18"/>
                <w:szCs w:val="18"/>
                <w:lang w:eastAsia="en-US"/>
              </w:rPr>
            </w:pPr>
            <w:r w:rsidRPr="00F34DD1">
              <w:rPr>
                <w:rFonts w:ascii="Arial Narrow" w:hAnsi="Arial Narrow" w:cs="Arial"/>
                <w:bCs/>
                <w:color w:val="000000"/>
                <w:sz w:val="18"/>
                <w:szCs w:val="18"/>
                <w:lang w:eastAsia="en-US"/>
              </w:rPr>
              <w:t>Доля представителей бизнеса, удовлетворенных уровнем удобства получения информации, размещаемой Министерством экономического развития Новосибирской области и органами местного самоуправления в открытом доступе, о состоянии конкурентной среды и деятельности по содействию развитию конкуренции в Новосибирской области в 2016 г. среди предприятий, оказывающих услуги/ предоставляющих товары на социально значимых и приоритетных рынках (% от числа опрошенных участников рынков)</w:t>
            </w:r>
          </w:p>
        </w:tc>
        <w:tc>
          <w:tcPr>
            <w:tcW w:w="567"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cs="Arial"/>
                <w:sz w:val="17"/>
                <w:szCs w:val="17"/>
              </w:rPr>
            </w:pPr>
            <w:r w:rsidRPr="00422331">
              <w:rPr>
                <w:rFonts w:ascii="Arial Narrow" w:hAnsi="Arial Narrow" w:cs="Arial"/>
                <w:sz w:val="17"/>
                <w:szCs w:val="17"/>
              </w:rPr>
              <w:t>55%</w:t>
            </w:r>
          </w:p>
        </w:tc>
        <w:tc>
          <w:tcPr>
            <w:tcW w:w="70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cs="Arial"/>
                <w:sz w:val="17"/>
                <w:szCs w:val="17"/>
              </w:rPr>
            </w:pPr>
            <w:r w:rsidRPr="00422331">
              <w:rPr>
                <w:rFonts w:ascii="Arial Narrow" w:hAnsi="Arial Narrow" w:cs="Arial"/>
                <w:sz w:val="17"/>
                <w:szCs w:val="17"/>
              </w:rPr>
              <w:t>60%</w:t>
            </w:r>
          </w:p>
        </w:tc>
        <w:tc>
          <w:tcPr>
            <w:tcW w:w="567"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cs="Arial"/>
                <w:sz w:val="17"/>
                <w:szCs w:val="17"/>
              </w:rPr>
            </w:pPr>
            <w:r w:rsidRPr="00422331">
              <w:rPr>
                <w:rFonts w:ascii="Arial Narrow" w:hAnsi="Arial Narrow" w:cs="Arial"/>
                <w:sz w:val="17"/>
                <w:szCs w:val="17"/>
              </w:rPr>
              <w:t>40%</w:t>
            </w:r>
          </w:p>
        </w:tc>
        <w:tc>
          <w:tcPr>
            <w:tcW w:w="425"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cs="Arial"/>
                <w:sz w:val="17"/>
                <w:szCs w:val="17"/>
              </w:rPr>
            </w:pPr>
            <w:r w:rsidRPr="00422331">
              <w:rPr>
                <w:rFonts w:ascii="Arial Narrow" w:hAnsi="Arial Narrow" w:cs="Arial"/>
                <w:sz w:val="17"/>
                <w:szCs w:val="17"/>
              </w:rPr>
              <w:t>56%</w:t>
            </w:r>
          </w:p>
        </w:tc>
        <w:tc>
          <w:tcPr>
            <w:tcW w:w="425"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cs="Arial"/>
                <w:sz w:val="17"/>
                <w:szCs w:val="17"/>
              </w:rPr>
            </w:pPr>
            <w:r w:rsidRPr="00422331">
              <w:rPr>
                <w:rFonts w:ascii="Arial Narrow" w:hAnsi="Arial Narrow" w:cs="Arial"/>
                <w:sz w:val="17"/>
                <w:szCs w:val="17"/>
              </w:rPr>
              <w:t>47%</w:t>
            </w:r>
          </w:p>
        </w:tc>
        <w:tc>
          <w:tcPr>
            <w:tcW w:w="709"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cs="Arial"/>
                <w:sz w:val="17"/>
                <w:szCs w:val="17"/>
              </w:rPr>
            </w:pPr>
            <w:r w:rsidRPr="00422331">
              <w:rPr>
                <w:rFonts w:ascii="Arial Narrow" w:hAnsi="Arial Narrow" w:cs="Arial"/>
                <w:sz w:val="17"/>
                <w:szCs w:val="17"/>
              </w:rPr>
              <w:t>64%</w:t>
            </w:r>
          </w:p>
        </w:tc>
        <w:tc>
          <w:tcPr>
            <w:tcW w:w="425"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cs="Arial"/>
                <w:sz w:val="17"/>
                <w:szCs w:val="17"/>
              </w:rPr>
            </w:pPr>
            <w:r w:rsidRPr="00422331">
              <w:rPr>
                <w:rFonts w:ascii="Arial Narrow" w:hAnsi="Arial Narrow" w:cs="Arial"/>
                <w:sz w:val="17"/>
                <w:szCs w:val="17"/>
              </w:rPr>
              <w:t>24%</w:t>
            </w:r>
          </w:p>
        </w:tc>
        <w:tc>
          <w:tcPr>
            <w:tcW w:w="425"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cs="Arial"/>
                <w:sz w:val="17"/>
                <w:szCs w:val="17"/>
              </w:rPr>
            </w:pPr>
            <w:r w:rsidRPr="00422331">
              <w:rPr>
                <w:rFonts w:ascii="Arial Narrow" w:hAnsi="Arial Narrow" w:cs="Arial"/>
                <w:sz w:val="17"/>
                <w:szCs w:val="17"/>
              </w:rPr>
              <w:t>75%</w:t>
            </w:r>
          </w:p>
        </w:tc>
        <w:tc>
          <w:tcPr>
            <w:tcW w:w="567"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cs="Arial"/>
                <w:sz w:val="17"/>
                <w:szCs w:val="17"/>
              </w:rPr>
            </w:pPr>
            <w:r w:rsidRPr="00422331">
              <w:rPr>
                <w:rFonts w:ascii="Arial Narrow" w:hAnsi="Arial Narrow" w:cs="Arial"/>
                <w:sz w:val="17"/>
                <w:szCs w:val="17"/>
              </w:rPr>
              <w:t>56%</w:t>
            </w:r>
          </w:p>
        </w:tc>
        <w:tc>
          <w:tcPr>
            <w:tcW w:w="567"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cs="Arial"/>
                <w:sz w:val="17"/>
                <w:szCs w:val="17"/>
              </w:rPr>
            </w:pPr>
            <w:r w:rsidRPr="00422331">
              <w:rPr>
                <w:rFonts w:ascii="Arial Narrow" w:hAnsi="Arial Narrow" w:cs="Arial"/>
                <w:sz w:val="17"/>
                <w:szCs w:val="17"/>
              </w:rPr>
              <w:t>65%</w:t>
            </w:r>
          </w:p>
        </w:tc>
        <w:tc>
          <w:tcPr>
            <w:tcW w:w="426"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cs="Arial"/>
                <w:sz w:val="17"/>
                <w:szCs w:val="17"/>
              </w:rPr>
            </w:pPr>
            <w:r w:rsidRPr="00422331">
              <w:rPr>
                <w:rFonts w:ascii="Arial Narrow" w:hAnsi="Arial Narrow" w:cs="Arial"/>
                <w:sz w:val="17"/>
                <w:szCs w:val="17"/>
              </w:rPr>
              <w:t>56%</w:t>
            </w:r>
          </w:p>
        </w:tc>
        <w:tc>
          <w:tcPr>
            <w:tcW w:w="567"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cs="Arial"/>
                <w:sz w:val="17"/>
                <w:szCs w:val="17"/>
              </w:rPr>
            </w:pPr>
            <w:r w:rsidRPr="00422331">
              <w:rPr>
                <w:rFonts w:ascii="Arial Narrow" w:hAnsi="Arial Narrow" w:cs="Arial"/>
                <w:sz w:val="17"/>
                <w:szCs w:val="17"/>
              </w:rPr>
              <w:t>60%</w:t>
            </w:r>
          </w:p>
        </w:tc>
        <w:tc>
          <w:tcPr>
            <w:tcW w:w="567"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cs="Arial"/>
                <w:sz w:val="17"/>
                <w:szCs w:val="17"/>
              </w:rPr>
            </w:pPr>
            <w:r w:rsidRPr="00422331">
              <w:rPr>
                <w:rFonts w:ascii="Arial Narrow" w:hAnsi="Arial Narrow" w:cs="Arial"/>
                <w:sz w:val="17"/>
                <w:szCs w:val="17"/>
              </w:rPr>
              <w:t>65%</w:t>
            </w:r>
          </w:p>
        </w:tc>
        <w:tc>
          <w:tcPr>
            <w:tcW w:w="567" w:type="dxa"/>
            <w:tcBorders>
              <w:top w:val="nil"/>
              <w:left w:val="nil"/>
              <w:bottom w:val="single" w:sz="4" w:space="0" w:color="auto"/>
              <w:right w:val="single" w:sz="4" w:space="0" w:color="auto"/>
            </w:tcBorders>
            <w:noWrap/>
            <w:vAlign w:val="center"/>
            <w:hideMark/>
          </w:tcPr>
          <w:p w:rsidR="00A64028" w:rsidRPr="00422331" w:rsidRDefault="00A64028" w:rsidP="00103148">
            <w:pPr>
              <w:spacing w:after="0"/>
              <w:jc w:val="center"/>
              <w:rPr>
                <w:rFonts w:ascii="Arial Narrow" w:hAnsi="Arial Narrow" w:cs="Arial"/>
                <w:sz w:val="17"/>
                <w:szCs w:val="17"/>
              </w:rPr>
            </w:pPr>
            <w:r w:rsidRPr="00422331">
              <w:rPr>
                <w:rFonts w:ascii="Arial Narrow" w:hAnsi="Arial Narrow" w:cs="Arial"/>
                <w:sz w:val="17"/>
                <w:szCs w:val="17"/>
              </w:rPr>
              <w:t>50%</w:t>
            </w:r>
          </w:p>
        </w:tc>
      </w:tr>
    </w:tbl>
    <w:p w:rsidR="00A64028" w:rsidRDefault="00A64028" w:rsidP="00103148">
      <w:pPr>
        <w:spacing w:after="0" w:line="360" w:lineRule="auto"/>
        <w:jc w:val="both"/>
        <w:rPr>
          <w:rFonts w:ascii="Arial Narrow" w:hAnsi="Arial Narrow" w:cs="Arial"/>
          <w:sz w:val="24"/>
          <w:szCs w:val="24"/>
        </w:rPr>
      </w:pPr>
    </w:p>
    <w:p w:rsidR="00A64028" w:rsidRDefault="00A64028" w:rsidP="00103148">
      <w:pPr>
        <w:spacing w:after="0" w:line="360" w:lineRule="auto"/>
        <w:ind w:firstLine="284"/>
        <w:jc w:val="both"/>
        <w:rPr>
          <w:rFonts w:ascii="Arial Narrow" w:hAnsi="Arial Narrow" w:cs="Arial"/>
          <w:sz w:val="24"/>
          <w:szCs w:val="24"/>
        </w:rPr>
      </w:pPr>
      <w:r>
        <w:rPr>
          <w:rFonts w:ascii="Arial Narrow" w:hAnsi="Arial Narrow" w:cs="Arial"/>
          <w:sz w:val="24"/>
          <w:szCs w:val="24"/>
        </w:rPr>
        <w:t xml:space="preserve">Каждое из трех направлений оценки (уровень доступности, понятности и удобства получения информации) оценено участниками каждого рынка примерно одинаково, что говорит о целостном восприятии удовлетворенности качеством предоставляемой информации по данным показателям. Исключение составляет рынок услуг связи, где зафиксированы более низкие оценки доступности информации (48 %), чем оценки ее понятности и удобства получения (56 %). На остальных рынках колебания значений показателей составляют не более 4 %. </w:t>
      </w:r>
    </w:p>
    <w:p w:rsidR="00A64028" w:rsidRDefault="00A64028" w:rsidP="00103148">
      <w:pPr>
        <w:spacing w:after="0" w:line="360" w:lineRule="auto"/>
        <w:ind w:firstLine="284"/>
        <w:jc w:val="both"/>
        <w:rPr>
          <w:rFonts w:ascii="Arial Narrow" w:hAnsi="Arial Narrow" w:cs="Arial"/>
          <w:b/>
          <w:sz w:val="24"/>
          <w:szCs w:val="24"/>
        </w:rPr>
      </w:pPr>
      <w:r>
        <w:rPr>
          <w:rFonts w:ascii="Arial Narrow" w:hAnsi="Arial Narrow" w:cs="Arial"/>
          <w:b/>
          <w:sz w:val="24"/>
          <w:szCs w:val="24"/>
        </w:rPr>
        <w:lastRenderedPageBreak/>
        <w:t>Значения показателя 3.4. Доля представителей бизнеса, считающих, что все участники рынка обладают равными возможностями получить информацию от органов государственной власти по вопросам ведения бизнеса на рынке (% от числа опрошенных).</w:t>
      </w:r>
    </w:p>
    <w:p w:rsidR="00A64028" w:rsidRDefault="00A64028" w:rsidP="00103148">
      <w:pPr>
        <w:spacing w:after="0" w:line="360" w:lineRule="auto"/>
        <w:ind w:firstLine="284"/>
        <w:jc w:val="both"/>
        <w:rPr>
          <w:rFonts w:ascii="Arial Narrow" w:hAnsi="Arial Narrow" w:cs="Arial"/>
          <w:sz w:val="24"/>
          <w:szCs w:val="24"/>
        </w:rPr>
      </w:pPr>
      <w:r>
        <w:rPr>
          <w:rFonts w:ascii="Arial Narrow" w:hAnsi="Arial Narrow" w:cs="Arial"/>
          <w:sz w:val="24"/>
          <w:szCs w:val="24"/>
        </w:rPr>
        <w:t>Считают, что с 2016 г. все участники рынка обладают равными возможностями получить информацию от органов государственной власти по вопросам ведения бизнеса на рынке, в среднем 67 % опрошенных субъектов предпринимательства. Представители рынка услуг жилищно-коммунального хозяйства (управляющих компаний) чаще остальных считают эту информацию общедоступной (84 %). Такого же мнения придерживаются 70 % и более опрошенных участников рынков услуг дошкольного образования, рынка услуг перевозок пассажиров наземным транспортом (автобусные перевозки и такси), рынка услуг по сбору, сортировке и переработке твердых коммунальных (бытовых) отходов (по 70 %) и рынка развития, производства, переработки и хранения сельскохозяйственной продукции. Самый высокий процент считающих, что для участников их рынка информация, размещаемая органами государственной власти по вопросам ведения бизнеса, не является общедоступной, зафиксирован среди представителей рынка услуг в сфере культуры (48 %). Динамика данного показателя в 2016 г., по сравнению с 2015 г., почти отсутствует: +4 % для рынка дополнительного образования детей, +1 % для рынка медицинских услуг, +1 % для рынка услуг жилищно-коммунального хозяйства (управляющих компаний), +1 % для рынка розничной торговли, +3 % для рынка услуг перевозок пассажиров наземным транспортом (автобусные перевозки и такси), +1 % для рынка развития, производства, переработки и хранения сельскохозяйственной продукции. Отрицательная динамика отсутствует.</w:t>
      </w:r>
    </w:p>
    <w:p w:rsidR="00A64028" w:rsidRDefault="00A64028" w:rsidP="00103148">
      <w:pPr>
        <w:spacing w:after="0" w:line="360" w:lineRule="auto"/>
        <w:jc w:val="both"/>
        <w:rPr>
          <w:rFonts w:ascii="Arial Narrow" w:hAnsi="Arial Narrow" w:cs="Arial"/>
          <w:sz w:val="24"/>
          <w:szCs w:val="24"/>
        </w:rPr>
      </w:pPr>
    </w:p>
    <w:p w:rsidR="00A64028" w:rsidRDefault="00A64028" w:rsidP="00103148">
      <w:pPr>
        <w:spacing w:after="0" w:line="254" w:lineRule="auto"/>
        <w:rPr>
          <w:rFonts w:ascii="Arial Narrow" w:hAnsi="Arial Narrow" w:cs="Arial"/>
          <w:sz w:val="24"/>
          <w:szCs w:val="24"/>
        </w:rPr>
      </w:pPr>
      <w:r>
        <w:rPr>
          <w:rFonts w:ascii="Arial Narrow" w:hAnsi="Arial Narrow" w:cs="Arial"/>
          <w:sz w:val="24"/>
          <w:szCs w:val="24"/>
        </w:rPr>
        <w:br w:type="page"/>
      </w:r>
    </w:p>
    <w:p w:rsidR="00A64028" w:rsidRDefault="00272625" w:rsidP="00103148">
      <w:pPr>
        <w:spacing w:after="0"/>
        <w:rPr>
          <w:rFonts w:ascii="Arial Narrow" w:hAnsi="Arial Narrow" w:cs="Arial"/>
          <w:b/>
          <w:sz w:val="24"/>
          <w:szCs w:val="24"/>
        </w:rPr>
      </w:pPr>
      <w:r>
        <w:rPr>
          <w:rFonts w:ascii="Arial Narrow" w:hAnsi="Arial Narrow" w:cs="Arial"/>
          <w:sz w:val="24"/>
          <w:szCs w:val="24"/>
        </w:rPr>
        <w:lastRenderedPageBreak/>
        <w:t>Таблица 7.46</w:t>
      </w:r>
      <w:r w:rsidR="00262F71">
        <w:rPr>
          <w:rFonts w:ascii="Arial Narrow" w:hAnsi="Arial Narrow" w:cs="Arial"/>
          <w:sz w:val="24"/>
          <w:szCs w:val="24"/>
        </w:rPr>
        <w:t>.</w:t>
      </w:r>
      <w:r w:rsidR="00A64028">
        <w:rPr>
          <w:rFonts w:ascii="Arial Narrow" w:hAnsi="Arial Narrow" w:cs="Arial"/>
          <w:sz w:val="24"/>
          <w:szCs w:val="24"/>
        </w:rPr>
        <w:t xml:space="preserve"> – </w:t>
      </w:r>
      <w:r w:rsidR="00A64028">
        <w:rPr>
          <w:rFonts w:ascii="Arial Narrow" w:hAnsi="Arial Narrow" w:cs="Arial"/>
          <w:b/>
          <w:sz w:val="24"/>
          <w:szCs w:val="24"/>
        </w:rPr>
        <w:t>Значения показателя 3.4. Доля представителей бизнеса, считающих, что все участники рынка обладают равными возможностями получить информацию от органов государственной власти по вопросам ведения бизнеса на рынке (% от числа опрошенных)</w:t>
      </w:r>
    </w:p>
    <w:tbl>
      <w:tblPr>
        <w:tblW w:w="10135" w:type="dxa"/>
        <w:tblInd w:w="-289" w:type="dxa"/>
        <w:tblLayout w:type="fixed"/>
        <w:tblCellMar>
          <w:left w:w="0" w:type="dxa"/>
          <w:right w:w="0" w:type="dxa"/>
        </w:tblCellMar>
        <w:tblLook w:val="04A0"/>
      </w:tblPr>
      <w:tblGrid>
        <w:gridCol w:w="289"/>
        <w:gridCol w:w="1990"/>
        <w:gridCol w:w="795"/>
        <w:gridCol w:w="767"/>
        <w:gridCol w:w="426"/>
        <w:gridCol w:w="469"/>
        <w:gridCol w:w="425"/>
        <w:gridCol w:w="859"/>
        <w:gridCol w:w="387"/>
        <w:gridCol w:w="464"/>
        <w:gridCol w:w="563"/>
        <w:gridCol w:w="572"/>
        <w:gridCol w:w="426"/>
        <w:gridCol w:w="425"/>
        <w:gridCol w:w="708"/>
        <w:gridCol w:w="570"/>
      </w:tblGrid>
      <w:tr w:rsidR="00A64028" w:rsidTr="00F34DD1">
        <w:trPr>
          <w:trHeight w:val="3349"/>
        </w:trPr>
        <w:tc>
          <w:tcPr>
            <w:tcW w:w="289" w:type="dxa"/>
            <w:tcBorders>
              <w:top w:val="single" w:sz="4" w:space="0" w:color="auto"/>
              <w:left w:val="single" w:sz="4" w:space="0" w:color="auto"/>
              <w:bottom w:val="single" w:sz="4" w:space="0" w:color="auto"/>
              <w:right w:val="single" w:sz="4" w:space="0" w:color="auto"/>
            </w:tcBorders>
            <w:vAlign w:val="center"/>
            <w:hideMark/>
          </w:tcPr>
          <w:p w:rsidR="00A64028" w:rsidRPr="00F34DD1" w:rsidRDefault="00A64028" w:rsidP="00103148">
            <w:pPr>
              <w:spacing w:after="0"/>
              <w:jc w:val="center"/>
              <w:rPr>
                <w:rFonts w:ascii="Arial Narrow" w:hAnsi="Arial Narrow" w:cs="Arial"/>
                <w:sz w:val="18"/>
                <w:szCs w:val="18"/>
              </w:rPr>
            </w:pPr>
            <w:r w:rsidRPr="00F34DD1">
              <w:rPr>
                <w:rFonts w:ascii="Arial Narrow" w:hAnsi="Arial Narrow" w:cs="Arial"/>
                <w:sz w:val="18"/>
                <w:szCs w:val="18"/>
              </w:rPr>
              <w:t>№</w:t>
            </w:r>
          </w:p>
        </w:tc>
        <w:tc>
          <w:tcPr>
            <w:tcW w:w="1990" w:type="dxa"/>
            <w:tcBorders>
              <w:top w:val="single" w:sz="4" w:space="0" w:color="auto"/>
              <w:left w:val="nil"/>
              <w:bottom w:val="single" w:sz="4" w:space="0" w:color="auto"/>
              <w:right w:val="single" w:sz="4" w:space="0" w:color="auto"/>
            </w:tcBorders>
            <w:vAlign w:val="center"/>
            <w:hideMark/>
          </w:tcPr>
          <w:p w:rsidR="00A64028" w:rsidRPr="00272625" w:rsidRDefault="00A64028" w:rsidP="00F34DD1">
            <w:pPr>
              <w:spacing w:after="0" w:line="240" w:lineRule="auto"/>
              <w:ind w:left="148"/>
              <w:rPr>
                <w:rFonts w:ascii="Arial Narrow" w:hAnsi="Arial Narrow" w:cs="Arial"/>
                <w:sz w:val="18"/>
                <w:szCs w:val="18"/>
              </w:rPr>
            </w:pPr>
            <w:r w:rsidRPr="00272625">
              <w:rPr>
                <w:rFonts w:ascii="Arial Narrow" w:hAnsi="Arial Narrow" w:cs="Arial"/>
                <w:sz w:val="18"/>
                <w:szCs w:val="18"/>
              </w:rPr>
              <w:t>Наименование показателя, единица измерения</w:t>
            </w:r>
          </w:p>
        </w:tc>
        <w:tc>
          <w:tcPr>
            <w:tcW w:w="795" w:type="dxa"/>
            <w:tcBorders>
              <w:top w:val="single" w:sz="4" w:space="0" w:color="auto"/>
              <w:left w:val="nil"/>
              <w:bottom w:val="single" w:sz="4" w:space="0" w:color="auto"/>
              <w:right w:val="single" w:sz="4" w:space="0" w:color="auto"/>
            </w:tcBorders>
            <w:vAlign w:val="center"/>
            <w:hideMark/>
          </w:tcPr>
          <w:p w:rsidR="00A64028" w:rsidRPr="00272625" w:rsidRDefault="00A64028" w:rsidP="00F34DD1">
            <w:pPr>
              <w:spacing w:after="0" w:line="240" w:lineRule="auto"/>
              <w:jc w:val="center"/>
              <w:rPr>
                <w:rFonts w:ascii="Arial Narrow" w:hAnsi="Arial Narrow" w:cs="Arial"/>
                <w:sz w:val="18"/>
                <w:szCs w:val="18"/>
              </w:rPr>
            </w:pPr>
            <w:r w:rsidRPr="00272625">
              <w:rPr>
                <w:rFonts w:ascii="Arial Narrow" w:hAnsi="Arial Narrow" w:cs="Arial"/>
                <w:sz w:val="18"/>
                <w:szCs w:val="18"/>
              </w:rPr>
              <w:t>Общий по Новосибирской области</w:t>
            </w:r>
          </w:p>
        </w:tc>
        <w:tc>
          <w:tcPr>
            <w:tcW w:w="767" w:type="dxa"/>
            <w:tcBorders>
              <w:top w:val="single" w:sz="4" w:space="0" w:color="auto"/>
              <w:left w:val="nil"/>
              <w:bottom w:val="single" w:sz="4" w:space="0" w:color="auto"/>
              <w:right w:val="single" w:sz="4" w:space="0" w:color="auto"/>
            </w:tcBorders>
            <w:noWrap/>
            <w:textDirection w:val="btLr"/>
            <w:vAlign w:val="center"/>
            <w:hideMark/>
          </w:tcPr>
          <w:p w:rsidR="00A64028" w:rsidRPr="00272625" w:rsidRDefault="00A64028" w:rsidP="00F34DD1">
            <w:pPr>
              <w:spacing w:after="0" w:line="240" w:lineRule="auto"/>
              <w:ind w:left="113" w:right="113"/>
              <w:jc w:val="center"/>
              <w:rPr>
                <w:rFonts w:ascii="Arial Narrow" w:hAnsi="Arial Narrow" w:cs="Arial"/>
                <w:sz w:val="18"/>
                <w:szCs w:val="18"/>
              </w:rPr>
            </w:pPr>
            <w:r w:rsidRPr="00272625">
              <w:rPr>
                <w:rFonts w:ascii="Arial Narrow" w:hAnsi="Arial Narrow" w:cs="Arial"/>
                <w:sz w:val="18"/>
                <w:szCs w:val="18"/>
              </w:rPr>
              <w:t>Рынок услуг дошкольного образования (коммерческие детские сады и учреждения пребывания неполного дня)</w:t>
            </w:r>
          </w:p>
        </w:tc>
        <w:tc>
          <w:tcPr>
            <w:tcW w:w="426" w:type="dxa"/>
            <w:tcBorders>
              <w:top w:val="single" w:sz="4" w:space="0" w:color="auto"/>
              <w:left w:val="nil"/>
              <w:bottom w:val="single" w:sz="4" w:space="0" w:color="auto"/>
              <w:right w:val="single" w:sz="4" w:space="0" w:color="auto"/>
            </w:tcBorders>
            <w:noWrap/>
            <w:textDirection w:val="btLr"/>
            <w:vAlign w:val="center"/>
            <w:hideMark/>
          </w:tcPr>
          <w:p w:rsidR="00A64028" w:rsidRPr="00272625" w:rsidRDefault="00A64028" w:rsidP="00F34DD1">
            <w:pPr>
              <w:spacing w:after="0" w:line="240" w:lineRule="auto"/>
              <w:ind w:left="113" w:right="113"/>
              <w:jc w:val="center"/>
              <w:rPr>
                <w:rFonts w:ascii="Arial Narrow" w:hAnsi="Arial Narrow" w:cs="Arial"/>
                <w:sz w:val="18"/>
                <w:szCs w:val="18"/>
              </w:rPr>
            </w:pPr>
            <w:r w:rsidRPr="00272625">
              <w:rPr>
                <w:rFonts w:ascii="Arial Narrow" w:hAnsi="Arial Narrow" w:cs="Arial"/>
                <w:sz w:val="18"/>
                <w:szCs w:val="18"/>
              </w:rPr>
              <w:t>Рынок услуг детского отдыха и оздоровления</w:t>
            </w:r>
          </w:p>
        </w:tc>
        <w:tc>
          <w:tcPr>
            <w:tcW w:w="469" w:type="dxa"/>
            <w:tcBorders>
              <w:top w:val="single" w:sz="4" w:space="0" w:color="auto"/>
              <w:left w:val="nil"/>
              <w:bottom w:val="single" w:sz="4" w:space="0" w:color="auto"/>
              <w:right w:val="single" w:sz="4" w:space="0" w:color="auto"/>
            </w:tcBorders>
            <w:noWrap/>
            <w:textDirection w:val="btLr"/>
            <w:vAlign w:val="center"/>
            <w:hideMark/>
          </w:tcPr>
          <w:p w:rsidR="00A64028" w:rsidRPr="00272625" w:rsidRDefault="00A64028" w:rsidP="00F34DD1">
            <w:pPr>
              <w:spacing w:after="0" w:line="240" w:lineRule="auto"/>
              <w:ind w:left="113" w:right="113"/>
              <w:jc w:val="center"/>
              <w:rPr>
                <w:rFonts w:ascii="Arial Narrow" w:hAnsi="Arial Narrow" w:cs="Arial"/>
                <w:sz w:val="18"/>
                <w:szCs w:val="18"/>
              </w:rPr>
            </w:pPr>
            <w:r w:rsidRPr="00272625">
              <w:rPr>
                <w:rFonts w:ascii="Arial Narrow" w:hAnsi="Arial Narrow" w:cs="Arial"/>
                <w:sz w:val="18"/>
                <w:szCs w:val="18"/>
              </w:rPr>
              <w:t>Рынок дополнительного образования детей</w:t>
            </w:r>
          </w:p>
        </w:tc>
        <w:tc>
          <w:tcPr>
            <w:tcW w:w="425" w:type="dxa"/>
            <w:tcBorders>
              <w:top w:val="single" w:sz="4" w:space="0" w:color="auto"/>
              <w:left w:val="nil"/>
              <w:bottom w:val="single" w:sz="4" w:space="0" w:color="auto"/>
              <w:right w:val="single" w:sz="4" w:space="0" w:color="auto"/>
            </w:tcBorders>
            <w:noWrap/>
            <w:textDirection w:val="btLr"/>
            <w:vAlign w:val="center"/>
            <w:hideMark/>
          </w:tcPr>
          <w:p w:rsidR="00A64028" w:rsidRPr="00272625" w:rsidRDefault="00A64028" w:rsidP="00F34DD1">
            <w:pPr>
              <w:spacing w:after="0" w:line="240" w:lineRule="auto"/>
              <w:ind w:left="113" w:right="113"/>
              <w:jc w:val="center"/>
              <w:rPr>
                <w:rFonts w:ascii="Arial Narrow" w:hAnsi="Arial Narrow" w:cs="Arial"/>
                <w:sz w:val="18"/>
                <w:szCs w:val="18"/>
              </w:rPr>
            </w:pPr>
            <w:r w:rsidRPr="00272625">
              <w:rPr>
                <w:rFonts w:ascii="Arial Narrow" w:hAnsi="Arial Narrow" w:cs="Arial"/>
                <w:sz w:val="18"/>
                <w:szCs w:val="18"/>
              </w:rPr>
              <w:t>Рынок медицинских услуг</w:t>
            </w:r>
          </w:p>
        </w:tc>
        <w:tc>
          <w:tcPr>
            <w:tcW w:w="859" w:type="dxa"/>
            <w:tcBorders>
              <w:top w:val="single" w:sz="4" w:space="0" w:color="auto"/>
              <w:left w:val="nil"/>
              <w:bottom w:val="single" w:sz="4" w:space="0" w:color="auto"/>
              <w:right w:val="single" w:sz="4" w:space="0" w:color="auto"/>
            </w:tcBorders>
            <w:noWrap/>
            <w:textDirection w:val="btLr"/>
            <w:vAlign w:val="center"/>
            <w:hideMark/>
          </w:tcPr>
          <w:p w:rsidR="00A64028" w:rsidRPr="00272625" w:rsidRDefault="00A64028" w:rsidP="00F34DD1">
            <w:pPr>
              <w:spacing w:after="0" w:line="240" w:lineRule="auto"/>
              <w:ind w:left="113" w:right="113"/>
              <w:jc w:val="center"/>
              <w:rPr>
                <w:rFonts w:ascii="Arial Narrow" w:hAnsi="Arial Narrow" w:cs="Arial"/>
                <w:sz w:val="18"/>
                <w:szCs w:val="18"/>
              </w:rPr>
            </w:pPr>
            <w:r w:rsidRPr="00272625">
              <w:rPr>
                <w:rFonts w:ascii="Arial Narrow" w:hAnsi="Arial Narrow" w:cs="Arial"/>
                <w:sz w:val="18"/>
                <w:szCs w:val="18"/>
              </w:rPr>
              <w:t>Рынок услуг психолого-педагогического сопровождения детей с ограниченными возможностями здоровья</w:t>
            </w:r>
          </w:p>
        </w:tc>
        <w:tc>
          <w:tcPr>
            <w:tcW w:w="387" w:type="dxa"/>
            <w:tcBorders>
              <w:top w:val="single" w:sz="4" w:space="0" w:color="auto"/>
              <w:left w:val="nil"/>
              <w:bottom w:val="single" w:sz="4" w:space="0" w:color="auto"/>
              <w:right w:val="single" w:sz="4" w:space="0" w:color="auto"/>
            </w:tcBorders>
            <w:noWrap/>
            <w:textDirection w:val="btLr"/>
            <w:vAlign w:val="center"/>
            <w:hideMark/>
          </w:tcPr>
          <w:p w:rsidR="00A64028" w:rsidRPr="00272625" w:rsidRDefault="00A64028" w:rsidP="00F34DD1">
            <w:pPr>
              <w:spacing w:after="0" w:line="240" w:lineRule="auto"/>
              <w:ind w:left="113" w:right="113"/>
              <w:jc w:val="center"/>
              <w:rPr>
                <w:rFonts w:ascii="Arial Narrow" w:hAnsi="Arial Narrow" w:cs="Arial"/>
                <w:sz w:val="18"/>
                <w:szCs w:val="18"/>
              </w:rPr>
            </w:pPr>
            <w:r w:rsidRPr="00272625">
              <w:rPr>
                <w:rFonts w:ascii="Arial Narrow" w:hAnsi="Arial Narrow" w:cs="Arial"/>
                <w:sz w:val="18"/>
                <w:szCs w:val="18"/>
              </w:rPr>
              <w:t>Рынок услуг в сфере культуры</w:t>
            </w:r>
          </w:p>
        </w:tc>
        <w:tc>
          <w:tcPr>
            <w:tcW w:w="464" w:type="dxa"/>
            <w:tcBorders>
              <w:top w:val="single" w:sz="4" w:space="0" w:color="auto"/>
              <w:left w:val="nil"/>
              <w:bottom w:val="single" w:sz="4" w:space="0" w:color="auto"/>
              <w:right w:val="single" w:sz="4" w:space="0" w:color="auto"/>
            </w:tcBorders>
            <w:noWrap/>
            <w:textDirection w:val="btLr"/>
            <w:vAlign w:val="center"/>
            <w:hideMark/>
          </w:tcPr>
          <w:p w:rsidR="00A64028" w:rsidRPr="00272625" w:rsidRDefault="00A64028" w:rsidP="00F34DD1">
            <w:pPr>
              <w:spacing w:after="0" w:line="240" w:lineRule="auto"/>
              <w:ind w:left="113" w:right="113"/>
              <w:jc w:val="center"/>
              <w:rPr>
                <w:rFonts w:ascii="Arial Narrow" w:hAnsi="Arial Narrow" w:cs="Arial"/>
                <w:sz w:val="18"/>
                <w:szCs w:val="18"/>
              </w:rPr>
            </w:pPr>
            <w:r w:rsidRPr="00272625">
              <w:rPr>
                <w:rFonts w:ascii="Arial Narrow" w:hAnsi="Arial Narrow" w:cs="Arial"/>
                <w:sz w:val="18"/>
                <w:szCs w:val="18"/>
              </w:rPr>
              <w:t>Рынок услуг ЖКХ (управляющие компании)</w:t>
            </w:r>
          </w:p>
        </w:tc>
        <w:tc>
          <w:tcPr>
            <w:tcW w:w="563" w:type="dxa"/>
            <w:tcBorders>
              <w:top w:val="single" w:sz="4" w:space="0" w:color="auto"/>
              <w:left w:val="nil"/>
              <w:bottom w:val="single" w:sz="4" w:space="0" w:color="auto"/>
              <w:right w:val="single" w:sz="4" w:space="0" w:color="auto"/>
            </w:tcBorders>
            <w:noWrap/>
            <w:textDirection w:val="btLr"/>
            <w:vAlign w:val="center"/>
            <w:hideMark/>
          </w:tcPr>
          <w:p w:rsidR="00A64028" w:rsidRPr="00272625" w:rsidRDefault="00A64028" w:rsidP="00F34DD1">
            <w:pPr>
              <w:spacing w:after="0" w:line="240" w:lineRule="auto"/>
              <w:ind w:left="113" w:right="113"/>
              <w:jc w:val="center"/>
              <w:rPr>
                <w:rFonts w:ascii="Arial Narrow" w:hAnsi="Arial Narrow" w:cs="Arial"/>
                <w:sz w:val="18"/>
                <w:szCs w:val="18"/>
              </w:rPr>
            </w:pPr>
            <w:r w:rsidRPr="00272625">
              <w:rPr>
                <w:rFonts w:ascii="Arial Narrow" w:hAnsi="Arial Narrow" w:cs="Arial"/>
                <w:sz w:val="18"/>
                <w:szCs w:val="18"/>
              </w:rPr>
              <w:t>Розничная торговля (продажа продуктов питания и непродовольственных товаров)</w:t>
            </w:r>
          </w:p>
        </w:tc>
        <w:tc>
          <w:tcPr>
            <w:tcW w:w="572" w:type="dxa"/>
            <w:tcBorders>
              <w:top w:val="single" w:sz="4" w:space="0" w:color="auto"/>
              <w:left w:val="nil"/>
              <w:bottom w:val="single" w:sz="4" w:space="0" w:color="auto"/>
              <w:right w:val="single" w:sz="4" w:space="0" w:color="auto"/>
            </w:tcBorders>
            <w:noWrap/>
            <w:textDirection w:val="btLr"/>
            <w:vAlign w:val="center"/>
            <w:hideMark/>
          </w:tcPr>
          <w:p w:rsidR="00A64028" w:rsidRPr="00272625" w:rsidRDefault="00A64028" w:rsidP="00F34DD1">
            <w:pPr>
              <w:spacing w:after="0" w:line="240" w:lineRule="auto"/>
              <w:ind w:left="113" w:right="113"/>
              <w:jc w:val="center"/>
              <w:rPr>
                <w:rFonts w:ascii="Arial Narrow" w:hAnsi="Arial Narrow" w:cs="Arial"/>
                <w:sz w:val="18"/>
                <w:szCs w:val="18"/>
              </w:rPr>
            </w:pPr>
            <w:r w:rsidRPr="00272625">
              <w:rPr>
                <w:rFonts w:ascii="Arial Narrow" w:hAnsi="Arial Narrow" w:cs="Arial"/>
                <w:sz w:val="18"/>
                <w:szCs w:val="18"/>
              </w:rPr>
              <w:t>Рынок услуг перевозок пассажиров наземным транспортом (автобусные перевозки и такси)</w:t>
            </w:r>
          </w:p>
        </w:tc>
        <w:tc>
          <w:tcPr>
            <w:tcW w:w="426" w:type="dxa"/>
            <w:tcBorders>
              <w:top w:val="single" w:sz="4" w:space="0" w:color="auto"/>
              <w:left w:val="nil"/>
              <w:bottom w:val="single" w:sz="4" w:space="0" w:color="auto"/>
              <w:right w:val="single" w:sz="4" w:space="0" w:color="auto"/>
            </w:tcBorders>
            <w:noWrap/>
            <w:textDirection w:val="btLr"/>
            <w:vAlign w:val="center"/>
            <w:hideMark/>
          </w:tcPr>
          <w:p w:rsidR="00A64028" w:rsidRPr="00272625" w:rsidRDefault="00A64028" w:rsidP="00F34DD1">
            <w:pPr>
              <w:spacing w:after="0" w:line="240" w:lineRule="auto"/>
              <w:ind w:left="113" w:right="113"/>
              <w:jc w:val="center"/>
              <w:rPr>
                <w:rFonts w:ascii="Arial Narrow" w:hAnsi="Arial Narrow" w:cs="Arial"/>
                <w:sz w:val="18"/>
                <w:szCs w:val="18"/>
              </w:rPr>
            </w:pPr>
            <w:r w:rsidRPr="00272625">
              <w:rPr>
                <w:rFonts w:ascii="Arial Narrow" w:hAnsi="Arial Narrow" w:cs="Arial"/>
                <w:sz w:val="18"/>
                <w:szCs w:val="18"/>
              </w:rPr>
              <w:t>Рынок услуг связи</w:t>
            </w:r>
          </w:p>
        </w:tc>
        <w:tc>
          <w:tcPr>
            <w:tcW w:w="425" w:type="dxa"/>
            <w:tcBorders>
              <w:top w:val="single" w:sz="4" w:space="0" w:color="auto"/>
              <w:left w:val="nil"/>
              <w:bottom w:val="single" w:sz="4" w:space="0" w:color="auto"/>
              <w:right w:val="single" w:sz="4" w:space="0" w:color="auto"/>
            </w:tcBorders>
            <w:noWrap/>
            <w:textDirection w:val="btLr"/>
            <w:vAlign w:val="center"/>
            <w:hideMark/>
          </w:tcPr>
          <w:p w:rsidR="00A64028" w:rsidRPr="00272625" w:rsidRDefault="00A64028" w:rsidP="00F34DD1">
            <w:pPr>
              <w:spacing w:after="0" w:line="240" w:lineRule="auto"/>
              <w:ind w:left="113" w:right="113"/>
              <w:jc w:val="center"/>
              <w:rPr>
                <w:rFonts w:ascii="Arial Narrow" w:hAnsi="Arial Narrow" w:cs="Arial"/>
                <w:sz w:val="18"/>
                <w:szCs w:val="18"/>
              </w:rPr>
            </w:pPr>
            <w:r w:rsidRPr="00272625">
              <w:rPr>
                <w:rFonts w:ascii="Arial Narrow" w:hAnsi="Arial Narrow" w:cs="Arial"/>
                <w:sz w:val="18"/>
                <w:szCs w:val="18"/>
              </w:rPr>
              <w:t>Рынок услуг социального обслуживания населения</w:t>
            </w:r>
          </w:p>
        </w:tc>
        <w:tc>
          <w:tcPr>
            <w:tcW w:w="708" w:type="dxa"/>
            <w:tcBorders>
              <w:top w:val="single" w:sz="4" w:space="0" w:color="auto"/>
              <w:left w:val="nil"/>
              <w:bottom w:val="single" w:sz="4" w:space="0" w:color="auto"/>
              <w:right w:val="single" w:sz="4" w:space="0" w:color="auto"/>
            </w:tcBorders>
            <w:noWrap/>
            <w:textDirection w:val="btLr"/>
            <w:vAlign w:val="center"/>
            <w:hideMark/>
          </w:tcPr>
          <w:p w:rsidR="00A64028" w:rsidRPr="00272625" w:rsidRDefault="00A64028" w:rsidP="00F34DD1">
            <w:pPr>
              <w:spacing w:after="0" w:line="240" w:lineRule="auto"/>
              <w:ind w:left="113" w:right="113"/>
              <w:jc w:val="center"/>
              <w:rPr>
                <w:rFonts w:ascii="Arial Narrow" w:hAnsi="Arial Narrow" w:cs="Arial"/>
                <w:sz w:val="18"/>
                <w:szCs w:val="18"/>
              </w:rPr>
            </w:pPr>
            <w:r w:rsidRPr="00272625">
              <w:rPr>
                <w:rFonts w:ascii="Arial Narrow" w:hAnsi="Arial Narrow" w:cs="Arial"/>
                <w:sz w:val="18"/>
                <w:szCs w:val="18"/>
              </w:rPr>
              <w:t>Рынок развития, производства, переработки и хранения сельскохозяйственной продукции</w:t>
            </w:r>
          </w:p>
        </w:tc>
        <w:tc>
          <w:tcPr>
            <w:tcW w:w="568" w:type="dxa"/>
            <w:tcBorders>
              <w:top w:val="single" w:sz="4" w:space="0" w:color="auto"/>
              <w:left w:val="nil"/>
              <w:bottom w:val="single" w:sz="4" w:space="0" w:color="auto"/>
              <w:right w:val="single" w:sz="4" w:space="0" w:color="auto"/>
            </w:tcBorders>
            <w:noWrap/>
            <w:textDirection w:val="btLr"/>
            <w:vAlign w:val="center"/>
            <w:hideMark/>
          </w:tcPr>
          <w:p w:rsidR="00A64028" w:rsidRPr="00272625" w:rsidRDefault="00A64028" w:rsidP="00F34DD1">
            <w:pPr>
              <w:spacing w:after="0" w:line="240" w:lineRule="auto"/>
              <w:ind w:left="113" w:right="113"/>
              <w:jc w:val="center"/>
              <w:rPr>
                <w:rFonts w:ascii="Arial Narrow" w:hAnsi="Arial Narrow" w:cs="Arial"/>
                <w:sz w:val="18"/>
                <w:szCs w:val="18"/>
              </w:rPr>
            </w:pPr>
            <w:r w:rsidRPr="00272625">
              <w:rPr>
                <w:rFonts w:ascii="Arial Narrow" w:hAnsi="Arial Narrow" w:cs="Arial"/>
                <w:sz w:val="18"/>
                <w:szCs w:val="18"/>
              </w:rPr>
              <w:t>Рынок услуг по сбору, сортировке и переработке твердых коммунальных (бытовых) отходов</w:t>
            </w:r>
          </w:p>
        </w:tc>
      </w:tr>
      <w:tr w:rsidR="00A64028" w:rsidTr="00A64028">
        <w:tc>
          <w:tcPr>
            <w:tcW w:w="289" w:type="dxa"/>
            <w:tcBorders>
              <w:top w:val="nil"/>
              <w:left w:val="single" w:sz="4" w:space="0" w:color="auto"/>
              <w:bottom w:val="single" w:sz="4" w:space="0" w:color="auto"/>
              <w:right w:val="single" w:sz="4" w:space="0" w:color="auto"/>
            </w:tcBorders>
            <w:vAlign w:val="center"/>
            <w:hideMark/>
          </w:tcPr>
          <w:p w:rsidR="00A64028" w:rsidRPr="00F34DD1" w:rsidRDefault="00A64028" w:rsidP="00103148">
            <w:pPr>
              <w:spacing w:after="0"/>
              <w:jc w:val="center"/>
              <w:rPr>
                <w:rFonts w:ascii="Arial Narrow" w:hAnsi="Arial Narrow" w:cs="Arial"/>
                <w:b/>
                <w:bCs/>
                <w:sz w:val="18"/>
                <w:szCs w:val="18"/>
              </w:rPr>
            </w:pPr>
            <w:r w:rsidRPr="00F34DD1">
              <w:rPr>
                <w:rFonts w:ascii="Arial Narrow" w:hAnsi="Arial Narrow" w:cs="Arial"/>
                <w:b/>
                <w:bCs/>
                <w:sz w:val="18"/>
                <w:szCs w:val="18"/>
              </w:rPr>
              <w:t>3.</w:t>
            </w:r>
          </w:p>
        </w:tc>
        <w:tc>
          <w:tcPr>
            <w:tcW w:w="9846" w:type="dxa"/>
            <w:gridSpan w:val="15"/>
            <w:tcBorders>
              <w:top w:val="single" w:sz="4" w:space="0" w:color="auto"/>
              <w:left w:val="nil"/>
              <w:bottom w:val="single" w:sz="4" w:space="0" w:color="auto"/>
              <w:right w:val="single" w:sz="4" w:space="0" w:color="000000"/>
            </w:tcBorders>
            <w:vAlign w:val="center"/>
            <w:hideMark/>
          </w:tcPr>
          <w:p w:rsidR="00A64028" w:rsidRPr="00F34DD1" w:rsidRDefault="00A64028" w:rsidP="00103148">
            <w:pPr>
              <w:spacing w:after="0"/>
              <w:ind w:left="148"/>
              <w:rPr>
                <w:rFonts w:ascii="Arial Narrow" w:hAnsi="Arial Narrow" w:cs="Arial"/>
                <w:b/>
                <w:bCs/>
                <w:sz w:val="18"/>
                <w:szCs w:val="18"/>
              </w:rPr>
            </w:pPr>
            <w:r w:rsidRPr="00F34DD1">
              <w:rPr>
                <w:rFonts w:ascii="Arial Narrow" w:hAnsi="Arial Narrow" w:cs="Arial"/>
                <w:b/>
                <w:bCs/>
                <w:sz w:val="18"/>
                <w:szCs w:val="18"/>
              </w:rPr>
              <w:t>Мониторинг удовлетворенности субъектов предпринимательской деятельности и потребителей товаров, работ и услуг качеством официальной информации о состоянии конкурентной среды на рынках товаров, работ и услуг и деятельности по содействию развитию конкуренции в Новосибирской области, размещаемой уполномоченным органом и муниципальными образованиями</w:t>
            </w:r>
          </w:p>
        </w:tc>
      </w:tr>
      <w:tr w:rsidR="00A64028" w:rsidTr="00A64028">
        <w:tc>
          <w:tcPr>
            <w:tcW w:w="289" w:type="dxa"/>
            <w:tcBorders>
              <w:top w:val="nil"/>
              <w:left w:val="single" w:sz="4" w:space="0" w:color="auto"/>
              <w:bottom w:val="single" w:sz="4" w:space="0" w:color="auto"/>
              <w:right w:val="single" w:sz="4" w:space="0" w:color="auto"/>
            </w:tcBorders>
            <w:vAlign w:val="center"/>
            <w:hideMark/>
          </w:tcPr>
          <w:p w:rsidR="00A64028" w:rsidRPr="00F34DD1" w:rsidRDefault="00A64028" w:rsidP="00103148">
            <w:pPr>
              <w:spacing w:after="0"/>
              <w:jc w:val="center"/>
              <w:rPr>
                <w:rFonts w:ascii="Arial Narrow" w:hAnsi="Arial Narrow" w:cs="Arial"/>
                <w:sz w:val="18"/>
                <w:szCs w:val="18"/>
              </w:rPr>
            </w:pPr>
            <w:r w:rsidRPr="00F34DD1">
              <w:rPr>
                <w:rFonts w:ascii="Arial Narrow" w:hAnsi="Arial Narrow" w:cs="Arial"/>
                <w:sz w:val="18"/>
                <w:szCs w:val="18"/>
              </w:rPr>
              <w:t>3.4.</w:t>
            </w:r>
          </w:p>
        </w:tc>
        <w:tc>
          <w:tcPr>
            <w:tcW w:w="1990" w:type="dxa"/>
            <w:tcBorders>
              <w:top w:val="nil"/>
              <w:left w:val="nil"/>
              <w:bottom w:val="single" w:sz="4" w:space="0" w:color="auto"/>
              <w:right w:val="single" w:sz="4" w:space="0" w:color="auto"/>
            </w:tcBorders>
            <w:vAlign w:val="center"/>
            <w:hideMark/>
          </w:tcPr>
          <w:p w:rsidR="00A64028" w:rsidRPr="00F34DD1" w:rsidRDefault="00A64028" w:rsidP="00103148">
            <w:pPr>
              <w:spacing w:after="0"/>
              <w:ind w:left="148" w:right="131"/>
              <w:rPr>
                <w:rFonts w:ascii="Arial Narrow" w:hAnsi="Arial Narrow" w:cs="Arial"/>
                <w:sz w:val="18"/>
                <w:szCs w:val="18"/>
              </w:rPr>
            </w:pPr>
            <w:r w:rsidRPr="00F34DD1">
              <w:rPr>
                <w:rFonts w:ascii="Arial Narrow" w:hAnsi="Arial Narrow" w:cs="Arial"/>
                <w:sz w:val="18"/>
                <w:szCs w:val="18"/>
              </w:rPr>
              <w:t>Доля представителей бизнеса, считающих, что все участники рынка обладают равными возможностями получить информацию от органов государственной власти по вопросам ведения бизнеса на рынке (% от числа опрошенных)</w:t>
            </w:r>
          </w:p>
        </w:tc>
        <w:tc>
          <w:tcPr>
            <w:tcW w:w="795" w:type="dxa"/>
            <w:tcBorders>
              <w:top w:val="nil"/>
              <w:left w:val="nil"/>
              <w:bottom w:val="single" w:sz="4" w:space="0" w:color="auto"/>
              <w:right w:val="single" w:sz="4" w:space="0" w:color="auto"/>
            </w:tcBorders>
            <w:noWrap/>
            <w:vAlign w:val="bottom"/>
            <w:hideMark/>
          </w:tcPr>
          <w:p w:rsidR="00A64028" w:rsidRDefault="00A64028" w:rsidP="00103148">
            <w:pPr>
              <w:spacing w:after="0"/>
              <w:jc w:val="center"/>
              <w:rPr>
                <w:rFonts w:ascii="Arial Narrow" w:hAnsi="Arial Narrow" w:cs="Arial"/>
              </w:rPr>
            </w:pPr>
            <w:r>
              <w:rPr>
                <w:rFonts w:ascii="Arial Narrow" w:hAnsi="Arial Narrow" w:cs="Arial"/>
              </w:rPr>
              <w:t> </w:t>
            </w:r>
          </w:p>
        </w:tc>
        <w:tc>
          <w:tcPr>
            <w:tcW w:w="767" w:type="dxa"/>
            <w:tcBorders>
              <w:top w:val="nil"/>
              <w:left w:val="nil"/>
              <w:bottom w:val="single" w:sz="4" w:space="0" w:color="auto"/>
              <w:right w:val="single" w:sz="4" w:space="0" w:color="auto"/>
            </w:tcBorders>
            <w:noWrap/>
            <w:vAlign w:val="bottom"/>
            <w:hideMark/>
          </w:tcPr>
          <w:p w:rsidR="00A64028" w:rsidRDefault="00A64028" w:rsidP="00103148">
            <w:pPr>
              <w:spacing w:after="0"/>
              <w:jc w:val="center"/>
              <w:rPr>
                <w:rFonts w:ascii="Arial Narrow" w:hAnsi="Arial Narrow" w:cs="Arial"/>
              </w:rPr>
            </w:pPr>
            <w:r>
              <w:rPr>
                <w:rFonts w:ascii="Arial Narrow" w:hAnsi="Arial Narrow" w:cs="Arial"/>
              </w:rPr>
              <w:t> </w:t>
            </w:r>
          </w:p>
        </w:tc>
        <w:tc>
          <w:tcPr>
            <w:tcW w:w="426" w:type="dxa"/>
            <w:tcBorders>
              <w:top w:val="nil"/>
              <w:left w:val="nil"/>
              <w:bottom w:val="single" w:sz="4" w:space="0" w:color="auto"/>
              <w:right w:val="single" w:sz="4" w:space="0" w:color="auto"/>
            </w:tcBorders>
            <w:noWrap/>
            <w:vAlign w:val="bottom"/>
            <w:hideMark/>
          </w:tcPr>
          <w:p w:rsidR="00A64028" w:rsidRDefault="00A64028" w:rsidP="00103148">
            <w:pPr>
              <w:spacing w:after="0"/>
              <w:jc w:val="center"/>
              <w:rPr>
                <w:rFonts w:ascii="Arial Narrow" w:hAnsi="Arial Narrow" w:cs="Arial"/>
              </w:rPr>
            </w:pPr>
            <w:r>
              <w:rPr>
                <w:rFonts w:ascii="Arial Narrow" w:hAnsi="Arial Narrow" w:cs="Arial"/>
              </w:rPr>
              <w:t> </w:t>
            </w:r>
          </w:p>
        </w:tc>
        <w:tc>
          <w:tcPr>
            <w:tcW w:w="469" w:type="dxa"/>
            <w:tcBorders>
              <w:top w:val="nil"/>
              <w:left w:val="nil"/>
              <w:bottom w:val="single" w:sz="4" w:space="0" w:color="auto"/>
              <w:right w:val="single" w:sz="4" w:space="0" w:color="auto"/>
            </w:tcBorders>
            <w:noWrap/>
            <w:vAlign w:val="bottom"/>
            <w:hideMark/>
          </w:tcPr>
          <w:p w:rsidR="00A64028" w:rsidRDefault="00A64028" w:rsidP="00103148">
            <w:pPr>
              <w:spacing w:after="0"/>
              <w:jc w:val="center"/>
              <w:rPr>
                <w:rFonts w:ascii="Arial Narrow" w:hAnsi="Arial Narrow" w:cs="Arial"/>
              </w:rPr>
            </w:pPr>
            <w:r>
              <w:rPr>
                <w:rFonts w:ascii="Arial Narrow" w:hAnsi="Arial Narrow" w:cs="Arial"/>
              </w:rPr>
              <w:t> </w:t>
            </w:r>
          </w:p>
        </w:tc>
        <w:tc>
          <w:tcPr>
            <w:tcW w:w="425" w:type="dxa"/>
            <w:tcBorders>
              <w:top w:val="nil"/>
              <w:left w:val="nil"/>
              <w:bottom w:val="single" w:sz="4" w:space="0" w:color="auto"/>
              <w:right w:val="single" w:sz="4" w:space="0" w:color="auto"/>
            </w:tcBorders>
            <w:noWrap/>
            <w:vAlign w:val="bottom"/>
            <w:hideMark/>
          </w:tcPr>
          <w:p w:rsidR="00A64028" w:rsidRDefault="00A64028" w:rsidP="00103148">
            <w:pPr>
              <w:spacing w:after="0"/>
              <w:jc w:val="center"/>
              <w:rPr>
                <w:rFonts w:ascii="Arial Narrow" w:hAnsi="Arial Narrow" w:cs="Arial"/>
              </w:rPr>
            </w:pPr>
            <w:r>
              <w:rPr>
                <w:rFonts w:ascii="Arial Narrow" w:hAnsi="Arial Narrow" w:cs="Arial"/>
              </w:rPr>
              <w:t> </w:t>
            </w:r>
          </w:p>
        </w:tc>
        <w:tc>
          <w:tcPr>
            <w:tcW w:w="859" w:type="dxa"/>
            <w:tcBorders>
              <w:top w:val="nil"/>
              <w:left w:val="nil"/>
              <w:bottom w:val="single" w:sz="4" w:space="0" w:color="auto"/>
              <w:right w:val="single" w:sz="4" w:space="0" w:color="auto"/>
            </w:tcBorders>
            <w:noWrap/>
            <w:vAlign w:val="bottom"/>
            <w:hideMark/>
          </w:tcPr>
          <w:p w:rsidR="00A64028" w:rsidRDefault="00A64028" w:rsidP="00103148">
            <w:pPr>
              <w:spacing w:after="0"/>
              <w:jc w:val="center"/>
              <w:rPr>
                <w:rFonts w:ascii="Arial Narrow" w:hAnsi="Arial Narrow" w:cs="Arial"/>
              </w:rPr>
            </w:pPr>
            <w:r>
              <w:rPr>
                <w:rFonts w:ascii="Arial Narrow" w:hAnsi="Arial Narrow" w:cs="Arial"/>
              </w:rPr>
              <w:t> </w:t>
            </w:r>
          </w:p>
        </w:tc>
        <w:tc>
          <w:tcPr>
            <w:tcW w:w="387" w:type="dxa"/>
            <w:tcBorders>
              <w:top w:val="nil"/>
              <w:left w:val="nil"/>
              <w:bottom w:val="single" w:sz="4" w:space="0" w:color="auto"/>
              <w:right w:val="single" w:sz="4" w:space="0" w:color="auto"/>
            </w:tcBorders>
            <w:noWrap/>
            <w:vAlign w:val="bottom"/>
            <w:hideMark/>
          </w:tcPr>
          <w:p w:rsidR="00A64028" w:rsidRDefault="00A64028" w:rsidP="00103148">
            <w:pPr>
              <w:spacing w:after="0"/>
              <w:jc w:val="center"/>
              <w:rPr>
                <w:rFonts w:ascii="Arial Narrow" w:hAnsi="Arial Narrow" w:cs="Arial"/>
              </w:rPr>
            </w:pPr>
            <w:r>
              <w:rPr>
                <w:rFonts w:ascii="Arial Narrow" w:hAnsi="Arial Narrow" w:cs="Arial"/>
              </w:rPr>
              <w:t> </w:t>
            </w:r>
          </w:p>
        </w:tc>
        <w:tc>
          <w:tcPr>
            <w:tcW w:w="464" w:type="dxa"/>
            <w:tcBorders>
              <w:top w:val="nil"/>
              <w:left w:val="nil"/>
              <w:bottom w:val="single" w:sz="4" w:space="0" w:color="auto"/>
              <w:right w:val="single" w:sz="4" w:space="0" w:color="auto"/>
            </w:tcBorders>
            <w:noWrap/>
            <w:vAlign w:val="bottom"/>
            <w:hideMark/>
          </w:tcPr>
          <w:p w:rsidR="00A64028" w:rsidRDefault="00A64028" w:rsidP="00103148">
            <w:pPr>
              <w:spacing w:after="0"/>
              <w:jc w:val="center"/>
              <w:rPr>
                <w:rFonts w:ascii="Arial Narrow" w:hAnsi="Arial Narrow" w:cs="Arial"/>
              </w:rPr>
            </w:pPr>
            <w:r>
              <w:rPr>
                <w:rFonts w:ascii="Arial Narrow" w:hAnsi="Arial Narrow" w:cs="Arial"/>
              </w:rPr>
              <w:t> </w:t>
            </w:r>
          </w:p>
        </w:tc>
        <w:tc>
          <w:tcPr>
            <w:tcW w:w="563" w:type="dxa"/>
            <w:tcBorders>
              <w:top w:val="nil"/>
              <w:left w:val="nil"/>
              <w:bottom w:val="single" w:sz="4" w:space="0" w:color="auto"/>
              <w:right w:val="single" w:sz="4" w:space="0" w:color="auto"/>
            </w:tcBorders>
            <w:noWrap/>
            <w:vAlign w:val="bottom"/>
            <w:hideMark/>
          </w:tcPr>
          <w:p w:rsidR="00A64028" w:rsidRDefault="00A64028" w:rsidP="00103148">
            <w:pPr>
              <w:spacing w:after="0"/>
              <w:jc w:val="center"/>
              <w:rPr>
                <w:rFonts w:ascii="Arial Narrow" w:hAnsi="Arial Narrow" w:cs="Arial"/>
              </w:rPr>
            </w:pPr>
            <w:r>
              <w:rPr>
                <w:rFonts w:ascii="Arial Narrow" w:hAnsi="Arial Narrow" w:cs="Arial"/>
              </w:rPr>
              <w:t> </w:t>
            </w:r>
          </w:p>
        </w:tc>
        <w:tc>
          <w:tcPr>
            <w:tcW w:w="572" w:type="dxa"/>
            <w:tcBorders>
              <w:top w:val="nil"/>
              <w:left w:val="nil"/>
              <w:bottom w:val="single" w:sz="4" w:space="0" w:color="auto"/>
              <w:right w:val="single" w:sz="4" w:space="0" w:color="auto"/>
            </w:tcBorders>
            <w:noWrap/>
            <w:vAlign w:val="bottom"/>
            <w:hideMark/>
          </w:tcPr>
          <w:p w:rsidR="00A64028" w:rsidRDefault="00A64028" w:rsidP="00103148">
            <w:pPr>
              <w:spacing w:after="0"/>
              <w:jc w:val="center"/>
              <w:rPr>
                <w:rFonts w:ascii="Arial Narrow" w:hAnsi="Arial Narrow" w:cs="Arial"/>
              </w:rPr>
            </w:pPr>
            <w:r>
              <w:rPr>
                <w:rFonts w:ascii="Arial Narrow" w:hAnsi="Arial Narrow" w:cs="Arial"/>
              </w:rPr>
              <w:t> </w:t>
            </w:r>
          </w:p>
        </w:tc>
        <w:tc>
          <w:tcPr>
            <w:tcW w:w="426" w:type="dxa"/>
            <w:tcBorders>
              <w:top w:val="nil"/>
              <w:left w:val="nil"/>
              <w:bottom w:val="single" w:sz="4" w:space="0" w:color="auto"/>
              <w:right w:val="single" w:sz="4" w:space="0" w:color="auto"/>
            </w:tcBorders>
            <w:noWrap/>
            <w:vAlign w:val="bottom"/>
            <w:hideMark/>
          </w:tcPr>
          <w:p w:rsidR="00A64028" w:rsidRDefault="00A64028" w:rsidP="00103148">
            <w:pPr>
              <w:spacing w:after="0"/>
              <w:jc w:val="center"/>
              <w:rPr>
                <w:rFonts w:ascii="Arial Narrow" w:hAnsi="Arial Narrow" w:cs="Arial"/>
              </w:rPr>
            </w:pPr>
            <w:r>
              <w:rPr>
                <w:rFonts w:ascii="Arial Narrow" w:hAnsi="Arial Narrow" w:cs="Arial"/>
              </w:rPr>
              <w:t> </w:t>
            </w:r>
          </w:p>
        </w:tc>
        <w:tc>
          <w:tcPr>
            <w:tcW w:w="425" w:type="dxa"/>
            <w:tcBorders>
              <w:top w:val="nil"/>
              <w:left w:val="nil"/>
              <w:bottom w:val="single" w:sz="4" w:space="0" w:color="auto"/>
              <w:right w:val="single" w:sz="4" w:space="0" w:color="auto"/>
            </w:tcBorders>
            <w:noWrap/>
            <w:vAlign w:val="bottom"/>
            <w:hideMark/>
          </w:tcPr>
          <w:p w:rsidR="00A64028" w:rsidRDefault="00A64028" w:rsidP="00103148">
            <w:pPr>
              <w:spacing w:after="0"/>
              <w:jc w:val="center"/>
              <w:rPr>
                <w:rFonts w:ascii="Arial Narrow" w:hAnsi="Arial Narrow" w:cs="Arial"/>
              </w:rPr>
            </w:pPr>
            <w:r>
              <w:rPr>
                <w:rFonts w:ascii="Arial Narrow" w:hAnsi="Arial Narrow" w:cs="Arial"/>
              </w:rPr>
              <w:t> </w:t>
            </w:r>
          </w:p>
        </w:tc>
        <w:tc>
          <w:tcPr>
            <w:tcW w:w="708" w:type="dxa"/>
            <w:tcBorders>
              <w:top w:val="nil"/>
              <w:left w:val="nil"/>
              <w:bottom w:val="single" w:sz="4" w:space="0" w:color="auto"/>
              <w:right w:val="single" w:sz="4" w:space="0" w:color="auto"/>
            </w:tcBorders>
            <w:noWrap/>
            <w:vAlign w:val="bottom"/>
            <w:hideMark/>
          </w:tcPr>
          <w:p w:rsidR="00A64028" w:rsidRDefault="00A64028" w:rsidP="00103148">
            <w:pPr>
              <w:spacing w:after="0"/>
              <w:jc w:val="center"/>
              <w:rPr>
                <w:rFonts w:ascii="Arial Narrow" w:hAnsi="Arial Narrow" w:cs="Arial"/>
              </w:rPr>
            </w:pPr>
            <w:r>
              <w:rPr>
                <w:rFonts w:ascii="Arial Narrow" w:hAnsi="Arial Narrow" w:cs="Arial"/>
              </w:rPr>
              <w:t> </w:t>
            </w:r>
          </w:p>
        </w:tc>
        <w:tc>
          <w:tcPr>
            <w:tcW w:w="568" w:type="dxa"/>
            <w:tcBorders>
              <w:top w:val="nil"/>
              <w:left w:val="nil"/>
              <w:bottom w:val="single" w:sz="4" w:space="0" w:color="auto"/>
              <w:right w:val="single" w:sz="4" w:space="0" w:color="auto"/>
            </w:tcBorders>
            <w:noWrap/>
            <w:vAlign w:val="bottom"/>
            <w:hideMark/>
          </w:tcPr>
          <w:p w:rsidR="00A64028" w:rsidRDefault="00A64028" w:rsidP="00103148">
            <w:pPr>
              <w:spacing w:after="0"/>
              <w:jc w:val="center"/>
              <w:rPr>
                <w:rFonts w:ascii="Arial Narrow" w:hAnsi="Arial Narrow" w:cs="Arial"/>
              </w:rPr>
            </w:pPr>
            <w:r>
              <w:rPr>
                <w:rFonts w:ascii="Arial Narrow" w:hAnsi="Arial Narrow" w:cs="Arial"/>
              </w:rPr>
              <w:t> </w:t>
            </w:r>
          </w:p>
        </w:tc>
      </w:tr>
      <w:tr w:rsidR="00A64028" w:rsidTr="00A64028">
        <w:tc>
          <w:tcPr>
            <w:tcW w:w="289" w:type="dxa"/>
            <w:tcBorders>
              <w:top w:val="nil"/>
              <w:left w:val="single" w:sz="4" w:space="0" w:color="auto"/>
              <w:bottom w:val="single" w:sz="4" w:space="0" w:color="auto"/>
              <w:right w:val="single" w:sz="4" w:space="0" w:color="auto"/>
            </w:tcBorders>
            <w:vAlign w:val="center"/>
            <w:hideMark/>
          </w:tcPr>
          <w:p w:rsidR="00A64028" w:rsidRDefault="00A64028" w:rsidP="00103148">
            <w:pPr>
              <w:spacing w:after="0"/>
              <w:jc w:val="both"/>
              <w:rPr>
                <w:rFonts w:ascii="Arial Narrow" w:hAnsi="Arial Narrow" w:cs="Arial"/>
              </w:rPr>
            </w:pPr>
            <w:r>
              <w:rPr>
                <w:rFonts w:ascii="Arial Narrow" w:hAnsi="Arial Narrow" w:cs="Arial"/>
              </w:rPr>
              <w:t> </w:t>
            </w:r>
          </w:p>
        </w:tc>
        <w:tc>
          <w:tcPr>
            <w:tcW w:w="1990" w:type="dxa"/>
            <w:tcBorders>
              <w:top w:val="nil"/>
              <w:left w:val="nil"/>
              <w:bottom w:val="single" w:sz="4" w:space="0" w:color="auto"/>
              <w:right w:val="single" w:sz="4" w:space="0" w:color="auto"/>
            </w:tcBorders>
            <w:vAlign w:val="center"/>
            <w:hideMark/>
          </w:tcPr>
          <w:p w:rsidR="00A64028" w:rsidRPr="00F34DD1" w:rsidRDefault="00A64028" w:rsidP="00F34DD1">
            <w:pPr>
              <w:spacing w:after="0"/>
              <w:ind w:left="147"/>
              <w:jc w:val="both"/>
              <w:rPr>
                <w:rFonts w:ascii="Arial Narrow" w:hAnsi="Arial Narrow" w:cs="Arial"/>
                <w:sz w:val="18"/>
                <w:szCs w:val="18"/>
              </w:rPr>
            </w:pPr>
            <w:r w:rsidRPr="00F34DD1">
              <w:rPr>
                <w:rFonts w:ascii="Arial Narrow" w:hAnsi="Arial Narrow" w:cs="Arial"/>
                <w:sz w:val="18"/>
                <w:szCs w:val="18"/>
              </w:rPr>
              <w:t>2015 г., %</w:t>
            </w:r>
          </w:p>
        </w:tc>
        <w:tc>
          <w:tcPr>
            <w:tcW w:w="795" w:type="dxa"/>
            <w:tcBorders>
              <w:top w:val="nil"/>
              <w:left w:val="nil"/>
              <w:bottom w:val="single" w:sz="4" w:space="0" w:color="auto"/>
              <w:right w:val="single" w:sz="4" w:space="0" w:color="auto"/>
            </w:tcBorders>
            <w:noWrap/>
            <w:vAlign w:val="bottom"/>
            <w:hideMark/>
          </w:tcPr>
          <w:p w:rsidR="00A64028" w:rsidRPr="00F34DD1" w:rsidRDefault="00A64028" w:rsidP="00103148">
            <w:pPr>
              <w:spacing w:after="0"/>
              <w:jc w:val="center"/>
              <w:rPr>
                <w:rFonts w:ascii="Arial Narrow" w:hAnsi="Arial Narrow" w:cs="Arial"/>
                <w:sz w:val="18"/>
                <w:szCs w:val="18"/>
              </w:rPr>
            </w:pPr>
            <w:r w:rsidRPr="00F34DD1">
              <w:rPr>
                <w:rFonts w:ascii="Arial Narrow" w:hAnsi="Arial Narrow" w:cs="Arial"/>
                <w:sz w:val="18"/>
                <w:szCs w:val="18"/>
              </w:rPr>
              <w:t>66%</w:t>
            </w:r>
          </w:p>
        </w:tc>
        <w:tc>
          <w:tcPr>
            <w:tcW w:w="767" w:type="dxa"/>
            <w:tcBorders>
              <w:top w:val="nil"/>
              <w:left w:val="nil"/>
              <w:bottom w:val="single" w:sz="4" w:space="0" w:color="auto"/>
              <w:right w:val="single" w:sz="4" w:space="0" w:color="auto"/>
            </w:tcBorders>
            <w:noWrap/>
            <w:vAlign w:val="bottom"/>
            <w:hideMark/>
          </w:tcPr>
          <w:p w:rsidR="00A64028" w:rsidRPr="00F34DD1" w:rsidRDefault="00A64028" w:rsidP="00103148">
            <w:pPr>
              <w:spacing w:after="0"/>
              <w:jc w:val="center"/>
              <w:rPr>
                <w:rFonts w:ascii="Arial Narrow" w:hAnsi="Arial Narrow" w:cs="Arial"/>
                <w:sz w:val="18"/>
                <w:szCs w:val="18"/>
              </w:rPr>
            </w:pPr>
            <w:r w:rsidRPr="00F34DD1">
              <w:rPr>
                <w:rFonts w:ascii="Arial Narrow" w:hAnsi="Arial Narrow" w:cs="Arial"/>
                <w:sz w:val="18"/>
                <w:szCs w:val="18"/>
              </w:rPr>
              <w:t>70%</w:t>
            </w:r>
          </w:p>
        </w:tc>
        <w:tc>
          <w:tcPr>
            <w:tcW w:w="426" w:type="dxa"/>
            <w:tcBorders>
              <w:top w:val="nil"/>
              <w:left w:val="nil"/>
              <w:bottom w:val="single" w:sz="4" w:space="0" w:color="auto"/>
              <w:right w:val="single" w:sz="4" w:space="0" w:color="auto"/>
            </w:tcBorders>
            <w:noWrap/>
            <w:vAlign w:val="bottom"/>
            <w:hideMark/>
          </w:tcPr>
          <w:p w:rsidR="00A64028" w:rsidRPr="00F34DD1" w:rsidRDefault="00A64028" w:rsidP="00103148">
            <w:pPr>
              <w:spacing w:after="0"/>
              <w:jc w:val="center"/>
              <w:rPr>
                <w:rFonts w:ascii="Arial Narrow" w:hAnsi="Arial Narrow" w:cs="Arial"/>
                <w:sz w:val="18"/>
                <w:szCs w:val="18"/>
              </w:rPr>
            </w:pPr>
            <w:r w:rsidRPr="00F34DD1">
              <w:rPr>
                <w:rFonts w:ascii="Arial Narrow" w:hAnsi="Arial Narrow" w:cs="Arial"/>
                <w:sz w:val="18"/>
                <w:szCs w:val="18"/>
              </w:rPr>
              <w:t>60%</w:t>
            </w:r>
          </w:p>
        </w:tc>
        <w:tc>
          <w:tcPr>
            <w:tcW w:w="469" w:type="dxa"/>
            <w:tcBorders>
              <w:top w:val="nil"/>
              <w:left w:val="nil"/>
              <w:bottom w:val="single" w:sz="4" w:space="0" w:color="auto"/>
              <w:right w:val="single" w:sz="4" w:space="0" w:color="auto"/>
            </w:tcBorders>
            <w:noWrap/>
            <w:vAlign w:val="bottom"/>
            <w:hideMark/>
          </w:tcPr>
          <w:p w:rsidR="00A64028" w:rsidRPr="00F34DD1" w:rsidRDefault="00A64028" w:rsidP="00103148">
            <w:pPr>
              <w:spacing w:after="0"/>
              <w:jc w:val="center"/>
              <w:rPr>
                <w:rFonts w:ascii="Arial Narrow" w:hAnsi="Arial Narrow" w:cs="Arial"/>
                <w:sz w:val="18"/>
                <w:szCs w:val="18"/>
              </w:rPr>
            </w:pPr>
            <w:r w:rsidRPr="00F34DD1">
              <w:rPr>
                <w:rFonts w:ascii="Arial Narrow" w:hAnsi="Arial Narrow" w:cs="Arial"/>
                <w:sz w:val="18"/>
                <w:szCs w:val="18"/>
              </w:rPr>
              <w:t>64%</w:t>
            </w:r>
          </w:p>
        </w:tc>
        <w:tc>
          <w:tcPr>
            <w:tcW w:w="425" w:type="dxa"/>
            <w:tcBorders>
              <w:top w:val="nil"/>
              <w:left w:val="nil"/>
              <w:bottom w:val="single" w:sz="4" w:space="0" w:color="auto"/>
              <w:right w:val="single" w:sz="4" w:space="0" w:color="auto"/>
            </w:tcBorders>
            <w:noWrap/>
            <w:vAlign w:val="bottom"/>
            <w:hideMark/>
          </w:tcPr>
          <w:p w:rsidR="00A64028" w:rsidRPr="00F34DD1" w:rsidRDefault="00A64028" w:rsidP="00103148">
            <w:pPr>
              <w:spacing w:after="0"/>
              <w:jc w:val="center"/>
              <w:rPr>
                <w:rFonts w:ascii="Arial Narrow" w:hAnsi="Arial Narrow" w:cs="Arial"/>
                <w:sz w:val="18"/>
                <w:szCs w:val="18"/>
              </w:rPr>
            </w:pPr>
            <w:r w:rsidRPr="00F34DD1">
              <w:rPr>
                <w:rFonts w:ascii="Arial Narrow" w:hAnsi="Arial Narrow" w:cs="Arial"/>
                <w:sz w:val="18"/>
                <w:szCs w:val="18"/>
              </w:rPr>
              <w:t>59%</w:t>
            </w:r>
          </w:p>
        </w:tc>
        <w:tc>
          <w:tcPr>
            <w:tcW w:w="859" w:type="dxa"/>
            <w:tcBorders>
              <w:top w:val="nil"/>
              <w:left w:val="nil"/>
              <w:bottom w:val="single" w:sz="4" w:space="0" w:color="auto"/>
              <w:right w:val="single" w:sz="4" w:space="0" w:color="auto"/>
            </w:tcBorders>
            <w:noWrap/>
            <w:vAlign w:val="bottom"/>
            <w:hideMark/>
          </w:tcPr>
          <w:p w:rsidR="00A64028" w:rsidRPr="00F34DD1" w:rsidRDefault="00A64028" w:rsidP="00103148">
            <w:pPr>
              <w:spacing w:after="0"/>
              <w:jc w:val="center"/>
              <w:rPr>
                <w:rFonts w:ascii="Arial Narrow" w:hAnsi="Arial Narrow" w:cs="Arial"/>
                <w:sz w:val="18"/>
                <w:szCs w:val="18"/>
              </w:rPr>
            </w:pPr>
            <w:r w:rsidRPr="00F34DD1">
              <w:rPr>
                <w:rFonts w:ascii="Arial Narrow" w:hAnsi="Arial Narrow" w:cs="Arial"/>
                <w:sz w:val="18"/>
                <w:szCs w:val="18"/>
              </w:rPr>
              <w:t>64%</w:t>
            </w:r>
          </w:p>
        </w:tc>
        <w:tc>
          <w:tcPr>
            <w:tcW w:w="387" w:type="dxa"/>
            <w:tcBorders>
              <w:top w:val="nil"/>
              <w:left w:val="nil"/>
              <w:bottom w:val="single" w:sz="4" w:space="0" w:color="auto"/>
              <w:right w:val="single" w:sz="4" w:space="0" w:color="auto"/>
            </w:tcBorders>
            <w:noWrap/>
            <w:vAlign w:val="bottom"/>
            <w:hideMark/>
          </w:tcPr>
          <w:p w:rsidR="00A64028" w:rsidRPr="00F34DD1" w:rsidRDefault="00A64028" w:rsidP="00103148">
            <w:pPr>
              <w:spacing w:after="0"/>
              <w:jc w:val="center"/>
              <w:rPr>
                <w:rFonts w:ascii="Arial Narrow" w:hAnsi="Arial Narrow" w:cs="Arial"/>
                <w:sz w:val="18"/>
                <w:szCs w:val="18"/>
              </w:rPr>
            </w:pPr>
            <w:r w:rsidRPr="00F34DD1">
              <w:rPr>
                <w:rFonts w:ascii="Arial Narrow" w:hAnsi="Arial Narrow" w:cs="Arial"/>
                <w:sz w:val="18"/>
                <w:szCs w:val="18"/>
              </w:rPr>
              <w:t>48%</w:t>
            </w:r>
          </w:p>
        </w:tc>
        <w:tc>
          <w:tcPr>
            <w:tcW w:w="464" w:type="dxa"/>
            <w:tcBorders>
              <w:top w:val="nil"/>
              <w:left w:val="nil"/>
              <w:bottom w:val="single" w:sz="4" w:space="0" w:color="auto"/>
              <w:right w:val="single" w:sz="4" w:space="0" w:color="auto"/>
            </w:tcBorders>
            <w:noWrap/>
            <w:vAlign w:val="bottom"/>
            <w:hideMark/>
          </w:tcPr>
          <w:p w:rsidR="00A64028" w:rsidRPr="00F34DD1" w:rsidRDefault="00A64028" w:rsidP="00103148">
            <w:pPr>
              <w:spacing w:after="0"/>
              <w:jc w:val="center"/>
              <w:rPr>
                <w:rFonts w:ascii="Arial Narrow" w:hAnsi="Arial Narrow" w:cs="Arial"/>
                <w:sz w:val="18"/>
                <w:szCs w:val="18"/>
              </w:rPr>
            </w:pPr>
            <w:r w:rsidRPr="00F34DD1">
              <w:rPr>
                <w:rFonts w:ascii="Arial Narrow" w:hAnsi="Arial Narrow" w:cs="Arial"/>
                <w:sz w:val="18"/>
                <w:szCs w:val="18"/>
              </w:rPr>
              <w:t>83%</w:t>
            </w:r>
          </w:p>
        </w:tc>
        <w:tc>
          <w:tcPr>
            <w:tcW w:w="563" w:type="dxa"/>
            <w:tcBorders>
              <w:top w:val="nil"/>
              <w:left w:val="nil"/>
              <w:bottom w:val="single" w:sz="4" w:space="0" w:color="auto"/>
              <w:right w:val="single" w:sz="4" w:space="0" w:color="auto"/>
            </w:tcBorders>
            <w:noWrap/>
            <w:vAlign w:val="bottom"/>
            <w:hideMark/>
          </w:tcPr>
          <w:p w:rsidR="00A64028" w:rsidRPr="00F34DD1" w:rsidRDefault="00A64028" w:rsidP="00103148">
            <w:pPr>
              <w:spacing w:after="0"/>
              <w:jc w:val="center"/>
              <w:rPr>
                <w:rFonts w:ascii="Arial Narrow" w:hAnsi="Arial Narrow" w:cs="Arial"/>
                <w:sz w:val="18"/>
                <w:szCs w:val="18"/>
              </w:rPr>
            </w:pPr>
            <w:r w:rsidRPr="00F34DD1">
              <w:rPr>
                <w:rFonts w:ascii="Arial Narrow" w:hAnsi="Arial Narrow" w:cs="Arial"/>
                <w:sz w:val="18"/>
                <w:szCs w:val="18"/>
              </w:rPr>
              <w:t>68%</w:t>
            </w:r>
          </w:p>
        </w:tc>
        <w:tc>
          <w:tcPr>
            <w:tcW w:w="572" w:type="dxa"/>
            <w:tcBorders>
              <w:top w:val="nil"/>
              <w:left w:val="nil"/>
              <w:bottom w:val="single" w:sz="4" w:space="0" w:color="auto"/>
              <w:right w:val="single" w:sz="4" w:space="0" w:color="auto"/>
            </w:tcBorders>
            <w:noWrap/>
            <w:vAlign w:val="bottom"/>
            <w:hideMark/>
          </w:tcPr>
          <w:p w:rsidR="00A64028" w:rsidRPr="00F34DD1" w:rsidRDefault="00A64028" w:rsidP="00103148">
            <w:pPr>
              <w:spacing w:after="0"/>
              <w:jc w:val="center"/>
              <w:rPr>
                <w:rFonts w:ascii="Arial Narrow" w:hAnsi="Arial Narrow" w:cs="Arial"/>
                <w:sz w:val="18"/>
                <w:szCs w:val="18"/>
              </w:rPr>
            </w:pPr>
            <w:r w:rsidRPr="00F34DD1">
              <w:rPr>
                <w:rFonts w:ascii="Arial Narrow" w:hAnsi="Arial Narrow" w:cs="Arial"/>
                <w:sz w:val="18"/>
                <w:szCs w:val="18"/>
              </w:rPr>
              <w:t>67%</w:t>
            </w:r>
          </w:p>
        </w:tc>
        <w:tc>
          <w:tcPr>
            <w:tcW w:w="426" w:type="dxa"/>
            <w:tcBorders>
              <w:top w:val="nil"/>
              <w:left w:val="nil"/>
              <w:bottom w:val="single" w:sz="4" w:space="0" w:color="auto"/>
              <w:right w:val="single" w:sz="4" w:space="0" w:color="auto"/>
            </w:tcBorders>
            <w:noWrap/>
            <w:vAlign w:val="bottom"/>
            <w:hideMark/>
          </w:tcPr>
          <w:p w:rsidR="00A64028" w:rsidRPr="00F34DD1" w:rsidRDefault="00A64028" w:rsidP="00103148">
            <w:pPr>
              <w:spacing w:after="0"/>
              <w:jc w:val="center"/>
              <w:rPr>
                <w:rFonts w:ascii="Arial Narrow" w:hAnsi="Arial Narrow" w:cs="Arial"/>
                <w:sz w:val="18"/>
                <w:szCs w:val="18"/>
              </w:rPr>
            </w:pPr>
            <w:r w:rsidRPr="00F34DD1">
              <w:rPr>
                <w:rFonts w:ascii="Arial Narrow" w:hAnsi="Arial Narrow" w:cs="Arial"/>
                <w:sz w:val="18"/>
                <w:szCs w:val="18"/>
              </w:rPr>
              <w:t>68%</w:t>
            </w:r>
          </w:p>
        </w:tc>
        <w:tc>
          <w:tcPr>
            <w:tcW w:w="425" w:type="dxa"/>
            <w:tcBorders>
              <w:top w:val="nil"/>
              <w:left w:val="nil"/>
              <w:bottom w:val="single" w:sz="4" w:space="0" w:color="auto"/>
              <w:right w:val="single" w:sz="4" w:space="0" w:color="auto"/>
            </w:tcBorders>
            <w:noWrap/>
            <w:vAlign w:val="bottom"/>
            <w:hideMark/>
          </w:tcPr>
          <w:p w:rsidR="00A64028" w:rsidRPr="00F34DD1" w:rsidRDefault="00A64028" w:rsidP="00103148">
            <w:pPr>
              <w:spacing w:after="0"/>
              <w:jc w:val="center"/>
              <w:rPr>
                <w:rFonts w:ascii="Arial Narrow" w:hAnsi="Arial Narrow" w:cs="Arial"/>
                <w:sz w:val="18"/>
                <w:szCs w:val="18"/>
              </w:rPr>
            </w:pPr>
            <w:r w:rsidRPr="00F34DD1">
              <w:rPr>
                <w:rFonts w:ascii="Arial Narrow" w:hAnsi="Arial Narrow" w:cs="Arial"/>
                <w:sz w:val="18"/>
                <w:szCs w:val="18"/>
              </w:rPr>
              <w:t>64%</w:t>
            </w:r>
          </w:p>
        </w:tc>
        <w:tc>
          <w:tcPr>
            <w:tcW w:w="708" w:type="dxa"/>
            <w:tcBorders>
              <w:top w:val="nil"/>
              <w:left w:val="nil"/>
              <w:bottom w:val="single" w:sz="4" w:space="0" w:color="auto"/>
              <w:right w:val="single" w:sz="4" w:space="0" w:color="auto"/>
            </w:tcBorders>
            <w:noWrap/>
            <w:vAlign w:val="bottom"/>
            <w:hideMark/>
          </w:tcPr>
          <w:p w:rsidR="00A64028" w:rsidRPr="00F34DD1" w:rsidRDefault="00A64028" w:rsidP="00103148">
            <w:pPr>
              <w:spacing w:after="0"/>
              <w:jc w:val="center"/>
              <w:rPr>
                <w:rFonts w:ascii="Arial Narrow" w:hAnsi="Arial Narrow" w:cs="Arial"/>
                <w:sz w:val="18"/>
                <w:szCs w:val="18"/>
              </w:rPr>
            </w:pPr>
            <w:r w:rsidRPr="00F34DD1">
              <w:rPr>
                <w:rFonts w:ascii="Arial Narrow" w:hAnsi="Arial Narrow" w:cs="Arial"/>
                <w:sz w:val="18"/>
                <w:szCs w:val="18"/>
              </w:rPr>
              <w:t>69%</w:t>
            </w:r>
          </w:p>
        </w:tc>
        <w:tc>
          <w:tcPr>
            <w:tcW w:w="568" w:type="dxa"/>
            <w:tcBorders>
              <w:top w:val="nil"/>
              <w:left w:val="nil"/>
              <w:bottom w:val="single" w:sz="4" w:space="0" w:color="auto"/>
              <w:right w:val="single" w:sz="4" w:space="0" w:color="auto"/>
            </w:tcBorders>
            <w:noWrap/>
            <w:vAlign w:val="bottom"/>
            <w:hideMark/>
          </w:tcPr>
          <w:p w:rsidR="00A64028" w:rsidRPr="00F34DD1" w:rsidRDefault="00A64028" w:rsidP="00103148">
            <w:pPr>
              <w:spacing w:after="0"/>
              <w:jc w:val="center"/>
              <w:rPr>
                <w:rFonts w:ascii="Arial Narrow" w:hAnsi="Arial Narrow" w:cs="Arial"/>
                <w:sz w:val="18"/>
                <w:szCs w:val="18"/>
              </w:rPr>
            </w:pPr>
            <w:r w:rsidRPr="00F34DD1">
              <w:rPr>
                <w:rFonts w:ascii="Arial Narrow" w:hAnsi="Arial Narrow" w:cs="Arial"/>
                <w:sz w:val="18"/>
                <w:szCs w:val="18"/>
              </w:rPr>
              <w:t>70%</w:t>
            </w:r>
          </w:p>
        </w:tc>
      </w:tr>
      <w:tr w:rsidR="00A64028" w:rsidTr="00A64028">
        <w:tc>
          <w:tcPr>
            <w:tcW w:w="289" w:type="dxa"/>
            <w:tcBorders>
              <w:top w:val="nil"/>
              <w:left w:val="single" w:sz="4" w:space="0" w:color="auto"/>
              <w:bottom w:val="single" w:sz="4" w:space="0" w:color="auto"/>
              <w:right w:val="single" w:sz="4" w:space="0" w:color="auto"/>
            </w:tcBorders>
            <w:vAlign w:val="center"/>
            <w:hideMark/>
          </w:tcPr>
          <w:p w:rsidR="00A64028" w:rsidRDefault="00A64028" w:rsidP="00103148">
            <w:pPr>
              <w:spacing w:after="0"/>
              <w:jc w:val="both"/>
              <w:rPr>
                <w:rFonts w:ascii="Arial Narrow" w:hAnsi="Arial Narrow" w:cs="Arial"/>
              </w:rPr>
            </w:pPr>
            <w:r>
              <w:rPr>
                <w:rFonts w:ascii="Arial Narrow" w:hAnsi="Arial Narrow" w:cs="Arial"/>
              </w:rPr>
              <w:t> </w:t>
            </w:r>
          </w:p>
        </w:tc>
        <w:tc>
          <w:tcPr>
            <w:tcW w:w="1990" w:type="dxa"/>
            <w:tcBorders>
              <w:top w:val="nil"/>
              <w:left w:val="nil"/>
              <w:bottom w:val="single" w:sz="4" w:space="0" w:color="auto"/>
              <w:right w:val="single" w:sz="4" w:space="0" w:color="auto"/>
            </w:tcBorders>
            <w:vAlign w:val="center"/>
            <w:hideMark/>
          </w:tcPr>
          <w:p w:rsidR="00A64028" w:rsidRPr="00F34DD1" w:rsidRDefault="00A64028" w:rsidP="00F34DD1">
            <w:pPr>
              <w:spacing w:after="0"/>
              <w:ind w:left="147"/>
              <w:jc w:val="both"/>
              <w:rPr>
                <w:rFonts w:ascii="Arial Narrow" w:hAnsi="Arial Narrow" w:cs="Arial"/>
                <w:sz w:val="18"/>
                <w:szCs w:val="18"/>
              </w:rPr>
            </w:pPr>
            <w:r w:rsidRPr="00F34DD1">
              <w:rPr>
                <w:rFonts w:ascii="Arial Narrow" w:hAnsi="Arial Narrow" w:cs="Arial"/>
                <w:sz w:val="18"/>
                <w:szCs w:val="18"/>
              </w:rPr>
              <w:t>2016 г., %</w:t>
            </w:r>
          </w:p>
        </w:tc>
        <w:tc>
          <w:tcPr>
            <w:tcW w:w="795" w:type="dxa"/>
            <w:tcBorders>
              <w:top w:val="nil"/>
              <w:left w:val="nil"/>
              <w:bottom w:val="single" w:sz="4" w:space="0" w:color="auto"/>
              <w:right w:val="single" w:sz="4" w:space="0" w:color="auto"/>
            </w:tcBorders>
            <w:noWrap/>
            <w:vAlign w:val="bottom"/>
            <w:hideMark/>
          </w:tcPr>
          <w:p w:rsidR="00A64028" w:rsidRPr="00F34DD1" w:rsidRDefault="00A64028" w:rsidP="00103148">
            <w:pPr>
              <w:spacing w:after="0"/>
              <w:jc w:val="center"/>
              <w:rPr>
                <w:rFonts w:ascii="Arial Narrow" w:hAnsi="Arial Narrow" w:cs="Arial"/>
                <w:sz w:val="18"/>
                <w:szCs w:val="18"/>
              </w:rPr>
            </w:pPr>
            <w:r w:rsidRPr="00F34DD1">
              <w:rPr>
                <w:rFonts w:ascii="Arial Narrow" w:hAnsi="Arial Narrow" w:cs="Arial"/>
                <w:sz w:val="18"/>
                <w:szCs w:val="18"/>
              </w:rPr>
              <w:t>67%</w:t>
            </w:r>
          </w:p>
        </w:tc>
        <w:tc>
          <w:tcPr>
            <w:tcW w:w="767" w:type="dxa"/>
            <w:tcBorders>
              <w:top w:val="nil"/>
              <w:left w:val="nil"/>
              <w:bottom w:val="single" w:sz="4" w:space="0" w:color="auto"/>
              <w:right w:val="single" w:sz="4" w:space="0" w:color="auto"/>
            </w:tcBorders>
            <w:noWrap/>
            <w:vAlign w:val="bottom"/>
            <w:hideMark/>
          </w:tcPr>
          <w:p w:rsidR="00A64028" w:rsidRPr="00F34DD1" w:rsidRDefault="00A64028" w:rsidP="00103148">
            <w:pPr>
              <w:spacing w:after="0"/>
              <w:jc w:val="center"/>
              <w:rPr>
                <w:rFonts w:ascii="Arial Narrow" w:hAnsi="Arial Narrow" w:cs="Arial"/>
                <w:sz w:val="18"/>
                <w:szCs w:val="18"/>
              </w:rPr>
            </w:pPr>
            <w:r w:rsidRPr="00F34DD1">
              <w:rPr>
                <w:rFonts w:ascii="Arial Narrow" w:hAnsi="Arial Narrow" w:cs="Arial"/>
                <w:sz w:val="18"/>
                <w:szCs w:val="18"/>
              </w:rPr>
              <w:t>70%</w:t>
            </w:r>
          </w:p>
        </w:tc>
        <w:tc>
          <w:tcPr>
            <w:tcW w:w="426" w:type="dxa"/>
            <w:tcBorders>
              <w:top w:val="nil"/>
              <w:left w:val="nil"/>
              <w:bottom w:val="single" w:sz="4" w:space="0" w:color="auto"/>
              <w:right w:val="single" w:sz="4" w:space="0" w:color="auto"/>
            </w:tcBorders>
            <w:noWrap/>
            <w:vAlign w:val="bottom"/>
            <w:hideMark/>
          </w:tcPr>
          <w:p w:rsidR="00A64028" w:rsidRPr="00F34DD1" w:rsidRDefault="00A64028" w:rsidP="00103148">
            <w:pPr>
              <w:spacing w:after="0"/>
              <w:jc w:val="center"/>
              <w:rPr>
                <w:rFonts w:ascii="Arial Narrow" w:hAnsi="Arial Narrow" w:cs="Arial"/>
                <w:sz w:val="18"/>
                <w:szCs w:val="18"/>
              </w:rPr>
            </w:pPr>
            <w:r w:rsidRPr="00F34DD1">
              <w:rPr>
                <w:rFonts w:ascii="Arial Narrow" w:hAnsi="Arial Narrow" w:cs="Arial"/>
                <w:sz w:val="18"/>
                <w:szCs w:val="18"/>
              </w:rPr>
              <w:t>60%</w:t>
            </w:r>
          </w:p>
        </w:tc>
        <w:tc>
          <w:tcPr>
            <w:tcW w:w="469" w:type="dxa"/>
            <w:tcBorders>
              <w:top w:val="nil"/>
              <w:left w:val="nil"/>
              <w:bottom w:val="single" w:sz="4" w:space="0" w:color="auto"/>
              <w:right w:val="single" w:sz="4" w:space="0" w:color="auto"/>
            </w:tcBorders>
            <w:noWrap/>
            <w:vAlign w:val="bottom"/>
            <w:hideMark/>
          </w:tcPr>
          <w:p w:rsidR="00A64028" w:rsidRPr="00F34DD1" w:rsidRDefault="00A64028" w:rsidP="00103148">
            <w:pPr>
              <w:spacing w:after="0"/>
              <w:jc w:val="center"/>
              <w:rPr>
                <w:rFonts w:ascii="Arial Narrow" w:hAnsi="Arial Narrow" w:cs="Arial"/>
                <w:sz w:val="18"/>
                <w:szCs w:val="18"/>
              </w:rPr>
            </w:pPr>
            <w:r w:rsidRPr="00F34DD1">
              <w:rPr>
                <w:rFonts w:ascii="Arial Narrow" w:hAnsi="Arial Narrow" w:cs="Arial"/>
                <w:sz w:val="18"/>
                <w:szCs w:val="18"/>
              </w:rPr>
              <w:t>68%</w:t>
            </w:r>
          </w:p>
        </w:tc>
        <w:tc>
          <w:tcPr>
            <w:tcW w:w="425" w:type="dxa"/>
            <w:tcBorders>
              <w:top w:val="nil"/>
              <w:left w:val="nil"/>
              <w:bottom w:val="single" w:sz="4" w:space="0" w:color="auto"/>
              <w:right w:val="single" w:sz="4" w:space="0" w:color="auto"/>
            </w:tcBorders>
            <w:noWrap/>
            <w:vAlign w:val="bottom"/>
            <w:hideMark/>
          </w:tcPr>
          <w:p w:rsidR="00A64028" w:rsidRPr="00F34DD1" w:rsidRDefault="00A64028" w:rsidP="00103148">
            <w:pPr>
              <w:spacing w:after="0"/>
              <w:jc w:val="center"/>
              <w:rPr>
                <w:rFonts w:ascii="Arial Narrow" w:hAnsi="Arial Narrow" w:cs="Arial"/>
                <w:sz w:val="18"/>
                <w:szCs w:val="18"/>
              </w:rPr>
            </w:pPr>
            <w:r w:rsidRPr="00F34DD1">
              <w:rPr>
                <w:rFonts w:ascii="Arial Narrow" w:hAnsi="Arial Narrow" w:cs="Arial"/>
                <w:sz w:val="18"/>
                <w:szCs w:val="18"/>
              </w:rPr>
              <w:t>60%</w:t>
            </w:r>
          </w:p>
        </w:tc>
        <w:tc>
          <w:tcPr>
            <w:tcW w:w="859" w:type="dxa"/>
            <w:tcBorders>
              <w:top w:val="nil"/>
              <w:left w:val="nil"/>
              <w:bottom w:val="single" w:sz="4" w:space="0" w:color="auto"/>
              <w:right w:val="single" w:sz="4" w:space="0" w:color="auto"/>
            </w:tcBorders>
            <w:noWrap/>
            <w:vAlign w:val="bottom"/>
            <w:hideMark/>
          </w:tcPr>
          <w:p w:rsidR="00A64028" w:rsidRPr="00F34DD1" w:rsidRDefault="00A64028" w:rsidP="00103148">
            <w:pPr>
              <w:spacing w:after="0"/>
              <w:jc w:val="center"/>
              <w:rPr>
                <w:rFonts w:ascii="Arial Narrow" w:hAnsi="Arial Narrow" w:cs="Arial"/>
                <w:sz w:val="18"/>
                <w:szCs w:val="18"/>
              </w:rPr>
            </w:pPr>
            <w:r w:rsidRPr="00F34DD1">
              <w:rPr>
                <w:rFonts w:ascii="Arial Narrow" w:hAnsi="Arial Narrow" w:cs="Arial"/>
                <w:sz w:val="18"/>
                <w:szCs w:val="18"/>
              </w:rPr>
              <w:t>64%</w:t>
            </w:r>
          </w:p>
        </w:tc>
        <w:tc>
          <w:tcPr>
            <w:tcW w:w="387" w:type="dxa"/>
            <w:tcBorders>
              <w:top w:val="nil"/>
              <w:left w:val="nil"/>
              <w:bottom w:val="single" w:sz="4" w:space="0" w:color="auto"/>
              <w:right w:val="single" w:sz="4" w:space="0" w:color="auto"/>
            </w:tcBorders>
            <w:noWrap/>
            <w:vAlign w:val="bottom"/>
            <w:hideMark/>
          </w:tcPr>
          <w:p w:rsidR="00A64028" w:rsidRPr="00F34DD1" w:rsidRDefault="00A64028" w:rsidP="00103148">
            <w:pPr>
              <w:spacing w:after="0"/>
              <w:jc w:val="center"/>
              <w:rPr>
                <w:rFonts w:ascii="Arial Narrow" w:hAnsi="Arial Narrow" w:cs="Arial"/>
                <w:sz w:val="18"/>
                <w:szCs w:val="18"/>
              </w:rPr>
            </w:pPr>
            <w:r w:rsidRPr="00F34DD1">
              <w:rPr>
                <w:rFonts w:ascii="Arial Narrow" w:hAnsi="Arial Narrow" w:cs="Arial"/>
                <w:sz w:val="18"/>
                <w:szCs w:val="18"/>
              </w:rPr>
              <w:t>48%</w:t>
            </w:r>
          </w:p>
        </w:tc>
        <w:tc>
          <w:tcPr>
            <w:tcW w:w="464" w:type="dxa"/>
            <w:tcBorders>
              <w:top w:val="nil"/>
              <w:left w:val="nil"/>
              <w:bottom w:val="single" w:sz="4" w:space="0" w:color="auto"/>
              <w:right w:val="single" w:sz="4" w:space="0" w:color="auto"/>
            </w:tcBorders>
            <w:noWrap/>
            <w:vAlign w:val="bottom"/>
            <w:hideMark/>
          </w:tcPr>
          <w:p w:rsidR="00A64028" w:rsidRPr="00F34DD1" w:rsidRDefault="00A64028" w:rsidP="00103148">
            <w:pPr>
              <w:spacing w:after="0"/>
              <w:jc w:val="center"/>
              <w:rPr>
                <w:rFonts w:ascii="Arial Narrow" w:hAnsi="Arial Narrow" w:cs="Arial"/>
                <w:sz w:val="18"/>
                <w:szCs w:val="18"/>
              </w:rPr>
            </w:pPr>
            <w:r w:rsidRPr="00F34DD1">
              <w:rPr>
                <w:rFonts w:ascii="Arial Narrow" w:hAnsi="Arial Narrow" w:cs="Arial"/>
                <w:sz w:val="18"/>
                <w:szCs w:val="18"/>
              </w:rPr>
              <w:t>84%</w:t>
            </w:r>
          </w:p>
        </w:tc>
        <w:tc>
          <w:tcPr>
            <w:tcW w:w="563" w:type="dxa"/>
            <w:tcBorders>
              <w:top w:val="nil"/>
              <w:left w:val="nil"/>
              <w:bottom w:val="single" w:sz="4" w:space="0" w:color="auto"/>
              <w:right w:val="single" w:sz="4" w:space="0" w:color="auto"/>
            </w:tcBorders>
            <w:noWrap/>
            <w:vAlign w:val="bottom"/>
            <w:hideMark/>
          </w:tcPr>
          <w:p w:rsidR="00A64028" w:rsidRPr="00F34DD1" w:rsidRDefault="00A64028" w:rsidP="00103148">
            <w:pPr>
              <w:spacing w:after="0"/>
              <w:jc w:val="center"/>
              <w:rPr>
                <w:rFonts w:ascii="Arial Narrow" w:hAnsi="Arial Narrow" w:cs="Arial"/>
                <w:sz w:val="18"/>
                <w:szCs w:val="18"/>
              </w:rPr>
            </w:pPr>
            <w:r w:rsidRPr="00F34DD1">
              <w:rPr>
                <w:rFonts w:ascii="Arial Narrow" w:hAnsi="Arial Narrow" w:cs="Arial"/>
                <w:sz w:val="18"/>
                <w:szCs w:val="18"/>
              </w:rPr>
              <w:t>69%</w:t>
            </w:r>
          </w:p>
        </w:tc>
        <w:tc>
          <w:tcPr>
            <w:tcW w:w="572" w:type="dxa"/>
            <w:tcBorders>
              <w:top w:val="nil"/>
              <w:left w:val="nil"/>
              <w:bottom w:val="single" w:sz="4" w:space="0" w:color="auto"/>
              <w:right w:val="single" w:sz="4" w:space="0" w:color="auto"/>
            </w:tcBorders>
            <w:noWrap/>
            <w:vAlign w:val="bottom"/>
            <w:hideMark/>
          </w:tcPr>
          <w:p w:rsidR="00A64028" w:rsidRPr="00F34DD1" w:rsidRDefault="00A64028" w:rsidP="00103148">
            <w:pPr>
              <w:spacing w:after="0"/>
              <w:jc w:val="center"/>
              <w:rPr>
                <w:rFonts w:ascii="Arial Narrow" w:hAnsi="Arial Narrow" w:cs="Arial"/>
                <w:sz w:val="18"/>
                <w:szCs w:val="18"/>
              </w:rPr>
            </w:pPr>
            <w:r w:rsidRPr="00F34DD1">
              <w:rPr>
                <w:rFonts w:ascii="Arial Narrow" w:hAnsi="Arial Narrow" w:cs="Arial"/>
                <w:sz w:val="18"/>
                <w:szCs w:val="18"/>
              </w:rPr>
              <w:t>70%</w:t>
            </w:r>
          </w:p>
        </w:tc>
        <w:tc>
          <w:tcPr>
            <w:tcW w:w="426" w:type="dxa"/>
            <w:tcBorders>
              <w:top w:val="nil"/>
              <w:left w:val="nil"/>
              <w:bottom w:val="single" w:sz="4" w:space="0" w:color="auto"/>
              <w:right w:val="single" w:sz="4" w:space="0" w:color="auto"/>
            </w:tcBorders>
            <w:noWrap/>
            <w:vAlign w:val="bottom"/>
            <w:hideMark/>
          </w:tcPr>
          <w:p w:rsidR="00A64028" w:rsidRPr="00F34DD1" w:rsidRDefault="00A64028" w:rsidP="00103148">
            <w:pPr>
              <w:spacing w:after="0"/>
              <w:jc w:val="center"/>
              <w:rPr>
                <w:rFonts w:ascii="Arial Narrow" w:hAnsi="Arial Narrow" w:cs="Arial"/>
                <w:sz w:val="18"/>
                <w:szCs w:val="18"/>
              </w:rPr>
            </w:pPr>
            <w:r w:rsidRPr="00F34DD1">
              <w:rPr>
                <w:rFonts w:ascii="Arial Narrow" w:hAnsi="Arial Narrow" w:cs="Arial"/>
                <w:sz w:val="18"/>
                <w:szCs w:val="18"/>
              </w:rPr>
              <w:t>68%</w:t>
            </w:r>
          </w:p>
        </w:tc>
        <w:tc>
          <w:tcPr>
            <w:tcW w:w="425" w:type="dxa"/>
            <w:tcBorders>
              <w:top w:val="nil"/>
              <w:left w:val="nil"/>
              <w:bottom w:val="single" w:sz="4" w:space="0" w:color="auto"/>
              <w:right w:val="single" w:sz="4" w:space="0" w:color="auto"/>
            </w:tcBorders>
            <w:noWrap/>
            <w:vAlign w:val="bottom"/>
            <w:hideMark/>
          </w:tcPr>
          <w:p w:rsidR="00A64028" w:rsidRPr="00F34DD1" w:rsidRDefault="00A64028" w:rsidP="00103148">
            <w:pPr>
              <w:spacing w:after="0"/>
              <w:jc w:val="center"/>
              <w:rPr>
                <w:rFonts w:ascii="Arial Narrow" w:hAnsi="Arial Narrow" w:cs="Arial"/>
                <w:sz w:val="18"/>
                <w:szCs w:val="18"/>
              </w:rPr>
            </w:pPr>
            <w:r w:rsidRPr="00F34DD1">
              <w:rPr>
                <w:rFonts w:ascii="Arial Narrow" w:hAnsi="Arial Narrow" w:cs="Arial"/>
                <w:sz w:val="18"/>
                <w:szCs w:val="18"/>
              </w:rPr>
              <w:t>64%</w:t>
            </w:r>
          </w:p>
        </w:tc>
        <w:tc>
          <w:tcPr>
            <w:tcW w:w="708" w:type="dxa"/>
            <w:tcBorders>
              <w:top w:val="nil"/>
              <w:left w:val="nil"/>
              <w:bottom w:val="single" w:sz="4" w:space="0" w:color="auto"/>
              <w:right w:val="single" w:sz="4" w:space="0" w:color="auto"/>
            </w:tcBorders>
            <w:noWrap/>
            <w:vAlign w:val="bottom"/>
            <w:hideMark/>
          </w:tcPr>
          <w:p w:rsidR="00A64028" w:rsidRPr="00F34DD1" w:rsidRDefault="00A64028" w:rsidP="00103148">
            <w:pPr>
              <w:spacing w:after="0"/>
              <w:jc w:val="center"/>
              <w:rPr>
                <w:rFonts w:ascii="Arial Narrow" w:hAnsi="Arial Narrow" w:cs="Arial"/>
                <w:sz w:val="18"/>
                <w:szCs w:val="18"/>
              </w:rPr>
            </w:pPr>
            <w:r w:rsidRPr="00F34DD1">
              <w:rPr>
                <w:rFonts w:ascii="Arial Narrow" w:hAnsi="Arial Narrow" w:cs="Arial"/>
                <w:sz w:val="18"/>
                <w:szCs w:val="18"/>
              </w:rPr>
              <w:t>71%</w:t>
            </w:r>
          </w:p>
        </w:tc>
        <w:tc>
          <w:tcPr>
            <w:tcW w:w="568" w:type="dxa"/>
            <w:tcBorders>
              <w:top w:val="nil"/>
              <w:left w:val="nil"/>
              <w:bottom w:val="single" w:sz="4" w:space="0" w:color="auto"/>
              <w:right w:val="single" w:sz="4" w:space="0" w:color="auto"/>
            </w:tcBorders>
            <w:noWrap/>
            <w:vAlign w:val="bottom"/>
            <w:hideMark/>
          </w:tcPr>
          <w:p w:rsidR="00A64028" w:rsidRPr="00F34DD1" w:rsidRDefault="00A64028" w:rsidP="00103148">
            <w:pPr>
              <w:spacing w:after="0"/>
              <w:jc w:val="center"/>
              <w:rPr>
                <w:rFonts w:ascii="Arial Narrow" w:hAnsi="Arial Narrow" w:cs="Arial"/>
                <w:sz w:val="18"/>
                <w:szCs w:val="18"/>
              </w:rPr>
            </w:pPr>
            <w:r w:rsidRPr="00F34DD1">
              <w:rPr>
                <w:rFonts w:ascii="Arial Narrow" w:hAnsi="Arial Narrow" w:cs="Arial"/>
                <w:sz w:val="18"/>
                <w:szCs w:val="18"/>
              </w:rPr>
              <w:t>70%</w:t>
            </w:r>
          </w:p>
        </w:tc>
      </w:tr>
    </w:tbl>
    <w:p w:rsidR="00F34DD1" w:rsidRDefault="00F34DD1" w:rsidP="00103148">
      <w:pPr>
        <w:spacing w:after="0" w:line="360" w:lineRule="auto"/>
        <w:ind w:firstLine="284"/>
        <w:jc w:val="both"/>
        <w:rPr>
          <w:rFonts w:ascii="Arial Narrow" w:hAnsi="Arial Narrow" w:cs="Arial"/>
          <w:b/>
          <w:sz w:val="24"/>
          <w:szCs w:val="24"/>
        </w:rPr>
      </w:pPr>
    </w:p>
    <w:p w:rsidR="00A64028" w:rsidRDefault="00A64028" w:rsidP="00103148">
      <w:pPr>
        <w:spacing w:after="0" w:line="360" w:lineRule="auto"/>
        <w:ind w:firstLine="284"/>
        <w:jc w:val="both"/>
        <w:rPr>
          <w:rFonts w:ascii="Arial Narrow" w:hAnsi="Arial Narrow" w:cs="Arial"/>
          <w:b/>
          <w:sz w:val="24"/>
          <w:szCs w:val="24"/>
        </w:rPr>
      </w:pPr>
      <w:r>
        <w:rPr>
          <w:rFonts w:ascii="Arial Narrow" w:hAnsi="Arial Narrow" w:cs="Arial"/>
          <w:b/>
          <w:sz w:val="24"/>
          <w:szCs w:val="24"/>
        </w:rPr>
        <w:t>Значения показателя 3.5. Доля потребителей, удовлетворенных уровнем доступности информации, размещаемой Министерством экономического развития Новосибирской области и органами местного самоуправления в открытом доступе, о деятельности негосударственных организаций, оказывающих услуги/предоставляющих товары на социально значимых и приоритетных рынках (% от числа опрошенных).</w:t>
      </w:r>
    </w:p>
    <w:p w:rsidR="00A64028" w:rsidRDefault="00A64028" w:rsidP="00103148">
      <w:pPr>
        <w:spacing w:after="0" w:line="360" w:lineRule="auto"/>
        <w:ind w:firstLine="284"/>
        <w:jc w:val="both"/>
        <w:rPr>
          <w:rFonts w:ascii="Arial Narrow" w:hAnsi="Arial Narrow" w:cs="Arial"/>
          <w:sz w:val="24"/>
          <w:szCs w:val="24"/>
        </w:rPr>
      </w:pPr>
      <w:r>
        <w:rPr>
          <w:rFonts w:ascii="Arial Narrow" w:hAnsi="Arial Narrow" w:cs="Arial"/>
          <w:sz w:val="24"/>
          <w:szCs w:val="24"/>
        </w:rPr>
        <w:t xml:space="preserve">Среднее значение доли потребителей, удовлетворенных уровнем доступности информации о деятельности негосударственных организаций, оказывающих услуги/предоставляющих товары на социально значимых и приоритетных рынках Новосибирской области, составляет 62 %. Самые высокие значения показателя (70 % и более) зафиксированы для рынка услуг в сфере культуры (77 %), рынка услуг жилищно-коммунального хозяйства (управляющих компаний) (70 %), рынка услуг перевозок пассажиров наземным транспортом (автобусные перевозки и такси) (77 %), рынка услуг связи (78 %), рынка услуг социального обслуживания населения (72 %). В наименьшей степени потребители удовлетворены доступностью информации о деятельности негосударственных предприятий на рынках услуг по сбору, сортировке и переработке твердых коммунальных (бытовых) </w:t>
      </w:r>
      <w:r>
        <w:rPr>
          <w:rFonts w:ascii="Arial Narrow" w:hAnsi="Arial Narrow" w:cs="Arial"/>
          <w:sz w:val="24"/>
          <w:szCs w:val="24"/>
        </w:rPr>
        <w:lastRenderedPageBreak/>
        <w:t>отходов (25 %) и розничной торговли (41 %). Остальные 6 рынков получили оценки, близкие к среднему значению.</w:t>
      </w:r>
    </w:p>
    <w:p w:rsidR="00272625" w:rsidRDefault="00272625" w:rsidP="00103148">
      <w:pPr>
        <w:spacing w:after="0"/>
        <w:rPr>
          <w:rFonts w:ascii="Arial Narrow" w:hAnsi="Arial Narrow" w:cs="Arial"/>
          <w:sz w:val="24"/>
          <w:szCs w:val="24"/>
        </w:rPr>
      </w:pPr>
    </w:p>
    <w:p w:rsidR="00A64028" w:rsidRDefault="00272625" w:rsidP="00103148">
      <w:pPr>
        <w:spacing w:after="0"/>
        <w:rPr>
          <w:rFonts w:ascii="Arial Narrow" w:hAnsi="Arial Narrow" w:cs="Arial"/>
          <w:b/>
          <w:sz w:val="24"/>
          <w:szCs w:val="24"/>
        </w:rPr>
      </w:pPr>
      <w:r>
        <w:rPr>
          <w:rFonts w:ascii="Arial Narrow" w:hAnsi="Arial Narrow" w:cs="Arial"/>
          <w:sz w:val="24"/>
          <w:szCs w:val="24"/>
        </w:rPr>
        <w:t>Таблица 7.47</w:t>
      </w:r>
      <w:r w:rsidR="00262F71">
        <w:rPr>
          <w:rFonts w:ascii="Arial Narrow" w:hAnsi="Arial Narrow" w:cs="Arial"/>
          <w:sz w:val="24"/>
          <w:szCs w:val="24"/>
        </w:rPr>
        <w:t>.</w:t>
      </w:r>
      <w:r w:rsidR="00A64028">
        <w:rPr>
          <w:rFonts w:ascii="Arial Narrow" w:hAnsi="Arial Narrow" w:cs="Arial"/>
          <w:sz w:val="24"/>
          <w:szCs w:val="24"/>
        </w:rPr>
        <w:t xml:space="preserve"> – </w:t>
      </w:r>
      <w:r w:rsidR="00A64028">
        <w:rPr>
          <w:rFonts w:ascii="Arial Narrow" w:hAnsi="Arial Narrow" w:cs="Arial"/>
          <w:b/>
          <w:sz w:val="24"/>
          <w:szCs w:val="24"/>
        </w:rPr>
        <w:t>Значения показателя 3.5. Доля потребителей, удовлетворенных уровнем доступности информации, размещаемой Министерством экономического развития Новосибирской области и органами местного самоуправления в открытом доступе, о деятельности негосударственных организаций, оказывающих услуги/предоставляющих товары на социально значимых и приоритетных рынках (% от числа опрошенных)</w:t>
      </w:r>
    </w:p>
    <w:tbl>
      <w:tblPr>
        <w:tblW w:w="10075" w:type="dxa"/>
        <w:tblInd w:w="-289" w:type="dxa"/>
        <w:tblLayout w:type="fixed"/>
        <w:tblCellMar>
          <w:left w:w="0" w:type="dxa"/>
          <w:right w:w="0" w:type="dxa"/>
        </w:tblCellMar>
        <w:tblLook w:val="04A0"/>
      </w:tblPr>
      <w:tblGrid>
        <w:gridCol w:w="288"/>
        <w:gridCol w:w="2274"/>
        <w:gridCol w:w="850"/>
        <w:gridCol w:w="648"/>
        <w:gridCol w:w="425"/>
        <w:gridCol w:w="426"/>
        <w:gridCol w:w="425"/>
        <w:gridCol w:w="628"/>
        <w:gridCol w:w="81"/>
        <w:gridCol w:w="334"/>
        <w:gridCol w:w="425"/>
        <w:gridCol w:w="567"/>
        <w:gridCol w:w="567"/>
        <w:gridCol w:w="426"/>
        <w:gridCol w:w="567"/>
        <w:gridCol w:w="567"/>
        <w:gridCol w:w="577"/>
      </w:tblGrid>
      <w:tr w:rsidR="00A64028" w:rsidTr="00F34DD1">
        <w:trPr>
          <w:cantSplit/>
          <w:trHeight w:val="2802"/>
        </w:trPr>
        <w:tc>
          <w:tcPr>
            <w:tcW w:w="288" w:type="dxa"/>
            <w:tcBorders>
              <w:top w:val="single" w:sz="4" w:space="0" w:color="auto"/>
              <w:left w:val="single" w:sz="4" w:space="0" w:color="auto"/>
              <w:bottom w:val="single" w:sz="4" w:space="0" w:color="auto"/>
              <w:right w:val="single" w:sz="4" w:space="0" w:color="auto"/>
            </w:tcBorders>
            <w:vAlign w:val="center"/>
            <w:hideMark/>
          </w:tcPr>
          <w:p w:rsidR="00A64028" w:rsidRPr="00F34DD1" w:rsidRDefault="00A64028" w:rsidP="00F34DD1">
            <w:pPr>
              <w:spacing w:after="0" w:line="240" w:lineRule="auto"/>
              <w:jc w:val="center"/>
              <w:rPr>
                <w:rFonts w:ascii="Arial Narrow" w:hAnsi="Arial Narrow" w:cs="Arial"/>
                <w:sz w:val="18"/>
                <w:szCs w:val="18"/>
              </w:rPr>
            </w:pPr>
            <w:r w:rsidRPr="00F34DD1">
              <w:rPr>
                <w:rFonts w:ascii="Arial Narrow" w:hAnsi="Arial Narrow" w:cs="Arial"/>
                <w:sz w:val="18"/>
                <w:szCs w:val="18"/>
              </w:rPr>
              <w:t>№</w:t>
            </w:r>
          </w:p>
        </w:tc>
        <w:tc>
          <w:tcPr>
            <w:tcW w:w="2274" w:type="dxa"/>
            <w:tcBorders>
              <w:top w:val="single" w:sz="4" w:space="0" w:color="auto"/>
              <w:left w:val="nil"/>
              <w:bottom w:val="single" w:sz="4" w:space="0" w:color="auto"/>
              <w:right w:val="single" w:sz="4" w:space="0" w:color="auto"/>
            </w:tcBorders>
            <w:vAlign w:val="center"/>
            <w:hideMark/>
          </w:tcPr>
          <w:p w:rsidR="00A64028" w:rsidRPr="00F34DD1" w:rsidRDefault="00A64028" w:rsidP="00F34DD1">
            <w:pPr>
              <w:spacing w:after="0" w:line="240" w:lineRule="auto"/>
              <w:ind w:left="148"/>
              <w:rPr>
                <w:rFonts w:ascii="Arial Narrow" w:hAnsi="Arial Narrow" w:cs="Arial"/>
                <w:sz w:val="18"/>
                <w:szCs w:val="18"/>
              </w:rPr>
            </w:pPr>
            <w:r w:rsidRPr="00F34DD1">
              <w:rPr>
                <w:rFonts w:ascii="Arial Narrow" w:hAnsi="Arial Narrow" w:cs="Arial"/>
                <w:sz w:val="18"/>
                <w:szCs w:val="18"/>
              </w:rPr>
              <w:t>Наименование показателя, единица измерения</w:t>
            </w:r>
          </w:p>
        </w:tc>
        <w:tc>
          <w:tcPr>
            <w:tcW w:w="850" w:type="dxa"/>
            <w:tcBorders>
              <w:top w:val="single" w:sz="4" w:space="0" w:color="auto"/>
              <w:left w:val="nil"/>
              <w:bottom w:val="single" w:sz="4" w:space="0" w:color="auto"/>
              <w:right w:val="single" w:sz="4" w:space="0" w:color="auto"/>
            </w:tcBorders>
            <w:textDirection w:val="btLr"/>
            <w:vAlign w:val="center"/>
            <w:hideMark/>
          </w:tcPr>
          <w:p w:rsidR="00A64028" w:rsidRPr="00F34DD1" w:rsidRDefault="00A64028" w:rsidP="00F34DD1">
            <w:pPr>
              <w:spacing w:after="0" w:line="240" w:lineRule="auto"/>
              <w:ind w:left="113" w:right="113"/>
              <w:jc w:val="center"/>
              <w:rPr>
                <w:rFonts w:ascii="Arial Narrow" w:hAnsi="Arial Narrow" w:cs="Arial"/>
                <w:sz w:val="18"/>
                <w:szCs w:val="18"/>
              </w:rPr>
            </w:pPr>
            <w:r w:rsidRPr="00F34DD1">
              <w:rPr>
                <w:rFonts w:ascii="Arial Narrow" w:hAnsi="Arial Narrow" w:cs="Arial"/>
                <w:sz w:val="18"/>
                <w:szCs w:val="18"/>
              </w:rPr>
              <w:t>Общий по Новосибирской области</w:t>
            </w:r>
          </w:p>
        </w:tc>
        <w:tc>
          <w:tcPr>
            <w:tcW w:w="648" w:type="dxa"/>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F34DD1">
            <w:pPr>
              <w:spacing w:after="0" w:line="240" w:lineRule="auto"/>
              <w:jc w:val="center"/>
              <w:rPr>
                <w:rFonts w:ascii="Arial Narrow" w:hAnsi="Arial Narrow" w:cs="Arial"/>
                <w:sz w:val="18"/>
                <w:szCs w:val="18"/>
              </w:rPr>
            </w:pPr>
            <w:r w:rsidRPr="00F34DD1">
              <w:rPr>
                <w:rFonts w:ascii="Arial Narrow" w:hAnsi="Arial Narrow" w:cs="Arial"/>
                <w:sz w:val="18"/>
                <w:szCs w:val="18"/>
              </w:rPr>
              <w:t>Рынок услуг дошкольного образования (коммерческие детские сады и учреждения пребывания неполного дня)</w:t>
            </w:r>
          </w:p>
        </w:tc>
        <w:tc>
          <w:tcPr>
            <w:tcW w:w="425" w:type="dxa"/>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F34DD1">
            <w:pPr>
              <w:spacing w:after="0" w:line="240" w:lineRule="auto"/>
              <w:jc w:val="center"/>
              <w:rPr>
                <w:rFonts w:ascii="Arial Narrow" w:hAnsi="Arial Narrow" w:cs="Arial"/>
                <w:sz w:val="18"/>
                <w:szCs w:val="18"/>
              </w:rPr>
            </w:pPr>
            <w:r w:rsidRPr="00F34DD1">
              <w:rPr>
                <w:rFonts w:ascii="Arial Narrow" w:hAnsi="Arial Narrow" w:cs="Arial"/>
                <w:sz w:val="18"/>
                <w:szCs w:val="18"/>
              </w:rPr>
              <w:t>Рынок услуг детского отдыха и оздоровления</w:t>
            </w:r>
          </w:p>
        </w:tc>
        <w:tc>
          <w:tcPr>
            <w:tcW w:w="426" w:type="dxa"/>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F34DD1">
            <w:pPr>
              <w:spacing w:after="0" w:line="240" w:lineRule="auto"/>
              <w:jc w:val="center"/>
              <w:rPr>
                <w:rFonts w:ascii="Arial Narrow" w:hAnsi="Arial Narrow" w:cs="Arial"/>
                <w:sz w:val="18"/>
                <w:szCs w:val="18"/>
              </w:rPr>
            </w:pPr>
            <w:r w:rsidRPr="00F34DD1">
              <w:rPr>
                <w:rFonts w:ascii="Arial Narrow" w:hAnsi="Arial Narrow" w:cs="Arial"/>
                <w:sz w:val="18"/>
                <w:szCs w:val="18"/>
              </w:rPr>
              <w:t>Рынок дополнительного образования детей</w:t>
            </w:r>
          </w:p>
        </w:tc>
        <w:tc>
          <w:tcPr>
            <w:tcW w:w="425" w:type="dxa"/>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F34DD1">
            <w:pPr>
              <w:spacing w:after="0" w:line="240" w:lineRule="auto"/>
              <w:jc w:val="center"/>
              <w:rPr>
                <w:rFonts w:ascii="Arial Narrow" w:hAnsi="Arial Narrow" w:cs="Arial"/>
                <w:sz w:val="18"/>
                <w:szCs w:val="18"/>
              </w:rPr>
            </w:pPr>
            <w:r w:rsidRPr="00F34DD1">
              <w:rPr>
                <w:rFonts w:ascii="Arial Narrow" w:hAnsi="Arial Narrow" w:cs="Arial"/>
                <w:sz w:val="18"/>
                <w:szCs w:val="18"/>
              </w:rPr>
              <w:t>Рынок медицинских услуг</w:t>
            </w:r>
          </w:p>
        </w:tc>
        <w:tc>
          <w:tcPr>
            <w:tcW w:w="709" w:type="dxa"/>
            <w:gridSpan w:val="2"/>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F34DD1">
            <w:pPr>
              <w:spacing w:after="0" w:line="240" w:lineRule="auto"/>
              <w:jc w:val="center"/>
              <w:rPr>
                <w:rFonts w:ascii="Arial Narrow" w:hAnsi="Arial Narrow" w:cs="Arial"/>
                <w:sz w:val="18"/>
                <w:szCs w:val="18"/>
              </w:rPr>
            </w:pPr>
            <w:r w:rsidRPr="00F34DD1">
              <w:rPr>
                <w:rFonts w:ascii="Arial Narrow" w:hAnsi="Arial Narrow" w:cs="Arial"/>
                <w:sz w:val="18"/>
                <w:szCs w:val="18"/>
              </w:rPr>
              <w:t>Рынок услуг психолого-педагогического сопровождения детей с ограниченными возможностями здоровья</w:t>
            </w:r>
          </w:p>
        </w:tc>
        <w:tc>
          <w:tcPr>
            <w:tcW w:w="334" w:type="dxa"/>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F34DD1">
            <w:pPr>
              <w:spacing w:after="0" w:line="240" w:lineRule="auto"/>
              <w:jc w:val="center"/>
              <w:rPr>
                <w:rFonts w:ascii="Arial Narrow" w:hAnsi="Arial Narrow" w:cs="Arial"/>
                <w:sz w:val="18"/>
                <w:szCs w:val="18"/>
              </w:rPr>
            </w:pPr>
            <w:r w:rsidRPr="00F34DD1">
              <w:rPr>
                <w:rFonts w:ascii="Arial Narrow" w:hAnsi="Arial Narrow" w:cs="Arial"/>
                <w:sz w:val="18"/>
                <w:szCs w:val="18"/>
              </w:rPr>
              <w:t>Рынок услуг в сфере культуры</w:t>
            </w:r>
          </w:p>
        </w:tc>
        <w:tc>
          <w:tcPr>
            <w:tcW w:w="425" w:type="dxa"/>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F34DD1">
            <w:pPr>
              <w:spacing w:after="0" w:line="240" w:lineRule="auto"/>
              <w:jc w:val="center"/>
              <w:rPr>
                <w:rFonts w:ascii="Arial Narrow" w:hAnsi="Arial Narrow" w:cs="Arial"/>
                <w:sz w:val="18"/>
                <w:szCs w:val="18"/>
              </w:rPr>
            </w:pPr>
            <w:r w:rsidRPr="00F34DD1">
              <w:rPr>
                <w:rFonts w:ascii="Arial Narrow" w:hAnsi="Arial Narrow" w:cs="Arial"/>
                <w:sz w:val="18"/>
                <w:szCs w:val="18"/>
              </w:rPr>
              <w:t>Рынок услуг ЖКХ (управляющие компании)</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F34DD1">
            <w:pPr>
              <w:spacing w:after="0" w:line="240" w:lineRule="auto"/>
              <w:jc w:val="center"/>
              <w:rPr>
                <w:rFonts w:ascii="Arial Narrow" w:hAnsi="Arial Narrow" w:cs="Arial"/>
                <w:sz w:val="18"/>
                <w:szCs w:val="18"/>
              </w:rPr>
            </w:pPr>
            <w:r w:rsidRPr="00F34DD1">
              <w:rPr>
                <w:rFonts w:ascii="Arial Narrow" w:hAnsi="Arial Narrow" w:cs="Arial"/>
                <w:sz w:val="18"/>
                <w:szCs w:val="18"/>
              </w:rPr>
              <w:t>Розничная торговля (продажа продуктов питания и непродовольственных товаров)</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F34DD1">
            <w:pPr>
              <w:spacing w:after="0" w:line="240" w:lineRule="auto"/>
              <w:jc w:val="center"/>
              <w:rPr>
                <w:rFonts w:ascii="Arial Narrow" w:hAnsi="Arial Narrow" w:cs="Arial"/>
                <w:sz w:val="18"/>
                <w:szCs w:val="18"/>
              </w:rPr>
            </w:pPr>
            <w:r w:rsidRPr="00F34DD1">
              <w:rPr>
                <w:rFonts w:ascii="Arial Narrow" w:hAnsi="Arial Narrow" w:cs="Arial"/>
                <w:sz w:val="18"/>
                <w:szCs w:val="18"/>
              </w:rPr>
              <w:t>Рынок услуг перевозок пассажиров наземным транспортом (автобусные перевозки и такси)</w:t>
            </w:r>
          </w:p>
        </w:tc>
        <w:tc>
          <w:tcPr>
            <w:tcW w:w="426" w:type="dxa"/>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F34DD1">
            <w:pPr>
              <w:spacing w:after="0" w:line="240" w:lineRule="auto"/>
              <w:jc w:val="center"/>
              <w:rPr>
                <w:rFonts w:ascii="Arial Narrow" w:hAnsi="Arial Narrow" w:cs="Arial"/>
                <w:sz w:val="18"/>
                <w:szCs w:val="18"/>
              </w:rPr>
            </w:pPr>
            <w:r w:rsidRPr="00F34DD1">
              <w:rPr>
                <w:rFonts w:ascii="Arial Narrow" w:hAnsi="Arial Narrow" w:cs="Arial"/>
                <w:sz w:val="18"/>
                <w:szCs w:val="18"/>
              </w:rPr>
              <w:t>Рынок услуг связи</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F34DD1">
            <w:pPr>
              <w:spacing w:after="0" w:line="240" w:lineRule="auto"/>
              <w:jc w:val="center"/>
              <w:rPr>
                <w:rFonts w:ascii="Arial Narrow" w:hAnsi="Arial Narrow" w:cs="Arial"/>
                <w:sz w:val="18"/>
                <w:szCs w:val="18"/>
              </w:rPr>
            </w:pPr>
            <w:r w:rsidRPr="00F34DD1">
              <w:rPr>
                <w:rFonts w:ascii="Arial Narrow" w:hAnsi="Arial Narrow" w:cs="Arial"/>
                <w:sz w:val="18"/>
                <w:szCs w:val="18"/>
              </w:rPr>
              <w:t>Рынок услуг социального обслуживания населения</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F34DD1">
            <w:pPr>
              <w:spacing w:after="0" w:line="240" w:lineRule="auto"/>
              <w:jc w:val="center"/>
              <w:rPr>
                <w:rFonts w:ascii="Arial Narrow" w:hAnsi="Arial Narrow" w:cs="Arial"/>
                <w:sz w:val="18"/>
                <w:szCs w:val="18"/>
              </w:rPr>
            </w:pPr>
            <w:r w:rsidRPr="00F34DD1">
              <w:rPr>
                <w:rFonts w:ascii="Arial Narrow" w:hAnsi="Arial Narrow" w:cs="Arial"/>
                <w:sz w:val="18"/>
                <w:szCs w:val="18"/>
              </w:rPr>
              <w:t>Рынок развития, производства, переработки и хранения сельскохозяйственной продукции</w:t>
            </w:r>
          </w:p>
        </w:tc>
        <w:tc>
          <w:tcPr>
            <w:tcW w:w="577" w:type="dxa"/>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F34DD1">
            <w:pPr>
              <w:spacing w:after="0" w:line="240" w:lineRule="auto"/>
              <w:jc w:val="center"/>
              <w:rPr>
                <w:rFonts w:ascii="Arial Narrow" w:hAnsi="Arial Narrow" w:cs="Arial"/>
                <w:sz w:val="18"/>
                <w:szCs w:val="18"/>
              </w:rPr>
            </w:pPr>
            <w:r w:rsidRPr="00F34DD1">
              <w:rPr>
                <w:rFonts w:ascii="Arial Narrow" w:hAnsi="Arial Narrow" w:cs="Arial"/>
                <w:sz w:val="18"/>
                <w:szCs w:val="18"/>
              </w:rPr>
              <w:t>Рынок услуг по сбору, сортировке и переработке твердых коммунальных (бытовых) отходов</w:t>
            </w:r>
          </w:p>
        </w:tc>
      </w:tr>
      <w:tr w:rsidR="00A64028" w:rsidTr="00F34DD1">
        <w:tc>
          <w:tcPr>
            <w:tcW w:w="288" w:type="dxa"/>
            <w:tcBorders>
              <w:top w:val="nil"/>
              <w:left w:val="single" w:sz="4" w:space="0" w:color="auto"/>
              <w:bottom w:val="single" w:sz="4" w:space="0" w:color="auto"/>
              <w:right w:val="single" w:sz="4" w:space="0" w:color="auto"/>
            </w:tcBorders>
            <w:vAlign w:val="center"/>
            <w:hideMark/>
          </w:tcPr>
          <w:p w:rsidR="00A64028" w:rsidRDefault="00A64028" w:rsidP="00103148">
            <w:pPr>
              <w:spacing w:after="0"/>
              <w:jc w:val="center"/>
              <w:rPr>
                <w:rFonts w:ascii="Arial Narrow" w:hAnsi="Arial Narrow" w:cs="Arial"/>
                <w:b/>
                <w:bCs/>
                <w:sz w:val="20"/>
                <w:szCs w:val="20"/>
              </w:rPr>
            </w:pPr>
            <w:r>
              <w:rPr>
                <w:rFonts w:ascii="Arial Narrow" w:hAnsi="Arial Narrow" w:cs="Arial"/>
                <w:b/>
                <w:bCs/>
                <w:sz w:val="20"/>
                <w:szCs w:val="20"/>
              </w:rPr>
              <w:t>3.</w:t>
            </w:r>
          </w:p>
        </w:tc>
        <w:tc>
          <w:tcPr>
            <w:tcW w:w="9787" w:type="dxa"/>
            <w:gridSpan w:val="16"/>
            <w:tcBorders>
              <w:top w:val="single" w:sz="4" w:space="0" w:color="auto"/>
              <w:left w:val="nil"/>
              <w:bottom w:val="single" w:sz="4" w:space="0" w:color="auto"/>
              <w:right w:val="single" w:sz="4" w:space="0" w:color="000000"/>
            </w:tcBorders>
            <w:vAlign w:val="center"/>
            <w:hideMark/>
          </w:tcPr>
          <w:p w:rsidR="00A64028" w:rsidRPr="00F34DD1" w:rsidRDefault="00A64028" w:rsidP="00272625">
            <w:pPr>
              <w:spacing w:after="0" w:line="240" w:lineRule="auto"/>
              <w:ind w:left="147"/>
              <w:rPr>
                <w:rFonts w:ascii="Arial Narrow" w:hAnsi="Arial Narrow" w:cs="Arial"/>
                <w:b/>
                <w:bCs/>
                <w:sz w:val="18"/>
                <w:szCs w:val="18"/>
              </w:rPr>
            </w:pPr>
            <w:r w:rsidRPr="00F34DD1">
              <w:rPr>
                <w:rFonts w:ascii="Arial Narrow" w:hAnsi="Arial Narrow" w:cs="Arial"/>
                <w:b/>
                <w:bCs/>
                <w:sz w:val="18"/>
                <w:szCs w:val="18"/>
              </w:rPr>
              <w:t>Мониторинг удовлетворенности субъектов предпринимательской деятельности и потребителей товаров, работ и услуг качеством официальной информации о состоянии конкурентной среды на рынках товаров, работ и услуг и деятельности по содействию развитию конкуренции в Новосибирской области, размещаемой уполномоченным органом и муниципальными образованиями</w:t>
            </w:r>
          </w:p>
        </w:tc>
      </w:tr>
      <w:tr w:rsidR="00A64028" w:rsidTr="00F34DD1">
        <w:tc>
          <w:tcPr>
            <w:tcW w:w="288" w:type="dxa"/>
            <w:tcBorders>
              <w:top w:val="nil"/>
              <w:left w:val="single" w:sz="4" w:space="0" w:color="auto"/>
              <w:bottom w:val="single" w:sz="4" w:space="0" w:color="auto"/>
              <w:right w:val="single" w:sz="4" w:space="0" w:color="auto"/>
            </w:tcBorders>
            <w:vAlign w:val="center"/>
            <w:hideMark/>
          </w:tcPr>
          <w:p w:rsidR="00A64028" w:rsidRDefault="00A64028" w:rsidP="00103148">
            <w:pPr>
              <w:spacing w:after="0"/>
              <w:jc w:val="center"/>
              <w:rPr>
                <w:rFonts w:ascii="Arial Narrow" w:hAnsi="Arial Narrow" w:cs="Arial"/>
                <w:sz w:val="20"/>
                <w:szCs w:val="20"/>
              </w:rPr>
            </w:pPr>
            <w:r>
              <w:rPr>
                <w:rFonts w:ascii="Arial Narrow" w:hAnsi="Arial Narrow" w:cs="Arial"/>
                <w:sz w:val="20"/>
                <w:szCs w:val="20"/>
              </w:rPr>
              <w:t>3.5.</w:t>
            </w:r>
          </w:p>
        </w:tc>
        <w:tc>
          <w:tcPr>
            <w:tcW w:w="2274" w:type="dxa"/>
            <w:tcBorders>
              <w:top w:val="nil"/>
              <w:left w:val="nil"/>
              <w:bottom w:val="single" w:sz="4" w:space="0" w:color="auto"/>
              <w:right w:val="single" w:sz="4" w:space="0" w:color="auto"/>
            </w:tcBorders>
            <w:vAlign w:val="center"/>
            <w:hideMark/>
          </w:tcPr>
          <w:p w:rsidR="00A64028" w:rsidRPr="00F34DD1" w:rsidRDefault="00A64028" w:rsidP="00103148">
            <w:pPr>
              <w:spacing w:after="0"/>
              <w:ind w:left="148" w:right="142"/>
              <w:rPr>
                <w:rFonts w:ascii="Arial Narrow" w:hAnsi="Arial Narrow" w:cs="Arial"/>
                <w:sz w:val="18"/>
                <w:szCs w:val="18"/>
              </w:rPr>
            </w:pPr>
            <w:r w:rsidRPr="00F34DD1">
              <w:rPr>
                <w:rFonts w:ascii="Arial Narrow" w:hAnsi="Arial Narrow" w:cs="Arial"/>
                <w:sz w:val="18"/>
                <w:szCs w:val="18"/>
              </w:rPr>
              <w:t>Доля потребителей, удовлетворенных уровнем доступности информации, размещаемой Министерством экономического развития Новосибирской области и органами местного самоуправления в открытом доступе, о деятельности негосударственных организаций, оказывающих услуги/предоставляющих товары на социально значимых и приоритетных рынках (% от числа опрошенных)</w:t>
            </w:r>
          </w:p>
        </w:tc>
        <w:tc>
          <w:tcPr>
            <w:tcW w:w="850" w:type="dxa"/>
            <w:tcBorders>
              <w:top w:val="nil"/>
              <w:left w:val="nil"/>
              <w:bottom w:val="single" w:sz="4" w:space="0" w:color="auto"/>
              <w:right w:val="single" w:sz="4" w:space="0" w:color="auto"/>
            </w:tcBorders>
            <w:noWrap/>
            <w:vAlign w:val="center"/>
            <w:hideMark/>
          </w:tcPr>
          <w:p w:rsidR="00A64028" w:rsidRDefault="00A64028" w:rsidP="00103148">
            <w:pPr>
              <w:spacing w:after="0"/>
              <w:jc w:val="center"/>
              <w:rPr>
                <w:rFonts w:ascii="Arial Narrow" w:hAnsi="Arial Narrow" w:cs="Arial"/>
                <w:sz w:val="20"/>
                <w:szCs w:val="20"/>
              </w:rPr>
            </w:pPr>
            <w:r>
              <w:rPr>
                <w:rFonts w:ascii="Arial Narrow" w:hAnsi="Arial Narrow" w:cs="Arial"/>
                <w:sz w:val="20"/>
                <w:szCs w:val="20"/>
              </w:rPr>
              <w:t>62%</w:t>
            </w:r>
          </w:p>
        </w:tc>
        <w:tc>
          <w:tcPr>
            <w:tcW w:w="648" w:type="dxa"/>
            <w:tcBorders>
              <w:top w:val="nil"/>
              <w:left w:val="nil"/>
              <w:bottom w:val="single" w:sz="4" w:space="0" w:color="auto"/>
              <w:right w:val="single" w:sz="4" w:space="0" w:color="auto"/>
            </w:tcBorders>
            <w:noWrap/>
            <w:vAlign w:val="center"/>
            <w:hideMark/>
          </w:tcPr>
          <w:p w:rsidR="00A64028" w:rsidRDefault="00A64028" w:rsidP="00103148">
            <w:pPr>
              <w:spacing w:after="0"/>
              <w:jc w:val="center"/>
              <w:rPr>
                <w:rFonts w:ascii="Arial Narrow" w:hAnsi="Arial Narrow" w:cs="Arial"/>
                <w:sz w:val="20"/>
                <w:szCs w:val="20"/>
              </w:rPr>
            </w:pPr>
            <w:r>
              <w:rPr>
                <w:rFonts w:ascii="Arial Narrow" w:hAnsi="Arial Narrow" w:cs="Arial"/>
                <w:sz w:val="20"/>
                <w:szCs w:val="20"/>
              </w:rPr>
              <w:t>60%</w:t>
            </w:r>
          </w:p>
        </w:tc>
        <w:tc>
          <w:tcPr>
            <w:tcW w:w="425" w:type="dxa"/>
            <w:tcBorders>
              <w:top w:val="nil"/>
              <w:left w:val="nil"/>
              <w:bottom w:val="single" w:sz="4" w:space="0" w:color="auto"/>
              <w:right w:val="single" w:sz="4" w:space="0" w:color="auto"/>
            </w:tcBorders>
            <w:noWrap/>
            <w:vAlign w:val="center"/>
            <w:hideMark/>
          </w:tcPr>
          <w:p w:rsidR="00A64028" w:rsidRDefault="00A64028" w:rsidP="00103148">
            <w:pPr>
              <w:spacing w:after="0"/>
              <w:jc w:val="center"/>
              <w:rPr>
                <w:rFonts w:ascii="Arial Narrow" w:hAnsi="Arial Narrow" w:cs="Arial"/>
                <w:sz w:val="20"/>
                <w:szCs w:val="20"/>
              </w:rPr>
            </w:pPr>
            <w:r>
              <w:rPr>
                <w:rFonts w:ascii="Arial Narrow" w:hAnsi="Arial Narrow" w:cs="Arial"/>
                <w:sz w:val="20"/>
                <w:szCs w:val="20"/>
              </w:rPr>
              <w:t>59%</w:t>
            </w:r>
          </w:p>
        </w:tc>
        <w:tc>
          <w:tcPr>
            <w:tcW w:w="426" w:type="dxa"/>
            <w:tcBorders>
              <w:top w:val="nil"/>
              <w:left w:val="nil"/>
              <w:bottom w:val="single" w:sz="4" w:space="0" w:color="auto"/>
              <w:right w:val="single" w:sz="4" w:space="0" w:color="auto"/>
            </w:tcBorders>
            <w:noWrap/>
            <w:vAlign w:val="center"/>
            <w:hideMark/>
          </w:tcPr>
          <w:p w:rsidR="00A64028" w:rsidRDefault="00A64028" w:rsidP="00103148">
            <w:pPr>
              <w:spacing w:after="0"/>
              <w:jc w:val="center"/>
              <w:rPr>
                <w:rFonts w:ascii="Arial Narrow" w:hAnsi="Arial Narrow" w:cs="Arial"/>
                <w:sz w:val="20"/>
                <w:szCs w:val="20"/>
              </w:rPr>
            </w:pPr>
            <w:r>
              <w:rPr>
                <w:rFonts w:ascii="Arial Narrow" w:hAnsi="Arial Narrow" w:cs="Arial"/>
                <w:sz w:val="20"/>
                <w:szCs w:val="20"/>
              </w:rPr>
              <w:t>61%</w:t>
            </w:r>
          </w:p>
        </w:tc>
        <w:tc>
          <w:tcPr>
            <w:tcW w:w="425" w:type="dxa"/>
            <w:tcBorders>
              <w:top w:val="nil"/>
              <w:left w:val="nil"/>
              <w:bottom w:val="single" w:sz="4" w:space="0" w:color="auto"/>
              <w:right w:val="single" w:sz="4" w:space="0" w:color="auto"/>
            </w:tcBorders>
            <w:noWrap/>
            <w:vAlign w:val="center"/>
            <w:hideMark/>
          </w:tcPr>
          <w:p w:rsidR="00A64028" w:rsidRDefault="00A64028" w:rsidP="00103148">
            <w:pPr>
              <w:spacing w:after="0"/>
              <w:jc w:val="center"/>
              <w:rPr>
                <w:rFonts w:ascii="Arial Narrow" w:hAnsi="Arial Narrow" w:cs="Arial"/>
                <w:sz w:val="20"/>
                <w:szCs w:val="20"/>
              </w:rPr>
            </w:pPr>
            <w:r>
              <w:rPr>
                <w:rFonts w:ascii="Arial Narrow" w:hAnsi="Arial Narrow" w:cs="Arial"/>
                <w:sz w:val="20"/>
                <w:szCs w:val="20"/>
              </w:rPr>
              <w:t>64%</w:t>
            </w:r>
          </w:p>
        </w:tc>
        <w:tc>
          <w:tcPr>
            <w:tcW w:w="628" w:type="dxa"/>
            <w:tcBorders>
              <w:top w:val="nil"/>
              <w:left w:val="nil"/>
              <w:bottom w:val="single" w:sz="4" w:space="0" w:color="auto"/>
              <w:right w:val="single" w:sz="4" w:space="0" w:color="auto"/>
            </w:tcBorders>
            <w:noWrap/>
            <w:vAlign w:val="center"/>
            <w:hideMark/>
          </w:tcPr>
          <w:p w:rsidR="00A64028" w:rsidRDefault="00A64028" w:rsidP="00103148">
            <w:pPr>
              <w:spacing w:after="0"/>
              <w:jc w:val="center"/>
              <w:rPr>
                <w:rFonts w:ascii="Arial Narrow" w:hAnsi="Arial Narrow" w:cs="Arial"/>
                <w:sz w:val="20"/>
                <w:szCs w:val="20"/>
              </w:rPr>
            </w:pPr>
            <w:r>
              <w:rPr>
                <w:rFonts w:ascii="Arial Narrow" w:hAnsi="Arial Narrow" w:cs="Arial"/>
                <w:sz w:val="20"/>
                <w:szCs w:val="20"/>
              </w:rPr>
              <w:t>52%</w:t>
            </w:r>
          </w:p>
        </w:tc>
        <w:tc>
          <w:tcPr>
            <w:tcW w:w="415" w:type="dxa"/>
            <w:gridSpan w:val="2"/>
            <w:tcBorders>
              <w:top w:val="nil"/>
              <w:left w:val="nil"/>
              <w:bottom w:val="single" w:sz="4" w:space="0" w:color="auto"/>
              <w:right w:val="single" w:sz="4" w:space="0" w:color="auto"/>
            </w:tcBorders>
            <w:noWrap/>
            <w:vAlign w:val="center"/>
            <w:hideMark/>
          </w:tcPr>
          <w:p w:rsidR="00A64028" w:rsidRDefault="00A64028" w:rsidP="00103148">
            <w:pPr>
              <w:spacing w:after="0"/>
              <w:jc w:val="center"/>
              <w:rPr>
                <w:rFonts w:ascii="Arial Narrow" w:hAnsi="Arial Narrow" w:cs="Arial"/>
                <w:sz w:val="20"/>
                <w:szCs w:val="20"/>
              </w:rPr>
            </w:pPr>
            <w:r>
              <w:rPr>
                <w:rFonts w:ascii="Arial Narrow" w:hAnsi="Arial Narrow" w:cs="Arial"/>
                <w:sz w:val="20"/>
                <w:szCs w:val="20"/>
              </w:rPr>
              <w:t>77%</w:t>
            </w:r>
          </w:p>
        </w:tc>
        <w:tc>
          <w:tcPr>
            <w:tcW w:w="425" w:type="dxa"/>
            <w:tcBorders>
              <w:top w:val="nil"/>
              <w:left w:val="nil"/>
              <w:bottom w:val="single" w:sz="4" w:space="0" w:color="auto"/>
              <w:right w:val="single" w:sz="4" w:space="0" w:color="auto"/>
            </w:tcBorders>
            <w:noWrap/>
            <w:vAlign w:val="center"/>
            <w:hideMark/>
          </w:tcPr>
          <w:p w:rsidR="00A64028" w:rsidRDefault="00A64028" w:rsidP="00103148">
            <w:pPr>
              <w:spacing w:after="0"/>
              <w:jc w:val="center"/>
              <w:rPr>
                <w:rFonts w:ascii="Arial Narrow" w:hAnsi="Arial Narrow" w:cs="Arial"/>
                <w:sz w:val="20"/>
                <w:szCs w:val="20"/>
              </w:rPr>
            </w:pPr>
            <w:r>
              <w:rPr>
                <w:rFonts w:ascii="Arial Narrow" w:hAnsi="Arial Narrow" w:cs="Arial"/>
                <w:sz w:val="20"/>
                <w:szCs w:val="20"/>
              </w:rPr>
              <w:t>70%</w:t>
            </w:r>
          </w:p>
        </w:tc>
        <w:tc>
          <w:tcPr>
            <w:tcW w:w="567" w:type="dxa"/>
            <w:tcBorders>
              <w:top w:val="nil"/>
              <w:left w:val="nil"/>
              <w:bottom w:val="single" w:sz="4" w:space="0" w:color="auto"/>
              <w:right w:val="single" w:sz="4" w:space="0" w:color="auto"/>
            </w:tcBorders>
            <w:noWrap/>
            <w:vAlign w:val="center"/>
            <w:hideMark/>
          </w:tcPr>
          <w:p w:rsidR="00A64028" w:rsidRDefault="00A64028" w:rsidP="00103148">
            <w:pPr>
              <w:spacing w:after="0"/>
              <w:jc w:val="center"/>
              <w:rPr>
                <w:rFonts w:ascii="Arial Narrow" w:hAnsi="Arial Narrow" w:cs="Arial"/>
                <w:sz w:val="20"/>
                <w:szCs w:val="20"/>
              </w:rPr>
            </w:pPr>
            <w:r>
              <w:rPr>
                <w:rFonts w:ascii="Arial Narrow" w:hAnsi="Arial Narrow" w:cs="Arial"/>
                <w:sz w:val="20"/>
                <w:szCs w:val="20"/>
              </w:rPr>
              <w:t>41%</w:t>
            </w:r>
          </w:p>
        </w:tc>
        <w:tc>
          <w:tcPr>
            <w:tcW w:w="567" w:type="dxa"/>
            <w:tcBorders>
              <w:top w:val="nil"/>
              <w:left w:val="nil"/>
              <w:bottom w:val="single" w:sz="4" w:space="0" w:color="auto"/>
              <w:right w:val="single" w:sz="4" w:space="0" w:color="auto"/>
            </w:tcBorders>
            <w:noWrap/>
            <w:vAlign w:val="center"/>
            <w:hideMark/>
          </w:tcPr>
          <w:p w:rsidR="00A64028" w:rsidRDefault="00A64028" w:rsidP="00103148">
            <w:pPr>
              <w:spacing w:after="0"/>
              <w:jc w:val="center"/>
              <w:rPr>
                <w:rFonts w:ascii="Arial Narrow" w:hAnsi="Arial Narrow" w:cs="Arial"/>
                <w:sz w:val="20"/>
                <w:szCs w:val="20"/>
              </w:rPr>
            </w:pPr>
            <w:r>
              <w:rPr>
                <w:rFonts w:ascii="Arial Narrow" w:hAnsi="Arial Narrow" w:cs="Arial"/>
                <w:sz w:val="20"/>
                <w:szCs w:val="20"/>
              </w:rPr>
              <w:t>77%</w:t>
            </w:r>
          </w:p>
        </w:tc>
        <w:tc>
          <w:tcPr>
            <w:tcW w:w="426" w:type="dxa"/>
            <w:tcBorders>
              <w:top w:val="nil"/>
              <w:left w:val="nil"/>
              <w:bottom w:val="single" w:sz="4" w:space="0" w:color="auto"/>
              <w:right w:val="single" w:sz="4" w:space="0" w:color="auto"/>
            </w:tcBorders>
            <w:noWrap/>
            <w:vAlign w:val="center"/>
            <w:hideMark/>
          </w:tcPr>
          <w:p w:rsidR="00A64028" w:rsidRDefault="00A64028" w:rsidP="00103148">
            <w:pPr>
              <w:spacing w:after="0"/>
              <w:jc w:val="center"/>
              <w:rPr>
                <w:rFonts w:ascii="Arial Narrow" w:hAnsi="Arial Narrow" w:cs="Arial"/>
                <w:sz w:val="20"/>
                <w:szCs w:val="20"/>
              </w:rPr>
            </w:pPr>
            <w:r>
              <w:rPr>
                <w:rFonts w:ascii="Arial Narrow" w:hAnsi="Arial Narrow" w:cs="Arial"/>
                <w:sz w:val="20"/>
                <w:szCs w:val="20"/>
              </w:rPr>
              <w:t>78%</w:t>
            </w:r>
          </w:p>
        </w:tc>
        <w:tc>
          <w:tcPr>
            <w:tcW w:w="567" w:type="dxa"/>
            <w:tcBorders>
              <w:top w:val="nil"/>
              <w:left w:val="nil"/>
              <w:bottom w:val="single" w:sz="4" w:space="0" w:color="auto"/>
              <w:right w:val="single" w:sz="4" w:space="0" w:color="auto"/>
            </w:tcBorders>
            <w:noWrap/>
            <w:vAlign w:val="center"/>
            <w:hideMark/>
          </w:tcPr>
          <w:p w:rsidR="00A64028" w:rsidRDefault="00A64028" w:rsidP="00103148">
            <w:pPr>
              <w:spacing w:after="0"/>
              <w:jc w:val="center"/>
              <w:rPr>
                <w:rFonts w:ascii="Arial Narrow" w:hAnsi="Arial Narrow" w:cs="Arial"/>
                <w:sz w:val="20"/>
                <w:szCs w:val="20"/>
              </w:rPr>
            </w:pPr>
            <w:r>
              <w:rPr>
                <w:rFonts w:ascii="Arial Narrow" w:hAnsi="Arial Narrow" w:cs="Arial"/>
                <w:sz w:val="20"/>
                <w:szCs w:val="20"/>
              </w:rPr>
              <w:t>72%</w:t>
            </w:r>
          </w:p>
        </w:tc>
        <w:tc>
          <w:tcPr>
            <w:tcW w:w="567" w:type="dxa"/>
            <w:tcBorders>
              <w:top w:val="nil"/>
              <w:left w:val="nil"/>
              <w:bottom w:val="single" w:sz="4" w:space="0" w:color="auto"/>
              <w:right w:val="single" w:sz="4" w:space="0" w:color="auto"/>
            </w:tcBorders>
            <w:noWrap/>
            <w:vAlign w:val="center"/>
            <w:hideMark/>
          </w:tcPr>
          <w:p w:rsidR="00A64028" w:rsidRDefault="00A64028" w:rsidP="00103148">
            <w:pPr>
              <w:spacing w:after="0"/>
              <w:jc w:val="center"/>
              <w:rPr>
                <w:rFonts w:ascii="Arial Narrow" w:hAnsi="Arial Narrow" w:cs="Arial"/>
                <w:sz w:val="20"/>
                <w:szCs w:val="20"/>
              </w:rPr>
            </w:pPr>
            <w:r>
              <w:rPr>
                <w:rFonts w:ascii="Arial Narrow" w:hAnsi="Arial Narrow" w:cs="Arial"/>
                <w:sz w:val="20"/>
                <w:szCs w:val="20"/>
              </w:rPr>
              <w:t>68%</w:t>
            </w:r>
          </w:p>
        </w:tc>
        <w:tc>
          <w:tcPr>
            <w:tcW w:w="577" w:type="dxa"/>
            <w:tcBorders>
              <w:top w:val="nil"/>
              <w:left w:val="nil"/>
              <w:bottom w:val="single" w:sz="4" w:space="0" w:color="auto"/>
              <w:right w:val="single" w:sz="4" w:space="0" w:color="auto"/>
            </w:tcBorders>
            <w:noWrap/>
            <w:vAlign w:val="center"/>
            <w:hideMark/>
          </w:tcPr>
          <w:p w:rsidR="00A64028" w:rsidRDefault="00A64028" w:rsidP="00103148">
            <w:pPr>
              <w:spacing w:after="0"/>
              <w:jc w:val="center"/>
              <w:rPr>
                <w:rFonts w:ascii="Arial Narrow" w:hAnsi="Arial Narrow" w:cs="Arial"/>
                <w:sz w:val="20"/>
                <w:szCs w:val="20"/>
              </w:rPr>
            </w:pPr>
            <w:r>
              <w:rPr>
                <w:rFonts w:ascii="Arial Narrow" w:hAnsi="Arial Narrow" w:cs="Arial"/>
                <w:sz w:val="20"/>
                <w:szCs w:val="20"/>
              </w:rPr>
              <w:t>25%</w:t>
            </w:r>
          </w:p>
        </w:tc>
      </w:tr>
    </w:tbl>
    <w:p w:rsidR="00F34DD1" w:rsidRDefault="00F34DD1" w:rsidP="00103148">
      <w:pPr>
        <w:spacing w:after="0" w:line="360" w:lineRule="auto"/>
        <w:ind w:firstLine="284"/>
        <w:jc w:val="both"/>
        <w:rPr>
          <w:rFonts w:ascii="Arial Narrow" w:hAnsi="Arial Narrow" w:cs="Arial"/>
          <w:b/>
          <w:sz w:val="24"/>
          <w:szCs w:val="24"/>
        </w:rPr>
      </w:pPr>
    </w:p>
    <w:p w:rsidR="00A64028" w:rsidRDefault="00A64028" w:rsidP="00103148">
      <w:pPr>
        <w:spacing w:after="0" w:line="360" w:lineRule="auto"/>
        <w:ind w:firstLine="284"/>
        <w:jc w:val="both"/>
        <w:rPr>
          <w:rFonts w:ascii="Arial Narrow" w:hAnsi="Arial Narrow" w:cs="Arial"/>
          <w:b/>
          <w:sz w:val="24"/>
          <w:szCs w:val="24"/>
        </w:rPr>
      </w:pPr>
      <w:r>
        <w:rPr>
          <w:rFonts w:ascii="Arial Narrow" w:hAnsi="Arial Narrow" w:cs="Arial"/>
          <w:b/>
          <w:sz w:val="24"/>
          <w:szCs w:val="24"/>
        </w:rPr>
        <w:t>Значения показателя 3.6. Доля потребителей, удовлетворенных уровнем понятности информации, размещаемой Министерством экономического развития Новосибирской области и органами местного самоуправления в открытом доступе, о деятельности негосударственных организаций, оказывающих услуги/предоставляющих товары на социально значимых и приоритетных рынках (% от числа опрошенных).</w:t>
      </w:r>
    </w:p>
    <w:p w:rsidR="00A64028" w:rsidRDefault="00A64028" w:rsidP="00103148">
      <w:pPr>
        <w:spacing w:after="0" w:line="360" w:lineRule="auto"/>
        <w:ind w:firstLine="284"/>
        <w:jc w:val="both"/>
        <w:rPr>
          <w:rFonts w:ascii="Arial Narrow" w:hAnsi="Arial Narrow" w:cs="Arial"/>
          <w:sz w:val="24"/>
          <w:szCs w:val="24"/>
        </w:rPr>
      </w:pPr>
      <w:r>
        <w:rPr>
          <w:rFonts w:ascii="Arial Narrow" w:hAnsi="Arial Narrow" w:cs="Arial"/>
          <w:sz w:val="24"/>
          <w:szCs w:val="24"/>
        </w:rPr>
        <w:t xml:space="preserve">Среднее значение доли потребителей, удовлетворенных уровнем понятности информации о деятельности негосударственных организаций, оказывающих услуги/предоставляющих товары на социально значимых и приоритетных рынках Новосибирской области, составляет 69 %. Самые высокие значения показателя (75 % и более) зафиксированы для рынка услуг перевозок пассажиров </w:t>
      </w:r>
      <w:r>
        <w:rPr>
          <w:rFonts w:ascii="Arial Narrow" w:hAnsi="Arial Narrow" w:cs="Arial"/>
          <w:sz w:val="24"/>
          <w:szCs w:val="24"/>
        </w:rPr>
        <w:lastRenderedPageBreak/>
        <w:t>наземным транспортом (автобусные перевозки и такси) (81 %), рынка услуг связи (81 %), услуг в сфере культуры (79 %), рынка развития, производства, переработки и хранения сельскохозяйственной продукции (79 %), рынка услуг социального обслуживания населения (75 %). В наименьшей степени потребители удовлетворены доступностью информации о деятельности негосударственных предприятий на рынках услуг по сбору, сортировке и переработке твердых коммунальных (бытовых) отходов (44 %) и услуг психолого-педагогического сопровождения детей с ограниченными возможностями здоровья (57 %). Остальные 6 рынков получили оценки, близкие к среднему значению.</w:t>
      </w:r>
    </w:p>
    <w:p w:rsidR="00272625" w:rsidRDefault="00272625" w:rsidP="00103148">
      <w:pPr>
        <w:spacing w:after="0"/>
        <w:rPr>
          <w:rFonts w:ascii="Arial Narrow" w:hAnsi="Arial Narrow" w:cs="Arial"/>
          <w:sz w:val="24"/>
          <w:szCs w:val="24"/>
        </w:rPr>
      </w:pPr>
    </w:p>
    <w:p w:rsidR="00A64028" w:rsidRPr="00272625" w:rsidRDefault="00272625" w:rsidP="00272625">
      <w:pPr>
        <w:spacing w:after="0" w:line="240" w:lineRule="auto"/>
        <w:rPr>
          <w:rFonts w:ascii="Arial Narrow" w:hAnsi="Arial Narrow" w:cs="Arial"/>
          <w:b/>
        </w:rPr>
      </w:pPr>
      <w:r>
        <w:rPr>
          <w:rFonts w:ascii="Arial Narrow" w:hAnsi="Arial Narrow" w:cs="Arial"/>
        </w:rPr>
        <w:t>Таблица 7.48</w:t>
      </w:r>
      <w:r w:rsidR="00262F71" w:rsidRPr="00272625">
        <w:rPr>
          <w:rFonts w:ascii="Arial Narrow" w:hAnsi="Arial Narrow" w:cs="Arial"/>
        </w:rPr>
        <w:t>.</w:t>
      </w:r>
      <w:r w:rsidR="00A64028" w:rsidRPr="00272625">
        <w:rPr>
          <w:rFonts w:ascii="Arial Narrow" w:hAnsi="Arial Narrow" w:cs="Arial"/>
        </w:rPr>
        <w:t xml:space="preserve"> – </w:t>
      </w:r>
      <w:r w:rsidR="00A64028" w:rsidRPr="00272625">
        <w:rPr>
          <w:rFonts w:ascii="Arial Narrow" w:hAnsi="Arial Narrow" w:cs="Arial"/>
          <w:b/>
        </w:rPr>
        <w:t>Значения показателя 3.6. Доля потребителей, удовлетворенных уровнем понятности информации, размещаемой Министерством экономического развития Новосибирской области и органами местного самоуправления в открытом доступе, о деятельности негосударственных организаций, оказывающих услуги/предоставляющих товары на социально значимых и приоритетных рынках (% от числа опрошенных)</w:t>
      </w:r>
    </w:p>
    <w:tbl>
      <w:tblPr>
        <w:tblW w:w="10020" w:type="dxa"/>
        <w:tblInd w:w="-289" w:type="dxa"/>
        <w:tblLayout w:type="fixed"/>
        <w:tblCellMar>
          <w:left w:w="0" w:type="dxa"/>
          <w:right w:w="0" w:type="dxa"/>
        </w:tblCellMar>
        <w:tblLook w:val="04A0"/>
      </w:tblPr>
      <w:tblGrid>
        <w:gridCol w:w="289"/>
        <w:gridCol w:w="2840"/>
        <w:gridCol w:w="426"/>
        <w:gridCol w:w="567"/>
        <w:gridCol w:w="425"/>
        <w:gridCol w:w="426"/>
        <w:gridCol w:w="567"/>
        <w:gridCol w:w="567"/>
        <w:gridCol w:w="425"/>
        <w:gridCol w:w="425"/>
        <w:gridCol w:w="567"/>
        <w:gridCol w:w="567"/>
        <w:gridCol w:w="425"/>
        <w:gridCol w:w="426"/>
        <w:gridCol w:w="505"/>
        <w:gridCol w:w="573"/>
      </w:tblGrid>
      <w:tr w:rsidR="00A64028" w:rsidTr="00F34DD1">
        <w:trPr>
          <w:cantSplit/>
          <w:trHeight w:val="4611"/>
        </w:trPr>
        <w:tc>
          <w:tcPr>
            <w:tcW w:w="289" w:type="dxa"/>
            <w:tcBorders>
              <w:top w:val="single" w:sz="4" w:space="0" w:color="auto"/>
              <w:left w:val="single" w:sz="4" w:space="0" w:color="auto"/>
              <w:bottom w:val="single" w:sz="4" w:space="0" w:color="auto"/>
              <w:right w:val="single" w:sz="4" w:space="0" w:color="auto"/>
            </w:tcBorders>
            <w:vAlign w:val="center"/>
            <w:hideMark/>
          </w:tcPr>
          <w:p w:rsidR="00A64028" w:rsidRPr="00F34DD1" w:rsidRDefault="00A64028" w:rsidP="00103148">
            <w:pPr>
              <w:spacing w:after="0" w:line="254" w:lineRule="auto"/>
              <w:jc w:val="center"/>
              <w:rPr>
                <w:rFonts w:ascii="Arial Narrow" w:hAnsi="Arial Narrow" w:cs="Arial"/>
                <w:sz w:val="18"/>
                <w:szCs w:val="18"/>
              </w:rPr>
            </w:pPr>
            <w:r w:rsidRPr="00F34DD1">
              <w:rPr>
                <w:rFonts w:ascii="Arial Narrow" w:hAnsi="Arial Narrow" w:cs="Arial"/>
                <w:sz w:val="18"/>
                <w:szCs w:val="18"/>
              </w:rPr>
              <w:t>№</w:t>
            </w:r>
          </w:p>
        </w:tc>
        <w:tc>
          <w:tcPr>
            <w:tcW w:w="2840" w:type="dxa"/>
            <w:tcBorders>
              <w:top w:val="single" w:sz="4" w:space="0" w:color="auto"/>
              <w:left w:val="nil"/>
              <w:bottom w:val="single" w:sz="4" w:space="0" w:color="auto"/>
              <w:right w:val="single" w:sz="4" w:space="0" w:color="auto"/>
            </w:tcBorders>
            <w:vAlign w:val="center"/>
            <w:hideMark/>
          </w:tcPr>
          <w:p w:rsidR="00A64028" w:rsidRPr="00272625" w:rsidRDefault="00A64028" w:rsidP="00103148">
            <w:pPr>
              <w:spacing w:after="0" w:line="254" w:lineRule="auto"/>
              <w:ind w:left="148"/>
              <w:rPr>
                <w:rFonts w:ascii="Arial Narrow" w:hAnsi="Arial Narrow" w:cs="Arial"/>
                <w:sz w:val="18"/>
                <w:szCs w:val="18"/>
              </w:rPr>
            </w:pPr>
            <w:r w:rsidRPr="00272625">
              <w:rPr>
                <w:rFonts w:ascii="Arial Narrow" w:hAnsi="Arial Narrow" w:cs="Arial"/>
                <w:sz w:val="18"/>
                <w:szCs w:val="18"/>
              </w:rPr>
              <w:t>Наименование показателя, единица измерения</w:t>
            </w:r>
          </w:p>
        </w:tc>
        <w:tc>
          <w:tcPr>
            <w:tcW w:w="426" w:type="dxa"/>
            <w:tcBorders>
              <w:top w:val="single" w:sz="4" w:space="0" w:color="auto"/>
              <w:left w:val="nil"/>
              <w:bottom w:val="single" w:sz="4" w:space="0" w:color="auto"/>
              <w:right w:val="single" w:sz="4" w:space="0" w:color="auto"/>
            </w:tcBorders>
            <w:textDirection w:val="btLr"/>
            <w:vAlign w:val="center"/>
            <w:hideMark/>
          </w:tcPr>
          <w:p w:rsidR="00A64028" w:rsidRPr="00272625" w:rsidRDefault="00A64028" w:rsidP="00F34DD1">
            <w:pPr>
              <w:spacing w:after="0" w:line="254" w:lineRule="auto"/>
              <w:ind w:left="113" w:right="113"/>
              <w:jc w:val="center"/>
              <w:rPr>
                <w:rFonts w:ascii="Arial Narrow" w:hAnsi="Arial Narrow" w:cs="Arial"/>
                <w:sz w:val="18"/>
                <w:szCs w:val="18"/>
              </w:rPr>
            </w:pPr>
            <w:r w:rsidRPr="00272625">
              <w:rPr>
                <w:rFonts w:ascii="Arial Narrow" w:hAnsi="Arial Narrow" w:cs="Arial"/>
                <w:sz w:val="18"/>
                <w:szCs w:val="18"/>
              </w:rPr>
              <w:t>Общий по Новосибирской области</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272625" w:rsidRDefault="00A64028" w:rsidP="00103148">
            <w:pPr>
              <w:spacing w:after="0" w:line="254" w:lineRule="auto"/>
              <w:ind w:left="113" w:right="113"/>
              <w:jc w:val="center"/>
              <w:rPr>
                <w:rFonts w:ascii="Arial Narrow" w:hAnsi="Arial Narrow" w:cs="Arial"/>
                <w:sz w:val="18"/>
                <w:szCs w:val="18"/>
              </w:rPr>
            </w:pPr>
            <w:r w:rsidRPr="00272625">
              <w:rPr>
                <w:rFonts w:ascii="Arial Narrow" w:hAnsi="Arial Narrow" w:cs="Arial"/>
                <w:sz w:val="18"/>
                <w:szCs w:val="18"/>
              </w:rPr>
              <w:t>Рынок услуг дошкольного образования (коммерческие детские сады и учреждения пребывания неполного дня)</w:t>
            </w:r>
          </w:p>
        </w:tc>
        <w:tc>
          <w:tcPr>
            <w:tcW w:w="425" w:type="dxa"/>
            <w:tcBorders>
              <w:top w:val="single" w:sz="4" w:space="0" w:color="auto"/>
              <w:left w:val="nil"/>
              <w:bottom w:val="single" w:sz="4" w:space="0" w:color="auto"/>
              <w:right w:val="single" w:sz="4" w:space="0" w:color="auto"/>
            </w:tcBorders>
            <w:noWrap/>
            <w:textDirection w:val="btLr"/>
            <w:vAlign w:val="center"/>
            <w:hideMark/>
          </w:tcPr>
          <w:p w:rsidR="00A64028" w:rsidRPr="00272625" w:rsidRDefault="00A64028" w:rsidP="00103148">
            <w:pPr>
              <w:spacing w:after="0" w:line="254" w:lineRule="auto"/>
              <w:ind w:left="113" w:right="113"/>
              <w:jc w:val="center"/>
              <w:rPr>
                <w:rFonts w:ascii="Arial Narrow" w:hAnsi="Arial Narrow" w:cs="Arial"/>
                <w:sz w:val="18"/>
                <w:szCs w:val="18"/>
              </w:rPr>
            </w:pPr>
            <w:r w:rsidRPr="00272625">
              <w:rPr>
                <w:rFonts w:ascii="Arial Narrow" w:hAnsi="Arial Narrow" w:cs="Arial"/>
                <w:sz w:val="18"/>
                <w:szCs w:val="18"/>
              </w:rPr>
              <w:t>Рынок услуг детского отдыха и оздоровления</w:t>
            </w:r>
          </w:p>
        </w:tc>
        <w:tc>
          <w:tcPr>
            <w:tcW w:w="426" w:type="dxa"/>
            <w:tcBorders>
              <w:top w:val="single" w:sz="4" w:space="0" w:color="auto"/>
              <w:left w:val="nil"/>
              <w:bottom w:val="single" w:sz="4" w:space="0" w:color="auto"/>
              <w:right w:val="single" w:sz="4" w:space="0" w:color="auto"/>
            </w:tcBorders>
            <w:noWrap/>
            <w:textDirection w:val="btLr"/>
            <w:vAlign w:val="center"/>
            <w:hideMark/>
          </w:tcPr>
          <w:p w:rsidR="00A64028" w:rsidRPr="00272625" w:rsidRDefault="00A64028" w:rsidP="00103148">
            <w:pPr>
              <w:spacing w:after="0" w:line="254" w:lineRule="auto"/>
              <w:ind w:left="113" w:right="113"/>
              <w:jc w:val="center"/>
              <w:rPr>
                <w:rFonts w:ascii="Arial Narrow" w:hAnsi="Arial Narrow" w:cs="Arial"/>
                <w:sz w:val="18"/>
                <w:szCs w:val="18"/>
              </w:rPr>
            </w:pPr>
            <w:r w:rsidRPr="00272625">
              <w:rPr>
                <w:rFonts w:ascii="Arial Narrow" w:hAnsi="Arial Narrow" w:cs="Arial"/>
                <w:sz w:val="18"/>
                <w:szCs w:val="18"/>
              </w:rPr>
              <w:t>Рынок дополнительного образования детей</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272625" w:rsidRDefault="00A64028" w:rsidP="00103148">
            <w:pPr>
              <w:spacing w:after="0" w:line="254" w:lineRule="auto"/>
              <w:ind w:left="113" w:right="113"/>
              <w:jc w:val="center"/>
              <w:rPr>
                <w:rFonts w:ascii="Arial Narrow" w:hAnsi="Arial Narrow" w:cs="Arial"/>
                <w:sz w:val="18"/>
                <w:szCs w:val="18"/>
              </w:rPr>
            </w:pPr>
            <w:r w:rsidRPr="00272625">
              <w:rPr>
                <w:rFonts w:ascii="Arial Narrow" w:hAnsi="Arial Narrow" w:cs="Arial"/>
                <w:sz w:val="18"/>
                <w:szCs w:val="18"/>
              </w:rPr>
              <w:t>Рынок медицинских услуг</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272625" w:rsidRDefault="00A64028" w:rsidP="00103148">
            <w:pPr>
              <w:spacing w:after="0" w:line="254" w:lineRule="auto"/>
              <w:ind w:left="113" w:right="113"/>
              <w:jc w:val="center"/>
              <w:rPr>
                <w:rFonts w:ascii="Arial Narrow" w:hAnsi="Arial Narrow" w:cs="Arial"/>
                <w:sz w:val="18"/>
                <w:szCs w:val="18"/>
              </w:rPr>
            </w:pPr>
            <w:r w:rsidRPr="00272625">
              <w:rPr>
                <w:rFonts w:ascii="Arial Narrow" w:hAnsi="Arial Narrow" w:cs="Arial"/>
                <w:sz w:val="18"/>
                <w:szCs w:val="18"/>
              </w:rPr>
              <w:t>Рынок услуг психолого-педагогического сопровождения детей с ограниченными возможностями здоровья</w:t>
            </w:r>
          </w:p>
        </w:tc>
        <w:tc>
          <w:tcPr>
            <w:tcW w:w="425" w:type="dxa"/>
            <w:tcBorders>
              <w:top w:val="single" w:sz="4" w:space="0" w:color="auto"/>
              <w:left w:val="nil"/>
              <w:bottom w:val="single" w:sz="4" w:space="0" w:color="auto"/>
              <w:right w:val="single" w:sz="4" w:space="0" w:color="auto"/>
            </w:tcBorders>
            <w:noWrap/>
            <w:textDirection w:val="btLr"/>
            <w:vAlign w:val="center"/>
            <w:hideMark/>
          </w:tcPr>
          <w:p w:rsidR="00A64028" w:rsidRPr="00272625" w:rsidRDefault="00A64028" w:rsidP="00103148">
            <w:pPr>
              <w:spacing w:after="0" w:line="254" w:lineRule="auto"/>
              <w:ind w:left="113" w:right="113"/>
              <w:jc w:val="center"/>
              <w:rPr>
                <w:rFonts w:ascii="Arial Narrow" w:hAnsi="Arial Narrow" w:cs="Arial"/>
                <w:sz w:val="18"/>
                <w:szCs w:val="18"/>
              </w:rPr>
            </w:pPr>
            <w:r w:rsidRPr="00272625">
              <w:rPr>
                <w:rFonts w:ascii="Arial Narrow" w:hAnsi="Arial Narrow" w:cs="Arial"/>
                <w:sz w:val="18"/>
                <w:szCs w:val="18"/>
              </w:rPr>
              <w:t>Рынок услуг в сфере культуры</w:t>
            </w:r>
          </w:p>
        </w:tc>
        <w:tc>
          <w:tcPr>
            <w:tcW w:w="425" w:type="dxa"/>
            <w:tcBorders>
              <w:top w:val="single" w:sz="4" w:space="0" w:color="auto"/>
              <w:left w:val="nil"/>
              <w:bottom w:val="single" w:sz="4" w:space="0" w:color="auto"/>
              <w:right w:val="single" w:sz="4" w:space="0" w:color="auto"/>
            </w:tcBorders>
            <w:noWrap/>
            <w:textDirection w:val="btLr"/>
            <w:vAlign w:val="center"/>
            <w:hideMark/>
          </w:tcPr>
          <w:p w:rsidR="00A64028" w:rsidRPr="00272625" w:rsidRDefault="00A64028" w:rsidP="00103148">
            <w:pPr>
              <w:spacing w:after="0" w:line="254" w:lineRule="auto"/>
              <w:ind w:left="113" w:right="113"/>
              <w:jc w:val="center"/>
              <w:rPr>
                <w:rFonts w:ascii="Arial Narrow" w:hAnsi="Arial Narrow" w:cs="Arial"/>
                <w:sz w:val="18"/>
                <w:szCs w:val="18"/>
              </w:rPr>
            </w:pPr>
            <w:r w:rsidRPr="00272625">
              <w:rPr>
                <w:rFonts w:ascii="Arial Narrow" w:hAnsi="Arial Narrow" w:cs="Arial"/>
                <w:sz w:val="18"/>
                <w:szCs w:val="18"/>
              </w:rPr>
              <w:t>Рынок услуг ЖКХ (управляющие компании)</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272625" w:rsidRDefault="00A64028" w:rsidP="00103148">
            <w:pPr>
              <w:spacing w:after="0" w:line="254" w:lineRule="auto"/>
              <w:ind w:left="113" w:right="113"/>
              <w:jc w:val="center"/>
              <w:rPr>
                <w:rFonts w:ascii="Arial Narrow" w:hAnsi="Arial Narrow" w:cs="Arial"/>
                <w:sz w:val="18"/>
                <w:szCs w:val="18"/>
              </w:rPr>
            </w:pPr>
            <w:r w:rsidRPr="00272625">
              <w:rPr>
                <w:rFonts w:ascii="Arial Narrow" w:hAnsi="Arial Narrow" w:cs="Arial"/>
                <w:sz w:val="18"/>
                <w:szCs w:val="18"/>
              </w:rPr>
              <w:t>Розничная торговля (продажа продуктов питания и непродовольственных товаров)</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272625" w:rsidRDefault="00A64028" w:rsidP="00103148">
            <w:pPr>
              <w:spacing w:after="0" w:line="254" w:lineRule="auto"/>
              <w:ind w:left="113" w:right="113"/>
              <w:jc w:val="center"/>
              <w:rPr>
                <w:rFonts w:ascii="Arial Narrow" w:hAnsi="Arial Narrow" w:cs="Arial"/>
                <w:sz w:val="18"/>
                <w:szCs w:val="18"/>
              </w:rPr>
            </w:pPr>
            <w:r w:rsidRPr="00272625">
              <w:rPr>
                <w:rFonts w:ascii="Arial Narrow" w:hAnsi="Arial Narrow" w:cs="Arial"/>
                <w:sz w:val="18"/>
                <w:szCs w:val="18"/>
              </w:rPr>
              <w:t>Рынок услуг перевозок пассажиров наземным транспортом (автобусные перевозки и такси)</w:t>
            </w:r>
          </w:p>
        </w:tc>
        <w:tc>
          <w:tcPr>
            <w:tcW w:w="425" w:type="dxa"/>
            <w:tcBorders>
              <w:top w:val="single" w:sz="4" w:space="0" w:color="auto"/>
              <w:left w:val="nil"/>
              <w:bottom w:val="single" w:sz="4" w:space="0" w:color="auto"/>
              <w:right w:val="single" w:sz="4" w:space="0" w:color="auto"/>
            </w:tcBorders>
            <w:noWrap/>
            <w:textDirection w:val="btLr"/>
            <w:vAlign w:val="center"/>
            <w:hideMark/>
          </w:tcPr>
          <w:p w:rsidR="00A64028" w:rsidRPr="00272625" w:rsidRDefault="00A64028" w:rsidP="00103148">
            <w:pPr>
              <w:spacing w:after="0" w:line="254" w:lineRule="auto"/>
              <w:ind w:left="113" w:right="113"/>
              <w:jc w:val="center"/>
              <w:rPr>
                <w:rFonts w:ascii="Arial Narrow" w:hAnsi="Arial Narrow" w:cs="Arial"/>
                <w:sz w:val="18"/>
                <w:szCs w:val="18"/>
              </w:rPr>
            </w:pPr>
            <w:r w:rsidRPr="00272625">
              <w:rPr>
                <w:rFonts w:ascii="Arial Narrow" w:hAnsi="Arial Narrow" w:cs="Arial"/>
                <w:sz w:val="18"/>
                <w:szCs w:val="18"/>
              </w:rPr>
              <w:t>Рынок услуг связи</w:t>
            </w:r>
          </w:p>
        </w:tc>
        <w:tc>
          <w:tcPr>
            <w:tcW w:w="426" w:type="dxa"/>
            <w:tcBorders>
              <w:top w:val="single" w:sz="4" w:space="0" w:color="auto"/>
              <w:left w:val="nil"/>
              <w:bottom w:val="single" w:sz="4" w:space="0" w:color="auto"/>
              <w:right w:val="single" w:sz="4" w:space="0" w:color="auto"/>
            </w:tcBorders>
            <w:noWrap/>
            <w:textDirection w:val="btLr"/>
            <w:vAlign w:val="center"/>
            <w:hideMark/>
          </w:tcPr>
          <w:p w:rsidR="00A64028" w:rsidRPr="00272625" w:rsidRDefault="00A64028" w:rsidP="00103148">
            <w:pPr>
              <w:spacing w:after="0" w:line="254" w:lineRule="auto"/>
              <w:ind w:left="113" w:right="113"/>
              <w:jc w:val="center"/>
              <w:rPr>
                <w:rFonts w:ascii="Arial Narrow" w:hAnsi="Arial Narrow" w:cs="Arial"/>
                <w:sz w:val="18"/>
                <w:szCs w:val="18"/>
              </w:rPr>
            </w:pPr>
            <w:r w:rsidRPr="00272625">
              <w:rPr>
                <w:rFonts w:ascii="Arial Narrow" w:hAnsi="Arial Narrow" w:cs="Arial"/>
                <w:sz w:val="18"/>
                <w:szCs w:val="18"/>
              </w:rPr>
              <w:t>Рынок услуг социального обслуживания населения</w:t>
            </w:r>
          </w:p>
        </w:tc>
        <w:tc>
          <w:tcPr>
            <w:tcW w:w="505" w:type="dxa"/>
            <w:tcBorders>
              <w:top w:val="single" w:sz="4" w:space="0" w:color="auto"/>
              <w:left w:val="nil"/>
              <w:bottom w:val="single" w:sz="4" w:space="0" w:color="auto"/>
              <w:right w:val="single" w:sz="4" w:space="0" w:color="auto"/>
            </w:tcBorders>
            <w:noWrap/>
            <w:textDirection w:val="btLr"/>
            <w:vAlign w:val="center"/>
            <w:hideMark/>
          </w:tcPr>
          <w:p w:rsidR="00A64028" w:rsidRPr="00272625" w:rsidRDefault="00A64028" w:rsidP="00103148">
            <w:pPr>
              <w:spacing w:after="0" w:line="254" w:lineRule="auto"/>
              <w:ind w:left="113" w:right="113"/>
              <w:jc w:val="center"/>
              <w:rPr>
                <w:rFonts w:ascii="Arial Narrow" w:hAnsi="Arial Narrow" w:cs="Arial"/>
                <w:sz w:val="18"/>
                <w:szCs w:val="18"/>
              </w:rPr>
            </w:pPr>
            <w:r w:rsidRPr="00272625">
              <w:rPr>
                <w:rFonts w:ascii="Arial Narrow" w:hAnsi="Arial Narrow" w:cs="Arial"/>
                <w:sz w:val="18"/>
                <w:szCs w:val="18"/>
              </w:rPr>
              <w:t>Рынок развития, производства, переработки и хранения сельскохозяйственной продукции</w:t>
            </w:r>
          </w:p>
        </w:tc>
        <w:tc>
          <w:tcPr>
            <w:tcW w:w="573" w:type="dxa"/>
            <w:tcBorders>
              <w:top w:val="single" w:sz="4" w:space="0" w:color="auto"/>
              <w:left w:val="nil"/>
              <w:bottom w:val="single" w:sz="4" w:space="0" w:color="auto"/>
              <w:right w:val="single" w:sz="4" w:space="0" w:color="auto"/>
            </w:tcBorders>
            <w:noWrap/>
            <w:textDirection w:val="btLr"/>
            <w:vAlign w:val="center"/>
            <w:hideMark/>
          </w:tcPr>
          <w:p w:rsidR="00A64028" w:rsidRPr="00272625" w:rsidRDefault="00A64028" w:rsidP="00103148">
            <w:pPr>
              <w:spacing w:after="0" w:line="254" w:lineRule="auto"/>
              <w:ind w:left="113" w:right="113"/>
              <w:jc w:val="center"/>
              <w:rPr>
                <w:rFonts w:ascii="Arial Narrow" w:hAnsi="Arial Narrow" w:cs="Arial"/>
                <w:sz w:val="18"/>
                <w:szCs w:val="18"/>
              </w:rPr>
            </w:pPr>
            <w:r w:rsidRPr="00272625">
              <w:rPr>
                <w:rFonts w:ascii="Arial Narrow" w:hAnsi="Arial Narrow" w:cs="Arial"/>
                <w:sz w:val="18"/>
                <w:szCs w:val="18"/>
              </w:rPr>
              <w:t>Рынок услуг по сбору, сортировке и переработке твердых коммунальных (бытовых) отходов</w:t>
            </w:r>
          </w:p>
        </w:tc>
      </w:tr>
      <w:tr w:rsidR="00A64028" w:rsidTr="00A64028">
        <w:tc>
          <w:tcPr>
            <w:tcW w:w="289" w:type="dxa"/>
            <w:tcBorders>
              <w:top w:val="nil"/>
              <w:left w:val="single" w:sz="4" w:space="0" w:color="auto"/>
              <w:bottom w:val="single" w:sz="4" w:space="0" w:color="auto"/>
              <w:right w:val="single" w:sz="4" w:space="0" w:color="auto"/>
            </w:tcBorders>
            <w:vAlign w:val="center"/>
            <w:hideMark/>
          </w:tcPr>
          <w:p w:rsidR="00A64028" w:rsidRPr="00F34DD1" w:rsidRDefault="00A64028" w:rsidP="00103148">
            <w:pPr>
              <w:spacing w:after="0" w:line="254" w:lineRule="auto"/>
              <w:jc w:val="center"/>
              <w:rPr>
                <w:rFonts w:ascii="Arial Narrow" w:hAnsi="Arial Narrow" w:cs="Arial"/>
                <w:b/>
                <w:bCs/>
                <w:sz w:val="18"/>
                <w:szCs w:val="18"/>
              </w:rPr>
            </w:pPr>
            <w:r w:rsidRPr="00F34DD1">
              <w:rPr>
                <w:rFonts w:ascii="Arial Narrow" w:hAnsi="Arial Narrow" w:cs="Arial"/>
                <w:b/>
                <w:bCs/>
                <w:sz w:val="18"/>
                <w:szCs w:val="18"/>
              </w:rPr>
              <w:t>3.</w:t>
            </w:r>
          </w:p>
        </w:tc>
        <w:tc>
          <w:tcPr>
            <w:tcW w:w="9731" w:type="dxa"/>
            <w:gridSpan w:val="15"/>
            <w:tcBorders>
              <w:top w:val="single" w:sz="4" w:space="0" w:color="auto"/>
              <w:left w:val="nil"/>
              <w:bottom w:val="single" w:sz="4" w:space="0" w:color="auto"/>
              <w:right w:val="single" w:sz="4" w:space="0" w:color="000000"/>
            </w:tcBorders>
            <w:vAlign w:val="center"/>
            <w:hideMark/>
          </w:tcPr>
          <w:p w:rsidR="00A64028" w:rsidRPr="00272625" w:rsidRDefault="00A64028" w:rsidP="00272625">
            <w:pPr>
              <w:spacing w:after="0" w:line="240" w:lineRule="auto"/>
              <w:ind w:left="147"/>
              <w:rPr>
                <w:rFonts w:ascii="Arial Narrow" w:hAnsi="Arial Narrow" w:cs="Arial"/>
                <w:b/>
                <w:bCs/>
                <w:sz w:val="18"/>
                <w:szCs w:val="18"/>
              </w:rPr>
            </w:pPr>
            <w:r w:rsidRPr="00272625">
              <w:rPr>
                <w:rFonts w:ascii="Arial Narrow" w:hAnsi="Arial Narrow" w:cs="Arial"/>
                <w:b/>
                <w:bCs/>
                <w:sz w:val="18"/>
                <w:szCs w:val="18"/>
              </w:rPr>
              <w:t>Мониторинг удовлетворенности субъектов предпринимательской деятельности и потребителей товаров, работ и услуг качеством официальной информации о состоянии конкурентной среды на рынках товаров, работ и услуг и деятельности по содействию развитию конкуренции в Новосибирской области, размещаемой уполномоченным органом и муниципальными образованиями</w:t>
            </w:r>
          </w:p>
        </w:tc>
      </w:tr>
      <w:tr w:rsidR="00A64028" w:rsidTr="00272625">
        <w:tc>
          <w:tcPr>
            <w:tcW w:w="289" w:type="dxa"/>
            <w:tcBorders>
              <w:top w:val="nil"/>
              <w:left w:val="single" w:sz="4" w:space="0" w:color="auto"/>
              <w:bottom w:val="single" w:sz="4" w:space="0" w:color="auto"/>
              <w:right w:val="single" w:sz="4" w:space="0" w:color="auto"/>
            </w:tcBorders>
            <w:vAlign w:val="center"/>
            <w:hideMark/>
          </w:tcPr>
          <w:p w:rsidR="00A64028" w:rsidRPr="00F34DD1" w:rsidRDefault="00A64028" w:rsidP="00103148">
            <w:pPr>
              <w:spacing w:after="0" w:line="254" w:lineRule="auto"/>
              <w:jc w:val="center"/>
              <w:rPr>
                <w:rFonts w:ascii="Arial Narrow" w:hAnsi="Arial Narrow" w:cs="Arial"/>
                <w:sz w:val="18"/>
                <w:szCs w:val="18"/>
              </w:rPr>
            </w:pPr>
            <w:r w:rsidRPr="00F34DD1">
              <w:rPr>
                <w:rFonts w:ascii="Arial Narrow" w:hAnsi="Arial Narrow" w:cs="Arial"/>
                <w:sz w:val="18"/>
                <w:szCs w:val="18"/>
              </w:rPr>
              <w:t>3.6.</w:t>
            </w:r>
          </w:p>
        </w:tc>
        <w:tc>
          <w:tcPr>
            <w:tcW w:w="2840" w:type="dxa"/>
            <w:tcBorders>
              <w:top w:val="nil"/>
              <w:left w:val="nil"/>
              <w:bottom w:val="single" w:sz="4" w:space="0" w:color="auto"/>
              <w:right w:val="single" w:sz="4" w:space="0" w:color="auto"/>
            </w:tcBorders>
            <w:vAlign w:val="center"/>
            <w:hideMark/>
          </w:tcPr>
          <w:p w:rsidR="00A64028" w:rsidRPr="00272625" w:rsidRDefault="00A64028" w:rsidP="00F34DD1">
            <w:pPr>
              <w:spacing w:after="0" w:line="240" w:lineRule="auto"/>
              <w:ind w:left="147" w:right="130"/>
              <w:rPr>
                <w:rFonts w:ascii="Arial Narrow" w:hAnsi="Arial Narrow" w:cs="Arial"/>
                <w:sz w:val="18"/>
                <w:szCs w:val="18"/>
              </w:rPr>
            </w:pPr>
            <w:r w:rsidRPr="00272625">
              <w:rPr>
                <w:rFonts w:ascii="Arial Narrow" w:hAnsi="Arial Narrow" w:cs="Arial"/>
                <w:sz w:val="18"/>
                <w:szCs w:val="18"/>
              </w:rPr>
              <w:t>Доля потребителей, удовлетворенных уровнем понятности информации, размещаемой Министерством экономического развития Новосибирской области и органами местного самоуправления в открытом доступе, о деятельности негосударственных организаций, оказывающих услуги/ предоставляющих товары на социально значимых и приоритетных рынках (% от числа опрошенных)</w:t>
            </w:r>
          </w:p>
        </w:tc>
        <w:tc>
          <w:tcPr>
            <w:tcW w:w="426" w:type="dxa"/>
            <w:tcBorders>
              <w:top w:val="nil"/>
              <w:left w:val="nil"/>
              <w:bottom w:val="single" w:sz="4" w:space="0" w:color="auto"/>
              <w:right w:val="single" w:sz="4" w:space="0" w:color="auto"/>
            </w:tcBorders>
            <w:noWrap/>
            <w:vAlign w:val="center"/>
            <w:hideMark/>
          </w:tcPr>
          <w:p w:rsidR="00A64028" w:rsidRDefault="00A64028" w:rsidP="00103148">
            <w:pPr>
              <w:spacing w:after="0" w:line="254" w:lineRule="auto"/>
              <w:jc w:val="center"/>
              <w:rPr>
                <w:rFonts w:ascii="Arial Narrow" w:hAnsi="Arial Narrow" w:cs="Arial"/>
                <w:sz w:val="20"/>
                <w:szCs w:val="20"/>
              </w:rPr>
            </w:pPr>
            <w:r>
              <w:rPr>
                <w:rFonts w:ascii="Arial Narrow" w:hAnsi="Arial Narrow" w:cs="Arial"/>
                <w:sz w:val="20"/>
                <w:szCs w:val="20"/>
              </w:rPr>
              <w:t>69%</w:t>
            </w:r>
          </w:p>
        </w:tc>
        <w:tc>
          <w:tcPr>
            <w:tcW w:w="567" w:type="dxa"/>
            <w:tcBorders>
              <w:top w:val="nil"/>
              <w:left w:val="nil"/>
              <w:bottom w:val="single" w:sz="4" w:space="0" w:color="auto"/>
              <w:right w:val="single" w:sz="4" w:space="0" w:color="auto"/>
            </w:tcBorders>
            <w:noWrap/>
            <w:vAlign w:val="center"/>
            <w:hideMark/>
          </w:tcPr>
          <w:p w:rsidR="00A64028" w:rsidRDefault="00A64028" w:rsidP="00103148">
            <w:pPr>
              <w:spacing w:after="0" w:line="254" w:lineRule="auto"/>
              <w:jc w:val="center"/>
              <w:rPr>
                <w:rFonts w:ascii="Arial Narrow" w:hAnsi="Arial Narrow" w:cs="Arial"/>
                <w:sz w:val="20"/>
                <w:szCs w:val="20"/>
              </w:rPr>
            </w:pPr>
            <w:r>
              <w:rPr>
                <w:rFonts w:ascii="Arial Narrow" w:hAnsi="Arial Narrow" w:cs="Arial"/>
                <w:sz w:val="20"/>
                <w:szCs w:val="20"/>
              </w:rPr>
              <w:t>64%</w:t>
            </w:r>
          </w:p>
        </w:tc>
        <w:tc>
          <w:tcPr>
            <w:tcW w:w="425" w:type="dxa"/>
            <w:tcBorders>
              <w:top w:val="nil"/>
              <w:left w:val="nil"/>
              <w:bottom w:val="single" w:sz="4" w:space="0" w:color="auto"/>
              <w:right w:val="single" w:sz="4" w:space="0" w:color="auto"/>
            </w:tcBorders>
            <w:noWrap/>
            <w:vAlign w:val="center"/>
            <w:hideMark/>
          </w:tcPr>
          <w:p w:rsidR="00A64028" w:rsidRDefault="00A64028" w:rsidP="00103148">
            <w:pPr>
              <w:spacing w:after="0" w:line="254" w:lineRule="auto"/>
              <w:jc w:val="center"/>
              <w:rPr>
                <w:rFonts w:ascii="Arial Narrow" w:hAnsi="Arial Narrow" w:cs="Arial"/>
                <w:sz w:val="20"/>
                <w:szCs w:val="20"/>
              </w:rPr>
            </w:pPr>
            <w:r>
              <w:rPr>
                <w:rFonts w:ascii="Arial Narrow" w:hAnsi="Arial Narrow" w:cs="Arial"/>
                <w:sz w:val="20"/>
                <w:szCs w:val="20"/>
              </w:rPr>
              <w:t>64%</w:t>
            </w:r>
          </w:p>
        </w:tc>
        <w:tc>
          <w:tcPr>
            <w:tcW w:w="426" w:type="dxa"/>
            <w:tcBorders>
              <w:top w:val="nil"/>
              <w:left w:val="nil"/>
              <w:bottom w:val="single" w:sz="4" w:space="0" w:color="auto"/>
              <w:right w:val="single" w:sz="4" w:space="0" w:color="auto"/>
            </w:tcBorders>
            <w:noWrap/>
            <w:vAlign w:val="center"/>
            <w:hideMark/>
          </w:tcPr>
          <w:p w:rsidR="00A64028" w:rsidRDefault="00A64028" w:rsidP="00103148">
            <w:pPr>
              <w:spacing w:after="0" w:line="254" w:lineRule="auto"/>
              <w:jc w:val="center"/>
              <w:rPr>
                <w:rFonts w:ascii="Arial Narrow" w:hAnsi="Arial Narrow" w:cs="Arial"/>
                <w:sz w:val="20"/>
                <w:szCs w:val="20"/>
              </w:rPr>
            </w:pPr>
            <w:r>
              <w:rPr>
                <w:rFonts w:ascii="Arial Narrow" w:hAnsi="Arial Narrow" w:cs="Arial"/>
                <w:sz w:val="20"/>
                <w:szCs w:val="20"/>
              </w:rPr>
              <w:t>65%</w:t>
            </w:r>
          </w:p>
        </w:tc>
        <w:tc>
          <w:tcPr>
            <w:tcW w:w="567" w:type="dxa"/>
            <w:tcBorders>
              <w:top w:val="nil"/>
              <w:left w:val="nil"/>
              <w:bottom w:val="single" w:sz="4" w:space="0" w:color="auto"/>
              <w:right w:val="single" w:sz="4" w:space="0" w:color="auto"/>
            </w:tcBorders>
            <w:noWrap/>
            <w:vAlign w:val="center"/>
            <w:hideMark/>
          </w:tcPr>
          <w:p w:rsidR="00A64028" w:rsidRDefault="00A64028" w:rsidP="00103148">
            <w:pPr>
              <w:spacing w:after="0" w:line="254" w:lineRule="auto"/>
              <w:jc w:val="center"/>
              <w:rPr>
                <w:rFonts w:ascii="Arial Narrow" w:hAnsi="Arial Narrow" w:cs="Arial"/>
                <w:sz w:val="20"/>
                <w:szCs w:val="20"/>
              </w:rPr>
            </w:pPr>
            <w:r>
              <w:rPr>
                <w:rFonts w:ascii="Arial Narrow" w:hAnsi="Arial Narrow" w:cs="Arial"/>
                <w:sz w:val="20"/>
                <w:szCs w:val="20"/>
              </w:rPr>
              <w:t>71%</w:t>
            </w:r>
          </w:p>
        </w:tc>
        <w:tc>
          <w:tcPr>
            <w:tcW w:w="567" w:type="dxa"/>
            <w:tcBorders>
              <w:top w:val="nil"/>
              <w:left w:val="nil"/>
              <w:bottom w:val="single" w:sz="4" w:space="0" w:color="auto"/>
              <w:right w:val="single" w:sz="4" w:space="0" w:color="auto"/>
            </w:tcBorders>
            <w:noWrap/>
            <w:vAlign w:val="center"/>
            <w:hideMark/>
          </w:tcPr>
          <w:p w:rsidR="00A64028" w:rsidRDefault="00A64028" w:rsidP="00103148">
            <w:pPr>
              <w:spacing w:after="0" w:line="254" w:lineRule="auto"/>
              <w:jc w:val="center"/>
              <w:rPr>
                <w:rFonts w:ascii="Arial Narrow" w:hAnsi="Arial Narrow" w:cs="Arial"/>
                <w:sz w:val="20"/>
                <w:szCs w:val="20"/>
              </w:rPr>
            </w:pPr>
            <w:r>
              <w:rPr>
                <w:rFonts w:ascii="Arial Narrow" w:hAnsi="Arial Narrow" w:cs="Arial"/>
                <w:sz w:val="20"/>
                <w:szCs w:val="20"/>
              </w:rPr>
              <w:t>57%</w:t>
            </w:r>
          </w:p>
        </w:tc>
        <w:tc>
          <w:tcPr>
            <w:tcW w:w="425" w:type="dxa"/>
            <w:tcBorders>
              <w:top w:val="nil"/>
              <w:left w:val="nil"/>
              <w:bottom w:val="single" w:sz="4" w:space="0" w:color="auto"/>
              <w:right w:val="single" w:sz="4" w:space="0" w:color="auto"/>
            </w:tcBorders>
            <w:noWrap/>
            <w:vAlign w:val="center"/>
            <w:hideMark/>
          </w:tcPr>
          <w:p w:rsidR="00A64028" w:rsidRDefault="00A64028" w:rsidP="00103148">
            <w:pPr>
              <w:spacing w:after="0" w:line="254" w:lineRule="auto"/>
              <w:jc w:val="center"/>
              <w:rPr>
                <w:rFonts w:ascii="Arial Narrow" w:hAnsi="Arial Narrow" w:cs="Arial"/>
                <w:sz w:val="20"/>
                <w:szCs w:val="20"/>
              </w:rPr>
            </w:pPr>
            <w:r>
              <w:rPr>
                <w:rFonts w:ascii="Arial Narrow" w:hAnsi="Arial Narrow" w:cs="Arial"/>
                <w:sz w:val="20"/>
                <w:szCs w:val="20"/>
              </w:rPr>
              <w:t>79%</w:t>
            </w:r>
          </w:p>
        </w:tc>
        <w:tc>
          <w:tcPr>
            <w:tcW w:w="425" w:type="dxa"/>
            <w:tcBorders>
              <w:top w:val="nil"/>
              <w:left w:val="nil"/>
              <w:bottom w:val="single" w:sz="4" w:space="0" w:color="auto"/>
              <w:right w:val="single" w:sz="4" w:space="0" w:color="auto"/>
            </w:tcBorders>
            <w:noWrap/>
            <w:vAlign w:val="center"/>
            <w:hideMark/>
          </w:tcPr>
          <w:p w:rsidR="00A64028" w:rsidRDefault="00A64028" w:rsidP="00103148">
            <w:pPr>
              <w:spacing w:after="0" w:line="254" w:lineRule="auto"/>
              <w:jc w:val="center"/>
              <w:rPr>
                <w:rFonts w:ascii="Arial Narrow" w:hAnsi="Arial Narrow" w:cs="Arial"/>
                <w:sz w:val="20"/>
                <w:szCs w:val="20"/>
              </w:rPr>
            </w:pPr>
            <w:r>
              <w:rPr>
                <w:rFonts w:ascii="Arial Narrow" w:hAnsi="Arial Narrow" w:cs="Arial"/>
                <w:sz w:val="20"/>
                <w:szCs w:val="20"/>
              </w:rPr>
              <w:t>74%</w:t>
            </w:r>
          </w:p>
        </w:tc>
        <w:tc>
          <w:tcPr>
            <w:tcW w:w="567" w:type="dxa"/>
            <w:tcBorders>
              <w:top w:val="nil"/>
              <w:left w:val="nil"/>
              <w:bottom w:val="single" w:sz="4" w:space="0" w:color="auto"/>
              <w:right w:val="single" w:sz="4" w:space="0" w:color="auto"/>
            </w:tcBorders>
            <w:noWrap/>
            <w:vAlign w:val="center"/>
            <w:hideMark/>
          </w:tcPr>
          <w:p w:rsidR="00A64028" w:rsidRDefault="00A64028" w:rsidP="00103148">
            <w:pPr>
              <w:spacing w:after="0" w:line="254" w:lineRule="auto"/>
              <w:jc w:val="center"/>
              <w:rPr>
                <w:rFonts w:ascii="Arial Narrow" w:hAnsi="Arial Narrow" w:cs="Arial"/>
                <w:sz w:val="20"/>
                <w:szCs w:val="20"/>
              </w:rPr>
            </w:pPr>
            <w:r>
              <w:rPr>
                <w:rFonts w:ascii="Arial Narrow" w:hAnsi="Arial Narrow" w:cs="Arial"/>
                <w:sz w:val="20"/>
                <w:szCs w:val="20"/>
              </w:rPr>
              <w:t>69%</w:t>
            </w:r>
          </w:p>
        </w:tc>
        <w:tc>
          <w:tcPr>
            <w:tcW w:w="567" w:type="dxa"/>
            <w:tcBorders>
              <w:top w:val="nil"/>
              <w:left w:val="nil"/>
              <w:bottom w:val="single" w:sz="4" w:space="0" w:color="auto"/>
              <w:right w:val="single" w:sz="4" w:space="0" w:color="auto"/>
            </w:tcBorders>
            <w:noWrap/>
            <w:vAlign w:val="center"/>
            <w:hideMark/>
          </w:tcPr>
          <w:p w:rsidR="00A64028" w:rsidRDefault="00A64028" w:rsidP="00103148">
            <w:pPr>
              <w:spacing w:after="0" w:line="254" w:lineRule="auto"/>
              <w:jc w:val="center"/>
              <w:rPr>
                <w:rFonts w:ascii="Arial Narrow" w:hAnsi="Arial Narrow" w:cs="Arial"/>
                <w:sz w:val="20"/>
                <w:szCs w:val="20"/>
              </w:rPr>
            </w:pPr>
            <w:r>
              <w:rPr>
                <w:rFonts w:ascii="Arial Narrow" w:hAnsi="Arial Narrow" w:cs="Arial"/>
                <w:sz w:val="20"/>
                <w:szCs w:val="20"/>
              </w:rPr>
              <w:t>81%</w:t>
            </w:r>
          </w:p>
        </w:tc>
        <w:tc>
          <w:tcPr>
            <w:tcW w:w="425" w:type="dxa"/>
            <w:tcBorders>
              <w:top w:val="nil"/>
              <w:left w:val="nil"/>
              <w:bottom w:val="single" w:sz="4" w:space="0" w:color="auto"/>
              <w:right w:val="single" w:sz="4" w:space="0" w:color="auto"/>
            </w:tcBorders>
            <w:noWrap/>
            <w:vAlign w:val="center"/>
            <w:hideMark/>
          </w:tcPr>
          <w:p w:rsidR="00A64028" w:rsidRDefault="00A64028" w:rsidP="00103148">
            <w:pPr>
              <w:spacing w:after="0" w:line="254" w:lineRule="auto"/>
              <w:jc w:val="center"/>
              <w:rPr>
                <w:rFonts w:ascii="Arial Narrow" w:hAnsi="Arial Narrow" w:cs="Arial"/>
                <w:sz w:val="20"/>
                <w:szCs w:val="20"/>
              </w:rPr>
            </w:pPr>
            <w:r>
              <w:rPr>
                <w:rFonts w:ascii="Arial Narrow" w:hAnsi="Arial Narrow" w:cs="Arial"/>
                <w:sz w:val="20"/>
                <w:szCs w:val="20"/>
              </w:rPr>
              <w:t>81%</w:t>
            </w:r>
          </w:p>
        </w:tc>
        <w:tc>
          <w:tcPr>
            <w:tcW w:w="426" w:type="dxa"/>
            <w:tcBorders>
              <w:top w:val="nil"/>
              <w:left w:val="nil"/>
              <w:bottom w:val="single" w:sz="4" w:space="0" w:color="auto"/>
              <w:right w:val="single" w:sz="4" w:space="0" w:color="auto"/>
            </w:tcBorders>
            <w:noWrap/>
            <w:vAlign w:val="center"/>
            <w:hideMark/>
          </w:tcPr>
          <w:p w:rsidR="00A64028" w:rsidRDefault="00A64028" w:rsidP="00103148">
            <w:pPr>
              <w:spacing w:after="0" w:line="254" w:lineRule="auto"/>
              <w:jc w:val="center"/>
              <w:rPr>
                <w:rFonts w:ascii="Arial Narrow" w:hAnsi="Arial Narrow" w:cs="Arial"/>
                <w:sz w:val="20"/>
                <w:szCs w:val="20"/>
              </w:rPr>
            </w:pPr>
            <w:r>
              <w:rPr>
                <w:rFonts w:ascii="Arial Narrow" w:hAnsi="Arial Narrow" w:cs="Arial"/>
                <w:sz w:val="20"/>
                <w:szCs w:val="20"/>
              </w:rPr>
              <w:t>75%</w:t>
            </w:r>
          </w:p>
        </w:tc>
        <w:tc>
          <w:tcPr>
            <w:tcW w:w="505" w:type="dxa"/>
            <w:tcBorders>
              <w:top w:val="nil"/>
              <w:left w:val="nil"/>
              <w:bottom w:val="single" w:sz="4" w:space="0" w:color="auto"/>
              <w:right w:val="single" w:sz="4" w:space="0" w:color="auto"/>
            </w:tcBorders>
            <w:noWrap/>
            <w:vAlign w:val="center"/>
            <w:hideMark/>
          </w:tcPr>
          <w:p w:rsidR="00A64028" w:rsidRDefault="00A64028" w:rsidP="00103148">
            <w:pPr>
              <w:spacing w:after="0" w:line="254" w:lineRule="auto"/>
              <w:jc w:val="center"/>
              <w:rPr>
                <w:rFonts w:ascii="Arial Narrow" w:hAnsi="Arial Narrow" w:cs="Arial"/>
                <w:sz w:val="20"/>
                <w:szCs w:val="20"/>
              </w:rPr>
            </w:pPr>
            <w:r>
              <w:rPr>
                <w:rFonts w:ascii="Arial Narrow" w:hAnsi="Arial Narrow" w:cs="Arial"/>
                <w:sz w:val="20"/>
                <w:szCs w:val="20"/>
              </w:rPr>
              <w:t>79%</w:t>
            </w:r>
          </w:p>
        </w:tc>
        <w:tc>
          <w:tcPr>
            <w:tcW w:w="573" w:type="dxa"/>
            <w:tcBorders>
              <w:top w:val="nil"/>
              <w:left w:val="nil"/>
              <w:bottom w:val="single" w:sz="4" w:space="0" w:color="auto"/>
              <w:right w:val="single" w:sz="4" w:space="0" w:color="auto"/>
            </w:tcBorders>
            <w:noWrap/>
            <w:vAlign w:val="center"/>
            <w:hideMark/>
          </w:tcPr>
          <w:p w:rsidR="00A64028" w:rsidRDefault="00A64028" w:rsidP="00103148">
            <w:pPr>
              <w:spacing w:after="0" w:line="254" w:lineRule="auto"/>
              <w:jc w:val="center"/>
              <w:rPr>
                <w:rFonts w:ascii="Arial Narrow" w:hAnsi="Arial Narrow" w:cs="Arial"/>
                <w:sz w:val="20"/>
                <w:szCs w:val="20"/>
              </w:rPr>
            </w:pPr>
            <w:r>
              <w:rPr>
                <w:rFonts w:ascii="Arial Narrow" w:hAnsi="Arial Narrow" w:cs="Arial"/>
                <w:sz w:val="20"/>
                <w:szCs w:val="20"/>
              </w:rPr>
              <w:t>44%</w:t>
            </w:r>
          </w:p>
        </w:tc>
      </w:tr>
    </w:tbl>
    <w:p w:rsidR="00507E3F" w:rsidRDefault="00507E3F" w:rsidP="00103148">
      <w:pPr>
        <w:spacing w:after="0" w:line="360" w:lineRule="auto"/>
        <w:ind w:firstLine="284"/>
        <w:jc w:val="both"/>
        <w:rPr>
          <w:rFonts w:ascii="Arial Narrow" w:hAnsi="Arial Narrow" w:cs="Arial"/>
          <w:b/>
          <w:sz w:val="24"/>
          <w:szCs w:val="24"/>
        </w:rPr>
      </w:pPr>
    </w:p>
    <w:p w:rsidR="00A64028" w:rsidRDefault="00A64028" w:rsidP="00103148">
      <w:pPr>
        <w:spacing w:after="0" w:line="360" w:lineRule="auto"/>
        <w:ind w:firstLine="284"/>
        <w:jc w:val="both"/>
        <w:rPr>
          <w:rFonts w:ascii="Arial Narrow" w:hAnsi="Arial Narrow" w:cs="Arial"/>
          <w:b/>
          <w:sz w:val="24"/>
          <w:szCs w:val="24"/>
        </w:rPr>
      </w:pPr>
      <w:r>
        <w:rPr>
          <w:rFonts w:ascii="Arial Narrow" w:hAnsi="Arial Narrow" w:cs="Arial"/>
          <w:b/>
          <w:sz w:val="24"/>
          <w:szCs w:val="24"/>
        </w:rPr>
        <w:t xml:space="preserve">Значения показателя 3.7. Доля потребителей, удовлетворенных уровнем удобства получения информации, размещаемой Министерством экономического развития Новосибирской области и органами местного самоуправления в открытом доступе, о деятельности негосударственных </w:t>
      </w:r>
      <w:r>
        <w:rPr>
          <w:rFonts w:ascii="Arial Narrow" w:hAnsi="Arial Narrow" w:cs="Arial"/>
          <w:b/>
          <w:sz w:val="24"/>
          <w:szCs w:val="24"/>
        </w:rPr>
        <w:lastRenderedPageBreak/>
        <w:t>организаций, оказывающих услуги/предоставляющих товары на социально значимых и приоритетных рынках (% от числа опрошенных).</w:t>
      </w:r>
    </w:p>
    <w:p w:rsidR="00A64028" w:rsidRDefault="00A64028" w:rsidP="00103148">
      <w:pPr>
        <w:spacing w:after="0" w:line="360" w:lineRule="auto"/>
        <w:ind w:firstLine="284"/>
        <w:jc w:val="both"/>
        <w:rPr>
          <w:rFonts w:ascii="Arial Narrow" w:hAnsi="Arial Narrow" w:cs="Arial"/>
          <w:sz w:val="24"/>
          <w:szCs w:val="24"/>
        </w:rPr>
      </w:pPr>
      <w:r>
        <w:rPr>
          <w:rFonts w:ascii="Arial Narrow" w:hAnsi="Arial Narrow" w:cs="Arial"/>
          <w:sz w:val="24"/>
          <w:szCs w:val="24"/>
        </w:rPr>
        <w:t>Среднее значение доли потребителей, удовлетворенных уровнем удобства получения информации о деятельности негосударственных организаций, оказывающих услуги/предоставляющих товары на социально значимых и приоритетных рынках Новосибирской области, составляет 67 %. Самые высокие значения показателя (75 % и более) зафиксированы для рынка услуг перевозок пассажиров наземным транспортом (автобусные перевозки и такси) (80 %), рынка услуг связи (80 %), услуг в сфере культуры (79 %), рынка развития, производства, переработки и хранения сельскохозяйственной продукции (75 %). В наименьшей степени потребители удовлетворены уровнем удобства получения информации о деятельности негосударственных предприятий на рынках услуг по сбору, сортировке и переработке твердых коммунальных (бытовых) отходов (39 %) и услуг психолого-педагогического сопровождения детей с ограниченными возможностями здоровья (55 %). Остальные 7 рынков получили оценки, близкие к среднему значению.</w:t>
      </w:r>
    </w:p>
    <w:p w:rsidR="00A64028" w:rsidRDefault="00A64028" w:rsidP="00103148">
      <w:pPr>
        <w:spacing w:after="0"/>
        <w:rPr>
          <w:rFonts w:ascii="Arial Narrow" w:hAnsi="Arial Narrow" w:cs="Arial"/>
          <w:sz w:val="24"/>
          <w:szCs w:val="24"/>
        </w:rPr>
      </w:pPr>
    </w:p>
    <w:p w:rsidR="00272625" w:rsidRDefault="00272625">
      <w:pPr>
        <w:rPr>
          <w:rFonts w:ascii="Arial Narrow" w:hAnsi="Arial Narrow" w:cs="Arial"/>
          <w:sz w:val="24"/>
          <w:szCs w:val="24"/>
        </w:rPr>
      </w:pPr>
      <w:r>
        <w:rPr>
          <w:rFonts w:ascii="Arial Narrow" w:hAnsi="Arial Narrow" w:cs="Arial"/>
          <w:sz w:val="24"/>
          <w:szCs w:val="24"/>
        </w:rPr>
        <w:br w:type="page"/>
      </w:r>
    </w:p>
    <w:p w:rsidR="00A64028" w:rsidRDefault="00272625" w:rsidP="00272625">
      <w:pPr>
        <w:spacing w:after="0" w:line="240" w:lineRule="auto"/>
        <w:rPr>
          <w:rFonts w:ascii="Arial Narrow" w:hAnsi="Arial Narrow" w:cs="Arial"/>
          <w:b/>
          <w:sz w:val="24"/>
          <w:szCs w:val="24"/>
        </w:rPr>
      </w:pPr>
      <w:r>
        <w:rPr>
          <w:rFonts w:ascii="Arial Narrow" w:hAnsi="Arial Narrow" w:cs="Arial"/>
          <w:sz w:val="24"/>
          <w:szCs w:val="24"/>
        </w:rPr>
        <w:lastRenderedPageBreak/>
        <w:t>Таблица 7.49</w:t>
      </w:r>
      <w:r w:rsidR="00262F71">
        <w:rPr>
          <w:rFonts w:ascii="Arial Narrow" w:hAnsi="Arial Narrow" w:cs="Arial"/>
          <w:sz w:val="24"/>
          <w:szCs w:val="24"/>
        </w:rPr>
        <w:t>.</w:t>
      </w:r>
      <w:r w:rsidR="00A64028">
        <w:rPr>
          <w:rFonts w:ascii="Arial Narrow" w:hAnsi="Arial Narrow" w:cs="Arial"/>
          <w:sz w:val="24"/>
          <w:szCs w:val="24"/>
        </w:rPr>
        <w:t xml:space="preserve"> </w:t>
      </w:r>
      <w:r w:rsidR="00A64028">
        <w:rPr>
          <w:rFonts w:ascii="Arial Narrow" w:hAnsi="Arial Narrow" w:cs="Arial"/>
          <w:b/>
          <w:sz w:val="24"/>
          <w:szCs w:val="24"/>
        </w:rPr>
        <w:t>– Значения показателя 3.7. Доля потребителей, удовлетворенных уровнем удобства получения информации, размещаемой Министерством экономического развития Новосибирской области и органами местного самоуправления в открытом доступе, о деятельности негосударственных организаций, оказывающих услуги/предоставляющих товары на социально значимых и приоритетных рынках (% от числа опрошенных)</w:t>
      </w:r>
    </w:p>
    <w:tbl>
      <w:tblPr>
        <w:tblW w:w="10217" w:type="dxa"/>
        <w:tblInd w:w="-421" w:type="dxa"/>
        <w:tblLayout w:type="fixed"/>
        <w:tblCellMar>
          <w:left w:w="0" w:type="dxa"/>
          <w:right w:w="0" w:type="dxa"/>
        </w:tblCellMar>
        <w:tblLook w:val="04A0"/>
      </w:tblPr>
      <w:tblGrid>
        <w:gridCol w:w="421"/>
        <w:gridCol w:w="2557"/>
        <w:gridCol w:w="506"/>
        <w:gridCol w:w="10"/>
        <w:gridCol w:w="557"/>
        <w:gridCol w:w="10"/>
        <w:gridCol w:w="514"/>
        <w:gridCol w:w="10"/>
        <w:gridCol w:w="458"/>
        <w:gridCol w:w="10"/>
        <w:gridCol w:w="492"/>
        <w:gridCol w:w="10"/>
        <w:gridCol w:w="622"/>
        <w:gridCol w:w="10"/>
        <w:gridCol w:w="416"/>
        <w:gridCol w:w="10"/>
        <w:gridCol w:w="415"/>
        <w:gridCol w:w="10"/>
        <w:gridCol w:w="415"/>
        <w:gridCol w:w="10"/>
        <w:gridCol w:w="557"/>
        <w:gridCol w:w="10"/>
        <w:gridCol w:w="374"/>
        <w:gridCol w:w="10"/>
        <w:gridCol w:w="557"/>
        <w:gridCol w:w="10"/>
        <w:gridCol w:w="598"/>
        <w:gridCol w:w="10"/>
        <w:gridCol w:w="612"/>
        <w:gridCol w:w="10"/>
        <w:gridCol w:w="6"/>
      </w:tblGrid>
      <w:tr w:rsidR="00A64028" w:rsidRPr="00507E3F" w:rsidTr="00F34DD1">
        <w:trPr>
          <w:gridAfter w:val="1"/>
          <w:wAfter w:w="6" w:type="dxa"/>
          <w:cantSplit/>
          <w:trHeight w:val="4432"/>
        </w:trPr>
        <w:tc>
          <w:tcPr>
            <w:tcW w:w="421" w:type="dxa"/>
            <w:tcBorders>
              <w:top w:val="single" w:sz="4" w:space="0" w:color="auto"/>
              <w:left w:val="single" w:sz="4" w:space="0" w:color="auto"/>
              <w:bottom w:val="single" w:sz="4" w:space="0" w:color="auto"/>
              <w:right w:val="single" w:sz="4" w:space="0" w:color="auto"/>
            </w:tcBorders>
            <w:vAlign w:val="center"/>
            <w:hideMark/>
          </w:tcPr>
          <w:p w:rsidR="00A64028" w:rsidRPr="00F34DD1" w:rsidRDefault="00A64028" w:rsidP="00103148">
            <w:pPr>
              <w:spacing w:after="0" w:line="254" w:lineRule="auto"/>
              <w:jc w:val="center"/>
              <w:rPr>
                <w:rFonts w:ascii="Arial Narrow" w:hAnsi="Arial Narrow" w:cs="Arial"/>
                <w:sz w:val="18"/>
                <w:szCs w:val="18"/>
              </w:rPr>
            </w:pPr>
            <w:r w:rsidRPr="00F34DD1">
              <w:rPr>
                <w:rFonts w:ascii="Arial Narrow" w:hAnsi="Arial Narrow" w:cs="Arial"/>
                <w:sz w:val="18"/>
                <w:szCs w:val="18"/>
              </w:rPr>
              <w:t>№</w:t>
            </w:r>
          </w:p>
        </w:tc>
        <w:tc>
          <w:tcPr>
            <w:tcW w:w="2557" w:type="dxa"/>
            <w:tcBorders>
              <w:top w:val="single" w:sz="4" w:space="0" w:color="auto"/>
              <w:left w:val="nil"/>
              <w:bottom w:val="single" w:sz="4" w:space="0" w:color="auto"/>
              <w:right w:val="single" w:sz="4" w:space="0" w:color="auto"/>
            </w:tcBorders>
            <w:vAlign w:val="center"/>
            <w:hideMark/>
          </w:tcPr>
          <w:p w:rsidR="00A64028" w:rsidRPr="00F34DD1" w:rsidRDefault="00A64028" w:rsidP="00103148">
            <w:pPr>
              <w:spacing w:after="0" w:line="254" w:lineRule="auto"/>
              <w:ind w:left="148"/>
              <w:rPr>
                <w:rFonts w:ascii="Arial Narrow" w:hAnsi="Arial Narrow" w:cs="Arial"/>
                <w:sz w:val="18"/>
                <w:szCs w:val="18"/>
              </w:rPr>
            </w:pPr>
            <w:r w:rsidRPr="00F34DD1">
              <w:rPr>
                <w:rFonts w:ascii="Arial Narrow" w:hAnsi="Arial Narrow" w:cs="Arial"/>
                <w:sz w:val="18"/>
                <w:szCs w:val="18"/>
              </w:rPr>
              <w:t>Наименование показателя, единица измерения</w:t>
            </w:r>
          </w:p>
        </w:tc>
        <w:tc>
          <w:tcPr>
            <w:tcW w:w="516" w:type="dxa"/>
            <w:gridSpan w:val="2"/>
            <w:tcBorders>
              <w:top w:val="single" w:sz="4" w:space="0" w:color="auto"/>
              <w:left w:val="nil"/>
              <w:bottom w:val="single" w:sz="4" w:space="0" w:color="auto"/>
              <w:right w:val="single" w:sz="4" w:space="0" w:color="auto"/>
            </w:tcBorders>
            <w:textDirection w:val="btLr"/>
            <w:vAlign w:val="center"/>
            <w:hideMark/>
          </w:tcPr>
          <w:p w:rsidR="00A64028" w:rsidRPr="00F34DD1" w:rsidRDefault="00A64028" w:rsidP="00F34DD1">
            <w:pPr>
              <w:spacing w:after="0" w:line="240" w:lineRule="auto"/>
              <w:ind w:left="113" w:right="113"/>
              <w:jc w:val="center"/>
              <w:rPr>
                <w:rFonts w:ascii="Arial Narrow" w:hAnsi="Arial Narrow" w:cs="Arial"/>
                <w:sz w:val="18"/>
                <w:szCs w:val="18"/>
              </w:rPr>
            </w:pPr>
            <w:r w:rsidRPr="00F34DD1">
              <w:rPr>
                <w:rFonts w:ascii="Arial Narrow" w:hAnsi="Arial Narrow" w:cs="Arial"/>
                <w:sz w:val="18"/>
                <w:szCs w:val="18"/>
              </w:rPr>
              <w:t>Общий по Новосибирской области</w:t>
            </w:r>
          </w:p>
        </w:tc>
        <w:tc>
          <w:tcPr>
            <w:tcW w:w="567" w:type="dxa"/>
            <w:gridSpan w:val="2"/>
            <w:tcBorders>
              <w:top w:val="single" w:sz="4" w:space="0" w:color="auto"/>
              <w:left w:val="nil"/>
              <w:bottom w:val="single" w:sz="4" w:space="0" w:color="auto"/>
              <w:right w:val="single" w:sz="4" w:space="0" w:color="auto"/>
            </w:tcBorders>
            <w:noWrap/>
            <w:textDirection w:val="btLr"/>
            <w:vAlign w:val="center"/>
            <w:hideMark/>
          </w:tcPr>
          <w:p w:rsidR="00B05934" w:rsidRDefault="00A64028">
            <w:pPr>
              <w:spacing w:after="0" w:line="240" w:lineRule="auto"/>
              <w:ind w:left="113" w:right="113"/>
              <w:jc w:val="center"/>
              <w:rPr>
                <w:rFonts w:ascii="Arial Narrow" w:hAnsi="Arial Narrow" w:cs="Arial"/>
                <w:sz w:val="18"/>
                <w:szCs w:val="18"/>
              </w:rPr>
            </w:pPr>
            <w:r w:rsidRPr="00F34DD1">
              <w:rPr>
                <w:rFonts w:ascii="Arial Narrow" w:hAnsi="Arial Narrow" w:cs="Arial"/>
                <w:sz w:val="18"/>
                <w:szCs w:val="18"/>
              </w:rPr>
              <w:t>Рынок услуг дошкольного образования (коммерческие детские сады и учреждения пребывания неполного дня)</w:t>
            </w:r>
          </w:p>
        </w:tc>
        <w:tc>
          <w:tcPr>
            <w:tcW w:w="524" w:type="dxa"/>
            <w:gridSpan w:val="2"/>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272625">
            <w:pPr>
              <w:spacing w:after="0" w:line="240" w:lineRule="auto"/>
              <w:ind w:left="113" w:right="113"/>
              <w:jc w:val="center"/>
              <w:rPr>
                <w:rFonts w:ascii="Arial Narrow" w:hAnsi="Arial Narrow" w:cs="Arial"/>
                <w:sz w:val="18"/>
                <w:szCs w:val="18"/>
              </w:rPr>
            </w:pPr>
            <w:r w:rsidRPr="00F34DD1">
              <w:rPr>
                <w:rFonts w:ascii="Arial Narrow" w:hAnsi="Arial Narrow" w:cs="Arial"/>
                <w:sz w:val="18"/>
                <w:szCs w:val="18"/>
              </w:rPr>
              <w:t>Рынок услуг детского отдыха и оздоровления</w:t>
            </w:r>
          </w:p>
        </w:tc>
        <w:tc>
          <w:tcPr>
            <w:tcW w:w="468" w:type="dxa"/>
            <w:gridSpan w:val="2"/>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272625">
            <w:pPr>
              <w:spacing w:after="0" w:line="240" w:lineRule="auto"/>
              <w:ind w:left="113" w:right="113"/>
              <w:jc w:val="center"/>
              <w:rPr>
                <w:rFonts w:ascii="Arial Narrow" w:hAnsi="Arial Narrow" w:cs="Arial"/>
                <w:sz w:val="18"/>
                <w:szCs w:val="18"/>
              </w:rPr>
            </w:pPr>
            <w:r w:rsidRPr="00F34DD1">
              <w:rPr>
                <w:rFonts w:ascii="Arial Narrow" w:hAnsi="Arial Narrow" w:cs="Arial"/>
                <w:sz w:val="18"/>
                <w:szCs w:val="18"/>
              </w:rPr>
              <w:t>Рынок дополнительного образования детей</w:t>
            </w:r>
          </w:p>
        </w:tc>
        <w:tc>
          <w:tcPr>
            <w:tcW w:w="502" w:type="dxa"/>
            <w:gridSpan w:val="2"/>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272625">
            <w:pPr>
              <w:spacing w:after="0" w:line="240" w:lineRule="auto"/>
              <w:ind w:left="113" w:right="113"/>
              <w:jc w:val="center"/>
              <w:rPr>
                <w:rFonts w:ascii="Arial Narrow" w:hAnsi="Arial Narrow" w:cs="Arial"/>
                <w:sz w:val="18"/>
                <w:szCs w:val="18"/>
              </w:rPr>
            </w:pPr>
            <w:r w:rsidRPr="00F34DD1">
              <w:rPr>
                <w:rFonts w:ascii="Arial Narrow" w:hAnsi="Arial Narrow" w:cs="Arial"/>
                <w:sz w:val="18"/>
                <w:szCs w:val="18"/>
              </w:rPr>
              <w:t>Рынок медицинских услуг</w:t>
            </w:r>
          </w:p>
        </w:tc>
        <w:tc>
          <w:tcPr>
            <w:tcW w:w="632" w:type="dxa"/>
            <w:gridSpan w:val="2"/>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272625">
            <w:pPr>
              <w:spacing w:after="0" w:line="240" w:lineRule="auto"/>
              <w:ind w:left="113" w:right="113"/>
              <w:jc w:val="center"/>
              <w:rPr>
                <w:rFonts w:ascii="Arial Narrow" w:hAnsi="Arial Narrow" w:cs="Arial"/>
                <w:sz w:val="18"/>
                <w:szCs w:val="18"/>
              </w:rPr>
            </w:pPr>
            <w:r w:rsidRPr="00F34DD1">
              <w:rPr>
                <w:rFonts w:ascii="Arial Narrow" w:hAnsi="Arial Narrow" w:cs="Arial"/>
                <w:sz w:val="18"/>
                <w:szCs w:val="18"/>
              </w:rPr>
              <w:t>Рынок услуг психолого-педагогического сопровождения детей с ограниченными возможностями здоровья</w:t>
            </w:r>
          </w:p>
        </w:tc>
        <w:tc>
          <w:tcPr>
            <w:tcW w:w="426" w:type="dxa"/>
            <w:gridSpan w:val="2"/>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272625">
            <w:pPr>
              <w:spacing w:after="0" w:line="240" w:lineRule="auto"/>
              <w:ind w:left="113" w:right="113"/>
              <w:jc w:val="center"/>
              <w:rPr>
                <w:rFonts w:ascii="Arial Narrow" w:hAnsi="Arial Narrow" w:cs="Arial"/>
                <w:sz w:val="18"/>
                <w:szCs w:val="18"/>
              </w:rPr>
            </w:pPr>
            <w:r w:rsidRPr="00F34DD1">
              <w:rPr>
                <w:rFonts w:ascii="Arial Narrow" w:hAnsi="Arial Narrow" w:cs="Arial"/>
                <w:sz w:val="18"/>
                <w:szCs w:val="18"/>
              </w:rPr>
              <w:t>Рынок услуг в сфере культуры</w:t>
            </w:r>
          </w:p>
        </w:tc>
        <w:tc>
          <w:tcPr>
            <w:tcW w:w="425" w:type="dxa"/>
            <w:gridSpan w:val="2"/>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272625">
            <w:pPr>
              <w:spacing w:after="0" w:line="240" w:lineRule="auto"/>
              <w:ind w:left="113" w:right="113"/>
              <w:jc w:val="center"/>
              <w:rPr>
                <w:rFonts w:ascii="Arial Narrow" w:hAnsi="Arial Narrow" w:cs="Arial"/>
                <w:sz w:val="18"/>
                <w:szCs w:val="18"/>
              </w:rPr>
            </w:pPr>
            <w:r w:rsidRPr="00F34DD1">
              <w:rPr>
                <w:rFonts w:ascii="Arial Narrow" w:hAnsi="Arial Narrow" w:cs="Arial"/>
                <w:sz w:val="18"/>
                <w:szCs w:val="18"/>
              </w:rPr>
              <w:t>Рынок услуг ЖКХ (управляющие компании)</w:t>
            </w:r>
          </w:p>
        </w:tc>
        <w:tc>
          <w:tcPr>
            <w:tcW w:w="425" w:type="dxa"/>
            <w:gridSpan w:val="2"/>
            <w:tcBorders>
              <w:top w:val="single" w:sz="4" w:space="0" w:color="auto"/>
              <w:left w:val="nil"/>
              <w:bottom w:val="single" w:sz="4" w:space="0" w:color="auto"/>
              <w:right w:val="single" w:sz="4" w:space="0" w:color="auto"/>
            </w:tcBorders>
            <w:noWrap/>
            <w:textDirection w:val="btLr"/>
            <w:vAlign w:val="center"/>
            <w:hideMark/>
          </w:tcPr>
          <w:p w:rsidR="00272625" w:rsidRPr="00F34DD1" w:rsidRDefault="00A64028" w:rsidP="00272625">
            <w:pPr>
              <w:spacing w:after="0" w:line="240" w:lineRule="auto"/>
              <w:ind w:left="113" w:right="113"/>
              <w:jc w:val="center"/>
              <w:rPr>
                <w:rFonts w:ascii="Arial Narrow" w:hAnsi="Arial Narrow" w:cs="Arial"/>
                <w:sz w:val="18"/>
                <w:szCs w:val="18"/>
              </w:rPr>
            </w:pPr>
            <w:r w:rsidRPr="00F34DD1">
              <w:rPr>
                <w:rFonts w:ascii="Arial Narrow" w:hAnsi="Arial Narrow" w:cs="Arial"/>
                <w:sz w:val="18"/>
                <w:szCs w:val="18"/>
              </w:rPr>
              <w:t xml:space="preserve">Розничная торговля (продажа продуктов питания и </w:t>
            </w:r>
          </w:p>
          <w:p w:rsidR="00A64028" w:rsidRPr="00F34DD1" w:rsidRDefault="00A64028" w:rsidP="00272625">
            <w:pPr>
              <w:spacing w:after="0" w:line="240" w:lineRule="auto"/>
              <w:ind w:left="113" w:right="113"/>
              <w:jc w:val="center"/>
              <w:rPr>
                <w:rFonts w:ascii="Arial Narrow" w:hAnsi="Arial Narrow" w:cs="Arial"/>
                <w:sz w:val="18"/>
                <w:szCs w:val="18"/>
              </w:rPr>
            </w:pPr>
            <w:r w:rsidRPr="00F34DD1">
              <w:rPr>
                <w:rFonts w:ascii="Arial Narrow" w:hAnsi="Arial Narrow" w:cs="Arial"/>
                <w:sz w:val="18"/>
                <w:szCs w:val="18"/>
              </w:rPr>
              <w:t>непродовольственных товаров)</w:t>
            </w:r>
          </w:p>
        </w:tc>
        <w:tc>
          <w:tcPr>
            <w:tcW w:w="567" w:type="dxa"/>
            <w:gridSpan w:val="2"/>
            <w:tcBorders>
              <w:top w:val="single" w:sz="4" w:space="0" w:color="auto"/>
              <w:left w:val="nil"/>
              <w:bottom w:val="single" w:sz="4" w:space="0" w:color="auto"/>
              <w:right w:val="single" w:sz="4" w:space="0" w:color="auto"/>
            </w:tcBorders>
            <w:noWrap/>
            <w:textDirection w:val="btLr"/>
            <w:vAlign w:val="center"/>
            <w:hideMark/>
          </w:tcPr>
          <w:p w:rsidR="00272625" w:rsidRPr="00F34DD1" w:rsidRDefault="00A64028" w:rsidP="00272625">
            <w:pPr>
              <w:spacing w:after="0" w:line="240" w:lineRule="auto"/>
              <w:ind w:left="113" w:right="113"/>
              <w:jc w:val="center"/>
              <w:rPr>
                <w:rFonts w:ascii="Arial Narrow" w:hAnsi="Arial Narrow" w:cs="Arial"/>
                <w:sz w:val="18"/>
                <w:szCs w:val="18"/>
              </w:rPr>
            </w:pPr>
            <w:r w:rsidRPr="00F34DD1">
              <w:rPr>
                <w:rFonts w:ascii="Arial Narrow" w:hAnsi="Arial Narrow" w:cs="Arial"/>
                <w:sz w:val="18"/>
                <w:szCs w:val="18"/>
              </w:rPr>
              <w:t xml:space="preserve">Рынок услуг перевозок пассажиров наземным </w:t>
            </w:r>
          </w:p>
          <w:p w:rsidR="00A64028" w:rsidRPr="00F34DD1" w:rsidRDefault="00A64028" w:rsidP="00272625">
            <w:pPr>
              <w:spacing w:after="0" w:line="240" w:lineRule="auto"/>
              <w:ind w:left="113" w:right="113"/>
              <w:jc w:val="center"/>
              <w:rPr>
                <w:rFonts w:ascii="Arial Narrow" w:hAnsi="Arial Narrow" w:cs="Arial"/>
                <w:sz w:val="18"/>
                <w:szCs w:val="18"/>
              </w:rPr>
            </w:pPr>
            <w:r w:rsidRPr="00F34DD1">
              <w:rPr>
                <w:rFonts w:ascii="Arial Narrow" w:hAnsi="Arial Narrow" w:cs="Arial"/>
                <w:sz w:val="18"/>
                <w:szCs w:val="18"/>
              </w:rPr>
              <w:t>транспортом (автобусные перевозки и такси)</w:t>
            </w:r>
          </w:p>
        </w:tc>
        <w:tc>
          <w:tcPr>
            <w:tcW w:w="384" w:type="dxa"/>
            <w:gridSpan w:val="2"/>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272625">
            <w:pPr>
              <w:spacing w:after="0" w:line="240" w:lineRule="auto"/>
              <w:ind w:left="113" w:right="113"/>
              <w:jc w:val="center"/>
              <w:rPr>
                <w:rFonts w:ascii="Arial Narrow" w:hAnsi="Arial Narrow" w:cs="Arial"/>
                <w:sz w:val="18"/>
                <w:szCs w:val="18"/>
              </w:rPr>
            </w:pPr>
            <w:r w:rsidRPr="00F34DD1">
              <w:rPr>
                <w:rFonts w:ascii="Arial Narrow" w:hAnsi="Arial Narrow" w:cs="Arial"/>
                <w:sz w:val="18"/>
                <w:szCs w:val="18"/>
              </w:rPr>
              <w:t>Рынок услуг связи</w:t>
            </w:r>
          </w:p>
        </w:tc>
        <w:tc>
          <w:tcPr>
            <w:tcW w:w="567" w:type="dxa"/>
            <w:gridSpan w:val="2"/>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272625">
            <w:pPr>
              <w:spacing w:after="0" w:line="240" w:lineRule="auto"/>
              <w:ind w:left="113" w:right="113"/>
              <w:jc w:val="center"/>
              <w:rPr>
                <w:rFonts w:ascii="Arial Narrow" w:hAnsi="Arial Narrow" w:cs="Arial"/>
                <w:sz w:val="18"/>
                <w:szCs w:val="18"/>
              </w:rPr>
            </w:pPr>
            <w:r w:rsidRPr="00F34DD1">
              <w:rPr>
                <w:rFonts w:ascii="Arial Narrow" w:hAnsi="Arial Narrow" w:cs="Arial"/>
                <w:sz w:val="18"/>
                <w:szCs w:val="18"/>
              </w:rPr>
              <w:t>Рынок услуг социального обслуживания населения</w:t>
            </w:r>
          </w:p>
        </w:tc>
        <w:tc>
          <w:tcPr>
            <w:tcW w:w="608" w:type="dxa"/>
            <w:gridSpan w:val="2"/>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272625">
            <w:pPr>
              <w:spacing w:after="0" w:line="240" w:lineRule="auto"/>
              <w:ind w:left="113" w:right="113"/>
              <w:jc w:val="center"/>
              <w:rPr>
                <w:rFonts w:ascii="Arial Narrow" w:hAnsi="Arial Narrow" w:cs="Arial"/>
                <w:sz w:val="18"/>
                <w:szCs w:val="18"/>
              </w:rPr>
            </w:pPr>
            <w:r w:rsidRPr="00F34DD1">
              <w:rPr>
                <w:rFonts w:ascii="Arial Narrow" w:hAnsi="Arial Narrow" w:cs="Arial"/>
                <w:sz w:val="18"/>
                <w:szCs w:val="18"/>
              </w:rPr>
              <w:t>Рынок развития, производства, переработки и хранения сельскохозяйственной продукции</w:t>
            </w:r>
          </w:p>
        </w:tc>
        <w:tc>
          <w:tcPr>
            <w:tcW w:w="622" w:type="dxa"/>
            <w:gridSpan w:val="2"/>
            <w:tcBorders>
              <w:top w:val="single" w:sz="4" w:space="0" w:color="auto"/>
              <w:left w:val="nil"/>
              <w:bottom w:val="single" w:sz="4" w:space="0" w:color="auto"/>
              <w:right w:val="single" w:sz="4" w:space="0" w:color="auto"/>
            </w:tcBorders>
            <w:noWrap/>
            <w:textDirection w:val="btLr"/>
            <w:vAlign w:val="center"/>
            <w:hideMark/>
          </w:tcPr>
          <w:p w:rsidR="00272625" w:rsidRPr="00F34DD1" w:rsidRDefault="00A64028" w:rsidP="00272625">
            <w:pPr>
              <w:spacing w:after="0" w:line="240" w:lineRule="auto"/>
              <w:ind w:left="113" w:right="113"/>
              <w:jc w:val="center"/>
              <w:rPr>
                <w:rFonts w:ascii="Arial Narrow" w:hAnsi="Arial Narrow" w:cs="Arial"/>
                <w:sz w:val="18"/>
                <w:szCs w:val="18"/>
              </w:rPr>
            </w:pPr>
            <w:r w:rsidRPr="00F34DD1">
              <w:rPr>
                <w:rFonts w:ascii="Arial Narrow" w:hAnsi="Arial Narrow" w:cs="Arial"/>
                <w:sz w:val="18"/>
                <w:szCs w:val="18"/>
              </w:rPr>
              <w:t xml:space="preserve">Рынок услуг по сбору, сортировке и переработке </w:t>
            </w:r>
          </w:p>
          <w:p w:rsidR="00A64028" w:rsidRPr="00F34DD1" w:rsidRDefault="00A64028" w:rsidP="00272625">
            <w:pPr>
              <w:spacing w:after="0" w:line="240" w:lineRule="auto"/>
              <w:ind w:left="113" w:right="113"/>
              <w:jc w:val="center"/>
              <w:rPr>
                <w:rFonts w:ascii="Arial Narrow" w:hAnsi="Arial Narrow" w:cs="Arial"/>
                <w:sz w:val="18"/>
                <w:szCs w:val="18"/>
              </w:rPr>
            </w:pPr>
            <w:r w:rsidRPr="00F34DD1">
              <w:rPr>
                <w:rFonts w:ascii="Arial Narrow" w:hAnsi="Arial Narrow" w:cs="Arial"/>
                <w:sz w:val="18"/>
                <w:szCs w:val="18"/>
              </w:rPr>
              <w:t>твердых коммунальных (бытовых) отходов</w:t>
            </w:r>
          </w:p>
        </w:tc>
      </w:tr>
      <w:tr w:rsidR="00A64028" w:rsidRPr="00507E3F" w:rsidTr="00A64028">
        <w:tc>
          <w:tcPr>
            <w:tcW w:w="421" w:type="dxa"/>
            <w:tcBorders>
              <w:top w:val="nil"/>
              <w:left w:val="single" w:sz="4" w:space="0" w:color="auto"/>
              <w:bottom w:val="single" w:sz="4" w:space="0" w:color="auto"/>
              <w:right w:val="single" w:sz="4" w:space="0" w:color="auto"/>
            </w:tcBorders>
            <w:vAlign w:val="center"/>
            <w:hideMark/>
          </w:tcPr>
          <w:p w:rsidR="00A64028" w:rsidRPr="00507E3F" w:rsidRDefault="00A64028" w:rsidP="00103148">
            <w:pPr>
              <w:spacing w:after="0" w:line="254" w:lineRule="auto"/>
              <w:jc w:val="center"/>
              <w:rPr>
                <w:rFonts w:ascii="Arial Narrow" w:hAnsi="Arial Narrow" w:cs="Arial"/>
                <w:b/>
                <w:bCs/>
                <w:sz w:val="18"/>
                <w:szCs w:val="18"/>
              </w:rPr>
            </w:pPr>
            <w:r w:rsidRPr="00507E3F">
              <w:rPr>
                <w:rFonts w:ascii="Arial Narrow" w:hAnsi="Arial Narrow" w:cs="Arial"/>
                <w:b/>
                <w:bCs/>
                <w:sz w:val="18"/>
                <w:szCs w:val="18"/>
              </w:rPr>
              <w:t>3.</w:t>
            </w:r>
          </w:p>
        </w:tc>
        <w:tc>
          <w:tcPr>
            <w:tcW w:w="9796" w:type="dxa"/>
            <w:gridSpan w:val="30"/>
            <w:tcBorders>
              <w:top w:val="single" w:sz="4" w:space="0" w:color="auto"/>
              <w:left w:val="nil"/>
              <w:bottom w:val="single" w:sz="4" w:space="0" w:color="auto"/>
              <w:right w:val="single" w:sz="4" w:space="0" w:color="000000"/>
            </w:tcBorders>
            <w:vAlign w:val="center"/>
            <w:hideMark/>
          </w:tcPr>
          <w:p w:rsidR="00A64028" w:rsidRPr="00507E3F" w:rsidRDefault="00A64028" w:rsidP="00103148">
            <w:pPr>
              <w:spacing w:after="0" w:line="254" w:lineRule="auto"/>
              <w:ind w:left="148"/>
              <w:rPr>
                <w:rFonts w:ascii="Arial Narrow" w:hAnsi="Arial Narrow" w:cs="Arial"/>
                <w:b/>
                <w:bCs/>
                <w:sz w:val="18"/>
                <w:szCs w:val="18"/>
              </w:rPr>
            </w:pPr>
            <w:r w:rsidRPr="00507E3F">
              <w:rPr>
                <w:rFonts w:ascii="Arial Narrow" w:hAnsi="Arial Narrow" w:cs="Arial"/>
                <w:b/>
                <w:bCs/>
                <w:sz w:val="18"/>
                <w:szCs w:val="18"/>
              </w:rPr>
              <w:t>Мониторинг удовлетворенности субъектов предпринимательской деятельности и потребителей товаров, работ и услуг качеством официальной информации о состоянии конкурентной среды на рынках товаров, работ и услуг и деятельности по содействию развитию конкуренции в Новосибирской области, размещаемой уполномоченным органом и муниципальными образованиями</w:t>
            </w:r>
          </w:p>
        </w:tc>
      </w:tr>
      <w:tr w:rsidR="00A64028" w:rsidRPr="00507E3F" w:rsidTr="00A64028">
        <w:trPr>
          <w:gridAfter w:val="2"/>
          <w:wAfter w:w="16" w:type="dxa"/>
        </w:trPr>
        <w:tc>
          <w:tcPr>
            <w:tcW w:w="421" w:type="dxa"/>
            <w:tcBorders>
              <w:top w:val="nil"/>
              <w:left w:val="single" w:sz="4" w:space="0" w:color="auto"/>
              <w:bottom w:val="single" w:sz="4" w:space="0" w:color="auto"/>
              <w:right w:val="single" w:sz="4" w:space="0" w:color="auto"/>
            </w:tcBorders>
            <w:vAlign w:val="center"/>
            <w:hideMark/>
          </w:tcPr>
          <w:p w:rsidR="00A64028" w:rsidRPr="00507E3F" w:rsidRDefault="00A64028" w:rsidP="00103148">
            <w:pPr>
              <w:spacing w:after="0" w:line="254" w:lineRule="auto"/>
              <w:jc w:val="center"/>
              <w:rPr>
                <w:rFonts w:ascii="Arial Narrow" w:hAnsi="Arial Narrow" w:cs="Arial"/>
                <w:sz w:val="18"/>
                <w:szCs w:val="18"/>
              </w:rPr>
            </w:pPr>
            <w:r w:rsidRPr="00507E3F">
              <w:rPr>
                <w:rFonts w:ascii="Arial Narrow" w:hAnsi="Arial Narrow" w:cs="Arial"/>
                <w:sz w:val="18"/>
                <w:szCs w:val="18"/>
              </w:rPr>
              <w:t>3.7.</w:t>
            </w:r>
          </w:p>
        </w:tc>
        <w:tc>
          <w:tcPr>
            <w:tcW w:w="2557" w:type="dxa"/>
            <w:tcBorders>
              <w:top w:val="nil"/>
              <w:left w:val="nil"/>
              <w:bottom w:val="single" w:sz="4" w:space="0" w:color="auto"/>
              <w:right w:val="single" w:sz="4" w:space="0" w:color="auto"/>
            </w:tcBorders>
            <w:vAlign w:val="center"/>
            <w:hideMark/>
          </w:tcPr>
          <w:p w:rsidR="00A64028" w:rsidRPr="00507E3F" w:rsidRDefault="00A64028" w:rsidP="00103148">
            <w:pPr>
              <w:spacing w:after="0" w:line="254" w:lineRule="auto"/>
              <w:ind w:left="148" w:right="142"/>
              <w:rPr>
                <w:rFonts w:ascii="Arial Narrow" w:hAnsi="Arial Narrow" w:cs="Arial"/>
                <w:sz w:val="18"/>
                <w:szCs w:val="18"/>
              </w:rPr>
            </w:pPr>
            <w:r w:rsidRPr="00507E3F">
              <w:rPr>
                <w:rFonts w:ascii="Arial Narrow" w:hAnsi="Arial Narrow" w:cs="Arial"/>
                <w:sz w:val="18"/>
                <w:szCs w:val="18"/>
              </w:rPr>
              <w:t>Доля потребителей, удовлетворенных уровнем удобства получения информации, размещаемой Министерством экономического развития Новосибирской области и органами местного самоуправления в открытом доступе, о деятельности негосударственных организаций, оказывающих услуги/ предоставляющих товары на социально значимых и приоритетных рынках (% от числа опрошенных)</w:t>
            </w:r>
          </w:p>
        </w:tc>
        <w:tc>
          <w:tcPr>
            <w:tcW w:w="506" w:type="dxa"/>
            <w:tcBorders>
              <w:top w:val="nil"/>
              <w:left w:val="nil"/>
              <w:bottom w:val="single" w:sz="4" w:space="0" w:color="auto"/>
              <w:right w:val="single" w:sz="4" w:space="0" w:color="auto"/>
            </w:tcBorders>
            <w:noWrap/>
            <w:vAlign w:val="center"/>
            <w:hideMark/>
          </w:tcPr>
          <w:p w:rsidR="00A64028" w:rsidRPr="00507E3F" w:rsidRDefault="00A64028" w:rsidP="00103148">
            <w:pPr>
              <w:spacing w:after="0" w:line="254" w:lineRule="auto"/>
              <w:jc w:val="center"/>
              <w:rPr>
                <w:rFonts w:ascii="Arial Narrow" w:hAnsi="Arial Narrow" w:cs="Arial"/>
                <w:sz w:val="18"/>
                <w:szCs w:val="18"/>
              </w:rPr>
            </w:pPr>
            <w:r w:rsidRPr="00507E3F">
              <w:rPr>
                <w:rFonts w:ascii="Arial Narrow" w:hAnsi="Arial Narrow" w:cs="Arial"/>
                <w:sz w:val="18"/>
                <w:szCs w:val="18"/>
              </w:rPr>
              <w:t>67%</w:t>
            </w:r>
          </w:p>
        </w:tc>
        <w:tc>
          <w:tcPr>
            <w:tcW w:w="567" w:type="dxa"/>
            <w:gridSpan w:val="2"/>
            <w:tcBorders>
              <w:top w:val="nil"/>
              <w:left w:val="nil"/>
              <w:bottom w:val="single" w:sz="4" w:space="0" w:color="auto"/>
              <w:right w:val="single" w:sz="4" w:space="0" w:color="auto"/>
            </w:tcBorders>
            <w:noWrap/>
            <w:vAlign w:val="center"/>
            <w:hideMark/>
          </w:tcPr>
          <w:p w:rsidR="00A64028" w:rsidRPr="00507E3F" w:rsidRDefault="00A64028" w:rsidP="00103148">
            <w:pPr>
              <w:spacing w:after="0" w:line="254" w:lineRule="auto"/>
              <w:jc w:val="center"/>
              <w:rPr>
                <w:rFonts w:ascii="Arial Narrow" w:hAnsi="Arial Narrow" w:cs="Arial"/>
                <w:sz w:val="18"/>
                <w:szCs w:val="18"/>
              </w:rPr>
            </w:pPr>
            <w:r w:rsidRPr="00507E3F">
              <w:rPr>
                <w:rFonts w:ascii="Arial Narrow" w:hAnsi="Arial Narrow" w:cs="Arial"/>
                <w:sz w:val="18"/>
                <w:szCs w:val="18"/>
              </w:rPr>
              <w:t>64%</w:t>
            </w:r>
          </w:p>
        </w:tc>
        <w:tc>
          <w:tcPr>
            <w:tcW w:w="524" w:type="dxa"/>
            <w:gridSpan w:val="2"/>
            <w:tcBorders>
              <w:top w:val="nil"/>
              <w:left w:val="nil"/>
              <w:bottom w:val="single" w:sz="4" w:space="0" w:color="auto"/>
              <w:right w:val="single" w:sz="4" w:space="0" w:color="auto"/>
            </w:tcBorders>
            <w:noWrap/>
            <w:vAlign w:val="center"/>
            <w:hideMark/>
          </w:tcPr>
          <w:p w:rsidR="00A64028" w:rsidRPr="00507E3F" w:rsidRDefault="00A64028" w:rsidP="00103148">
            <w:pPr>
              <w:spacing w:after="0" w:line="254" w:lineRule="auto"/>
              <w:jc w:val="center"/>
              <w:rPr>
                <w:rFonts w:ascii="Arial Narrow" w:hAnsi="Arial Narrow" w:cs="Arial"/>
                <w:sz w:val="18"/>
                <w:szCs w:val="18"/>
              </w:rPr>
            </w:pPr>
            <w:r w:rsidRPr="00507E3F">
              <w:rPr>
                <w:rFonts w:ascii="Arial Narrow" w:hAnsi="Arial Narrow" w:cs="Arial"/>
                <w:sz w:val="18"/>
                <w:szCs w:val="18"/>
              </w:rPr>
              <w:t>62%</w:t>
            </w:r>
          </w:p>
        </w:tc>
        <w:tc>
          <w:tcPr>
            <w:tcW w:w="468" w:type="dxa"/>
            <w:gridSpan w:val="2"/>
            <w:tcBorders>
              <w:top w:val="nil"/>
              <w:left w:val="nil"/>
              <w:bottom w:val="single" w:sz="4" w:space="0" w:color="auto"/>
              <w:right w:val="single" w:sz="4" w:space="0" w:color="auto"/>
            </w:tcBorders>
            <w:noWrap/>
            <w:vAlign w:val="center"/>
            <w:hideMark/>
          </w:tcPr>
          <w:p w:rsidR="00A64028" w:rsidRPr="00507E3F" w:rsidRDefault="00A64028" w:rsidP="00103148">
            <w:pPr>
              <w:spacing w:after="0" w:line="254" w:lineRule="auto"/>
              <w:jc w:val="center"/>
              <w:rPr>
                <w:rFonts w:ascii="Arial Narrow" w:hAnsi="Arial Narrow" w:cs="Arial"/>
                <w:sz w:val="18"/>
                <w:szCs w:val="18"/>
              </w:rPr>
            </w:pPr>
            <w:r w:rsidRPr="00507E3F">
              <w:rPr>
                <w:rFonts w:ascii="Arial Narrow" w:hAnsi="Arial Narrow" w:cs="Arial"/>
                <w:sz w:val="18"/>
                <w:szCs w:val="18"/>
              </w:rPr>
              <w:t>64%</w:t>
            </w:r>
          </w:p>
        </w:tc>
        <w:tc>
          <w:tcPr>
            <w:tcW w:w="502" w:type="dxa"/>
            <w:gridSpan w:val="2"/>
            <w:tcBorders>
              <w:top w:val="nil"/>
              <w:left w:val="nil"/>
              <w:bottom w:val="single" w:sz="4" w:space="0" w:color="auto"/>
              <w:right w:val="single" w:sz="4" w:space="0" w:color="auto"/>
            </w:tcBorders>
            <w:noWrap/>
            <w:vAlign w:val="center"/>
            <w:hideMark/>
          </w:tcPr>
          <w:p w:rsidR="00A64028" w:rsidRPr="00507E3F" w:rsidRDefault="00A64028" w:rsidP="00103148">
            <w:pPr>
              <w:spacing w:after="0" w:line="254" w:lineRule="auto"/>
              <w:jc w:val="center"/>
              <w:rPr>
                <w:rFonts w:ascii="Arial Narrow" w:hAnsi="Arial Narrow" w:cs="Arial"/>
                <w:sz w:val="18"/>
                <w:szCs w:val="18"/>
              </w:rPr>
            </w:pPr>
            <w:r w:rsidRPr="00507E3F">
              <w:rPr>
                <w:rFonts w:ascii="Arial Narrow" w:hAnsi="Arial Narrow" w:cs="Arial"/>
                <w:sz w:val="18"/>
                <w:szCs w:val="18"/>
              </w:rPr>
              <w:t>65%</w:t>
            </w:r>
          </w:p>
        </w:tc>
        <w:tc>
          <w:tcPr>
            <w:tcW w:w="632" w:type="dxa"/>
            <w:gridSpan w:val="2"/>
            <w:tcBorders>
              <w:top w:val="nil"/>
              <w:left w:val="nil"/>
              <w:bottom w:val="single" w:sz="4" w:space="0" w:color="auto"/>
              <w:right w:val="single" w:sz="4" w:space="0" w:color="auto"/>
            </w:tcBorders>
            <w:noWrap/>
            <w:vAlign w:val="center"/>
            <w:hideMark/>
          </w:tcPr>
          <w:p w:rsidR="00A64028" w:rsidRPr="00507E3F" w:rsidRDefault="00A64028" w:rsidP="00103148">
            <w:pPr>
              <w:spacing w:after="0" w:line="254" w:lineRule="auto"/>
              <w:jc w:val="center"/>
              <w:rPr>
                <w:rFonts w:ascii="Arial Narrow" w:hAnsi="Arial Narrow" w:cs="Arial"/>
                <w:sz w:val="18"/>
                <w:szCs w:val="18"/>
              </w:rPr>
            </w:pPr>
            <w:r w:rsidRPr="00507E3F">
              <w:rPr>
                <w:rFonts w:ascii="Arial Narrow" w:hAnsi="Arial Narrow" w:cs="Arial"/>
                <w:sz w:val="18"/>
                <w:szCs w:val="18"/>
              </w:rPr>
              <w:t>55%</w:t>
            </w:r>
          </w:p>
        </w:tc>
        <w:tc>
          <w:tcPr>
            <w:tcW w:w="426" w:type="dxa"/>
            <w:gridSpan w:val="2"/>
            <w:tcBorders>
              <w:top w:val="nil"/>
              <w:left w:val="nil"/>
              <w:bottom w:val="single" w:sz="4" w:space="0" w:color="auto"/>
              <w:right w:val="single" w:sz="4" w:space="0" w:color="auto"/>
            </w:tcBorders>
            <w:noWrap/>
            <w:vAlign w:val="center"/>
            <w:hideMark/>
          </w:tcPr>
          <w:p w:rsidR="00A64028" w:rsidRPr="00507E3F" w:rsidRDefault="00A64028" w:rsidP="00103148">
            <w:pPr>
              <w:spacing w:after="0" w:line="254" w:lineRule="auto"/>
              <w:jc w:val="center"/>
              <w:rPr>
                <w:rFonts w:ascii="Arial Narrow" w:hAnsi="Arial Narrow" w:cs="Arial"/>
                <w:sz w:val="18"/>
                <w:szCs w:val="18"/>
              </w:rPr>
            </w:pPr>
            <w:r w:rsidRPr="00507E3F">
              <w:rPr>
                <w:rFonts w:ascii="Arial Narrow" w:hAnsi="Arial Narrow" w:cs="Arial"/>
                <w:sz w:val="18"/>
                <w:szCs w:val="18"/>
              </w:rPr>
              <w:t>79%</w:t>
            </w:r>
          </w:p>
        </w:tc>
        <w:tc>
          <w:tcPr>
            <w:tcW w:w="425" w:type="dxa"/>
            <w:gridSpan w:val="2"/>
            <w:tcBorders>
              <w:top w:val="nil"/>
              <w:left w:val="nil"/>
              <w:bottom w:val="single" w:sz="4" w:space="0" w:color="auto"/>
              <w:right w:val="single" w:sz="4" w:space="0" w:color="auto"/>
            </w:tcBorders>
            <w:noWrap/>
            <w:vAlign w:val="center"/>
            <w:hideMark/>
          </w:tcPr>
          <w:p w:rsidR="00A64028" w:rsidRPr="00507E3F" w:rsidRDefault="00A64028" w:rsidP="00103148">
            <w:pPr>
              <w:spacing w:after="0" w:line="254" w:lineRule="auto"/>
              <w:jc w:val="center"/>
              <w:rPr>
                <w:rFonts w:ascii="Arial Narrow" w:hAnsi="Arial Narrow" w:cs="Arial"/>
                <w:sz w:val="18"/>
                <w:szCs w:val="18"/>
              </w:rPr>
            </w:pPr>
            <w:r w:rsidRPr="00507E3F">
              <w:rPr>
                <w:rFonts w:ascii="Arial Narrow" w:hAnsi="Arial Narrow" w:cs="Arial"/>
                <w:sz w:val="18"/>
                <w:szCs w:val="18"/>
              </w:rPr>
              <w:t>73%</w:t>
            </w:r>
          </w:p>
        </w:tc>
        <w:tc>
          <w:tcPr>
            <w:tcW w:w="425" w:type="dxa"/>
            <w:gridSpan w:val="2"/>
            <w:tcBorders>
              <w:top w:val="nil"/>
              <w:left w:val="nil"/>
              <w:bottom w:val="single" w:sz="4" w:space="0" w:color="auto"/>
              <w:right w:val="single" w:sz="4" w:space="0" w:color="auto"/>
            </w:tcBorders>
            <w:noWrap/>
            <w:vAlign w:val="center"/>
            <w:hideMark/>
          </w:tcPr>
          <w:p w:rsidR="00A64028" w:rsidRPr="00507E3F" w:rsidRDefault="00A64028" w:rsidP="00103148">
            <w:pPr>
              <w:spacing w:after="0" w:line="254" w:lineRule="auto"/>
              <w:jc w:val="center"/>
              <w:rPr>
                <w:rFonts w:ascii="Arial Narrow" w:hAnsi="Arial Narrow" w:cs="Arial"/>
                <w:sz w:val="18"/>
                <w:szCs w:val="18"/>
              </w:rPr>
            </w:pPr>
            <w:r w:rsidRPr="00507E3F">
              <w:rPr>
                <w:rFonts w:ascii="Arial Narrow" w:hAnsi="Arial Narrow" w:cs="Arial"/>
                <w:sz w:val="18"/>
                <w:szCs w:val="18"/>
              </w:rPr>
              <w:t>59%</w:t>
            </w:r>
          </w:p>
        </w:tc>
        <w:tc>
          <w:tcPr>
            <w:tcW w:w="567" w:type="dxa"/>
            <w:gridSpan w:val="2"/>
            <w:tcBorders>
              <w:top w:val="nil"/>
              <w:left w:val="nil"/>
              <w:bottom w:val="single" w:sz="4" w:space="0" w:color="auto"/>
              <w:right w:val="single" w:sz="4" w:space="0" w:color="auto"/>
            </w:tcBorders>
            <w:noWrap/>
            <w:vAlign w:val="center"/>
            <w:hideMark/>
          </w:tcPr>
          <w:p w:rsidR="00A64028" w:rsidRPr="00507E3F" w:rsidRDefault="00A64028" w:rsidP="00103148">
            <w:pPr>
              <w:spacing w:after="0" w:line="254" w:lineRule="auto"/>
              <w:jc w:val="center"/>
              <w:rPr>
                <w:rFonts w:ascii="Arial Narrow" w:hAnsi="Arial Narrow" w:cs="Arial"/>
                <w:sz w:val="18"/>
                <w:szCs w:val="18"/>
              </w:rPr>
            </w:pPr>
            <w:r w:rsidRPr="00507E3F">
              <w:rPr>
                <w:rFonts w:ascii="Arial Narrow" w:hAnsi="Arial Narrow" w:cs="Arial"/>
                <w:sz w:val="18"/>
                <w:szCs w:val="18"/>
              </w:rPr>
              <w:t>80%</w:t>
            </w:r>
          </w:p>
        </w:tc>
        <w:tc>
          <w:tcPr>
            <w:tcW w:w="384" w:type="dxa"/>
            <w:gridSpan w:val="2"/>
            <w:tcBorders>
              <w:top w:val="nil"/>
              <w:left w:val="nil"/>
              <w:bottom w:val="single" w:sz="4" w:space="0" w:color="auto"/>
              <w:right w:val="single" w:sz="4" w:space="0" w:color="auto"/>
            </w:tcBorders>
            <w:noWrap/>
            <w:vAlign w:val="center"/>
            <w:hideMark/>
          </w:tcPr>
          <w:p w:rsidR="00A64028" w:rsidRPr="00507E3F" w:rsidRDefault="00A64028" w:rsidP="00103148">
            <w:pPr>
              <w:spacing w:after="0" w:line="254" w:lineRule="auto"/>
              <w:jc w:val="center"/>
              <w:rPr>
                <w:rFonts w:ascii="Arial Narrow" w:hAnsi="Arial Narrow" w:cs="Arial"/>
                <w:sz w:val="18"/>
                <w:szCs w:val="18"/>
              </w:rPr>
            </w:pPr>
            <w:r w:rsidRPr="00507E3F">
              <w:rPr>
                <w:rFonts w:ascii="Arial Narrow" w:hAnsi="Arial Narrow" w:cs="Arial"/>
                <w:sz w:val="18"/>
                <w:szCs w:val="18"/>
              </w:rPr>
              <w:t>80%</w:t>
            </w:r>
          </w:p>
        </w:tc>
        <w:tc>
          <w:tcPr>
            <w:tcW w:w="567" w:type="dxa"/>
            <w:gridSpan w:val="2"/>
            <w:tcBorders>
              <w:top w:val="nil"/>
              <w:left w:val="nil"/>
              <w:bottom w:val="single" w:sz="4" w:space="0" w:color="auto"/>
              <w:right w:val="single" w:sz="4" w:space="0" w:color="auto"/>
            </w:tcBorders>
            <w:noWrap/>
            <w:vAlign w:val="center"/>
            <w:hideMark/>
          </w:tcPr>
          <w:p w:rsidR="00A64028" w:rsidRPr="00507E3F" w:rsidRDefault="00A64028" w:rsidP="00103148">
            <w:pPr>
              <w:spacing w:after="0" w:line="254" w:lineRule="auto"/>
              <w:jc w:val="center"/>
              <w:rPr>
                <w:rFonts w:ascii="Arial Narrow" w:hAnsi="Arial Narrow" w:cs="Arial"/>
                <w:sz w:val="18"/>
                <w:szCs w:val="18"/>
              </w:rPr>
            </w:pPr>
            <w:r w:rsidRPr="00507E3F">
              <w:rPr>
                <w:rFonts w:ascii="Arial Narrow" w:hAnsi="Arial Narrow" w:cs="Arial"/>
                <w:sz w:val="18"/>
                <w:szCs w:val="18"/>
              </w:rPr>
              <w:t>74%</w:t>
            </w:r>
          </w:p>
        </w:tc>
        <w:tc>
          <w:tcPr>
            <w:tcW w:w="608" w:type="dxa"/>
            <w:gridSpan w:val="2"/>
            <w:tcBorders>
              <w:top w:val="nil"/>
              <w:left w:val="nil"/>
              <w:bottom w:val="single" w:sz="4" w:space="0" w:color="auto"/>
              <w:right w:val="single" w:sz="4" w:space="0" w:color="auto"/>
            </w:tcBorders>
            <w:noWrap/>
            <w:vAlign w:val="center"/>
            <w:hideMark/>
          </w:tcPr>
          <w:p w:rsidR="00A64028" w:rsidRPr="00507E3F" w:rsidRDefault="00A64028" w:rsidP="00103148">
            <w:pPr>
              <w:spacing w:after="0" w:line="254" w:lineRule="auto"/>
              <w:jc w:val="center"/>
              <w:rPr>
                <w:rFonts w:ascii="Arial Narrow" w:hAnsi="Arial Narrow" w:cs="Arial"/>
                <w:sz w:val="18"/>
                <w:szCs w:val="18"/>
              </w:rPr>
            </w:pPr>
            <w:r w:rsidRPr="00507E3F">
              <w:rPr>
                <w:rFonts w:ascii="Arial Narrow" w:hAnsi="Arial Narrow" w:cs="Arial"/>
                <w:sz w:val="18"/>
                <w:szCs w:val="18"/>
              </w:rPr>
              <w:t>75%</w:t>
            </w:r>
          </w:p>
        </w:tc>
        <w:tc>
          <w:tcPr>
            <w:tcW w:w="622" w:type="dxa"/>
            <w:gridSpan w:val="2"/>
            <w:tcBorders>
              <w:top w:val="nil"/>
              <w:left w:val="nil"/>
              <w:bottom w:val="single" w:sz="4" w:space="0" w:color="auto"/>
              <w:right w:val="single" w:sz="4" w:space="0" w:color="auto"/>
            </w:tcBorders>
            <w:noWrap/>
            <w:vAlign w:val="center"/>
            <w:hideMark/>
          </w:tcPr>
          <w:p w:rsidR="00A64028" w:rsidRPr="00507E3F" w:rsidRDefault="00A64028" w:rsidP="00103148">
            <w:pPr>
              <w:spacing w:after="0" w:line="254" w:lineRule="auto"/>
              <w:jc w:val="center"/>
              <w:rPr>
                <w:rFonts w:ascii="Arial Narrow" w:hAnsi="Arial Narrow" w:cs="Arial"/>
                <w:sz w:val="18"/>
                <w:szCs w:val="18"/>
              </w:rPr>
            </w:pPr>
            <w:r w:rsidRPr="00507E3F">
              <w:rPr>
                <w:rFonts w:ascii="Arial Narrow" w:hAnsi="Arial Narrow" w:cs="Arial"/>
                <w:sz w:val="18"/>
                <w:szCs w:val="18"/>
              </w:rPr>
              <w:t>39%</w:t>
            </w:r>
          </w:p>
        </w:tc>
      </w:tr>
    </w:tbl>
    <w:p w:rsidR="00A64028" w:rsidRPr="0030560B" w:rsidRDefault="00A64028" w:rsidP="00507E3F">
      <w:pPr>
        <w:spacing w:after="0" w:line="360" w:lineRule="auto"/>
        <w:ind w:firstLine="284"/>
        <w:jc w:val="both"/>
        <w:rPr>
          <w:rFonts w:ascii="Arial Narrow" w:eastAsia="Calibri" w:hAnsi="Arial Narrow"/>
        </w:rPr>
      </w:pPr>
      <w:r>
        <w:rPr>
          <w:rFonts w:ascii="Arial Narrow" w:hAnsi="Arial Narrow" w:cs="Arial"/>
          <w:sz w:val="24"/>
          <w:szCs w:val="24"/>
        </w:rPr>
        <w:t xml:space="preserve">Каждое из трех направлений оценки (уровень доступности, понятности и удобства получения информации) оценено потребителями товаров, работ и услуг примерно одинаково, что говорит о целостном восприятии удовлетворенности качеством предоставляемой информации по данным показателям (разница значений для 10 рынков составляет не более 7 %). Исключение составляют 3 рынка, уровень доступности информации о которых оценен значительно ниже, чем ее понятность и удобство получения. Это рынок розничной торговли (уровень доступности информации – 41 %, понятности – 69 %, удобство получения – 59 %), рынок развития, производства, переработки и хранения сельскохозяйственной продукции (уровень доступности информации – 68 %, понятности – 79 %, удобство получения – 75 %), рынок услуг по сбору, сортировке и переработке твердых коммунальных (бытовых) отходов (уровень доступности информации – 25 %, понятности – 44 %, удобство получения – 39 %). </w:t>
      </w:r>
    </w:p>
    <w:p w:rsidR="00A64028" w:rsidRPr="0030560B" w:rsidRDefault="00A64028" w:rsidP="00262F71">
      <w:pPr>
        <w:pStyle w:val="1"/>
        <w:jc w:val="both"/>
        <w:rPr>
          <w:rFonts w:ascii="Arial Narrow" w:hAnsi="Arial Narrow"/>
        </w:rPr>
      </w:pPr>
      <w:bookmarkStart w:id="98" w:name="_Toc469663938"/>
      <w:bookmarkStart w:id="99" w:name="_Toc473725877"/>
      <w:r>
        <w:rPr>
          <w:rFonts w:ascii="Arial Narrow" w:hAnsi="Arial Narrow"/>
        </w:rPr>
        <w:lastRenderedPageBreak/>
        <w:t>5</w:t>
      </w:r>
      <w:r w:rsidRPr="0030560B">
        <w:rPr>
          <w:rFonts w:ascii="Arial Narrow" w:hAnsi="Arial Narrow"/>
        </w:rPr>
        <w:t xml:space="preserve">. </w:t>
      </w:r>
      <w:bookmarkEnd w:id="98"/>
      <w:r w:rsidRPr="0030560B">
        <w:rPr>
          <w:rFonts w:ascii="Arial Narrow" w:hAnsi="Arial Narrow"/>
        </w:rPr>
        <w:t>Анализ деятельности естественных монополий на территории Новосибирской области, включающий формирование перечня рынков, на которых присутствуют субъекты естественных монополий</w:t>
      </w:r>
      <w:bookmarkEnd w:id="99"/>
    </w:p>
    <w:p w:rsidR="00A64028" w:rsidRPr="0030560B" w:rsidRDefault="00A64028" w:rsidP="00103148">
      <w:pPr>
        <w:spacing w:after="0"/>
        <w:ind w:firstLine="567"/>
        <w:jc w:val="both"/>
        <w:rPr>
          <w:rFonts w:ascii="Arial Narrow" w:hAnsi="Arial Narrow"/>
        </w:rPr>
      </w:pPr>
    </w:p>
    <w:p w:rsidR="00A64028" w:rsidRDefault="00A64028" w:rsidP="00262F71">
      <w:pPr>
        <w:pStyle w:val="2"/>
        <w:jc w:val="both"/>
        <w:rPr>
          <w:rFonts w:ascii="Arial Narrow" w:hAnsi="Arial Narrow"/>
        </w:rPr>
      </w:pPr>
      <w:bookmarkStart w:id="100" w:name="_Toc469663941"/>
      <w:bookmarkStart w:id="101" w:name="_Toc473725878"/>
      <w:r>
        <w:rPr>
          <w:rFonts w:ascii="Arial Narrow" w:hAnsi="Arial Narrow"/>
        </w:rPr>
        <w:t>5</w:t>
      </w:r>
      <w:r w:rsidRPr="0030560B">
        <w:rPr>
          <w:rFonts w:ascii="Arial Narrow" w:hAnsi="Arial Narrow"/>
        </w:rPr>
        <w:t>.1. Формирование перечня рынков, на которых присутствуют субъекты естественных монополий</w:t>
      </w:r>
      <w:bookmarkEnd w:id="100"/>
      <w:bookmarkEnd w:id="101"/>
    </w:p>
    <w:p w:rsidR="00272625" w:rsidRPr="00272625" w:rsidRDefault="00272625" w:rsidP="00272625">
      <w:pPr>
        <w:spacing w:after="0" w:line="360" w:lineRule="auto"/>
        <w:rPr>
          <w:lang w:eastAsia="ru-RU"/>
        </w:rPr>
      </w:pPr>
    </w:p>
    <w:p w:rsidR="00A64028" w:rsidRPr="00272625" w:rsidRDefault="00A64028" w:rsidP="00103148">
      <w:pPr>
        <w:spacing w:after="0" w:line="360" w:lineRule="auto"/>
        <w:ind w:firstLine="284"/>
        <w:jc w:val="both"/>
        <w:rPr>
          <w:rFonts w:ascii="Arial Narrow" w:hAnsi="Arial Narrow"/>
          <w:sz w:val="24"/>
          <w:szCs w:val="24"/>
        </w:rPr>
      </w:pPr>
      <w:r w:rsidRPr="00272625">
        <w:rPr>
          <w:rFonts w:ascii="Arial Narrow" w:hAnsi="Arial Narrow"/>
          <w:sz w:val="24"/>
          <w:szCs w:val="24"/>
        </w:rPr>
        <w:t>Перечень рынков, на которых присутствуют субъекты естественных монополий в Новосибирской области, составлен на основе Реестра субъектов естественных монополий, в отношении которых осуществляется государственное регулирование и контроль, размещенного на официальном интернет-сайте Федеральной антимонопольной службы (</w:t>
      </w:r>
      <w:hyperlink r:id="rId107" w:history="1">
        <w:r w:rsidRPr="00272625">
          <w:rPr>
            <w:rStyle w:val="ac"/>
            <w:rFonts w:ascii="Arial Narrow" w:hAnsi="Arial Narrow"/>
            <w:sz w:val="24"/>
            <w:szCs w:val="24"/>
          </w:rPr>
          <w:t>http://fas.gov.ru/activity/tariffregulation/reestr-subektov-estestvennyix-monopolij.html</w:t>
        </w:r>
      </w:hyperlink>
      <w:r w:rsidRPr="00272625">
        <w:rPr>
          <w:rFonts w:ascii="Arial Narrow" w:hAnsi="Arial Narrow"/>
          <w:sz w:val="24"/>
          <w:szCs w:val="24"/>
        </w:rPr>
        <w:t>). В его составе – 125 организаций и 6 рынков.</w:t>
      </w:r>
    </w:p>
    <w:p w:rsidR="00A64028" w:rsidRDefault="00A64028" w:rsidP="00103148">
      <w:pPr>
        <w:spacing w:after="0"/>
        <w:rPr>
          <w:rFonts w:ascii="Arial Narrow" w:hAnsi="Arial Narrow"/>
          <w:b/>
          <w:sz w:val="24"/>
          <w:szCs w:val="24"/>
        </w:rPr>
      </w:pPr>
    </w:p>
    <w:p w:rsidR="00A64028" w:rsidRDefault="00272625" w:rsidP="00103148">
      <w:pPr>
        <w:spacing w:after="0"/>
        <w:rPr>
          <w:rFonts w:ascii="Arial Narrow" w:hAnsi="Arial Narrow"/>
          <w:b/>
          <w:sz w:val="24"/>
          <w:szCs w:val="24"/>
        </w:rPr>
      </w:pPr>
      <w:r>
        <w:rPr>
          <w:rFonts w:ascii="Arial Narrow" w:hAnsi="Arial Narrow"/>
          <w:sz w:val="24"/>
          <w:szCs w:val="24"/>
        </w:rPr>
        <w:t>Таблица 7.50</w:t>
      </w:r>
      <w:r w:rsidR="00262F71">
        <w:rPr>
          <w:rFonts w:ascii="Arial Narrow" w:hAnsi="Arial Narrow"/>
          <w:sz w:val="24"/>
          <w:szCs w:val="24"/>
        </w:rPr>
        <w:t>.</w:t>
      </w:r>
      <w:r w:rsidR="00A64028">
        <w:rPr>
          <w:rFonts w:ascii="Arial Narrow" w:hAnsi="Arial Narrow"/>
          <w:sz w:val="24"/>
          <w:szCs w:val="24"/>
        </w:rPr>
        <w:t xml:space="preserve"> </w:t>
      </w:r>
      <w:r w:rsidR="00A64028">
        <w:rPr>
          <w:rFonts w:ascii="Arial Narrow" w:hAnsi="Arial Narrow"/>
          <w:b/>
          <w:sz w:val="24"/>
          <w:szCs w:val="24"/>
        </w:rPr>
        <w:t>– Значения показателя 4.1</w:t>
      </w:r>
      <w:r w:rsidR="00A64028">
        <w:rPr>
          <w:rFonts w:ascii="Arial Narrow" w:hAnsi="Arial Narrow"/>
          <w:b/>
          <w:sz w:val="24"/>
          <w:szCs w:val="24"/>
          <w:vertAlign w:val="superscript"/>
        </w:rPr>
        <w:footnoteReference w:id="7"/>
      </w:r>
      <w:r w:rsidR="00A64028">
        <w:rPr>
          <w:rFonts w:ascii="Arial Narrow" w:hAnsi="Arial Narrow"/>
          <w:b/>
          <w:sz w:val="24"/>
          <w:szCs w:val="24"/>
        </w:rPr>
        <w:t>. Перечень субъектов естественных монополий, наименования</w:t>
      </w:r>
    </w:p>
    <w:tbl>
      <w:tblPr>
        <w:tblW w:w="9639" w:type="dxa"/>
        <w:tblInd w:w="108" w:type="dxa"/>
        <w:tblLook w:val="04A0"/>
      </w:tblPr>
      <w:tblGrid>
        <w:gridCol w:w="620"/>
        <w:gridCol w:w="1785"/>
        <w:gridCol w:w="7234"/>
      </w:tblGrid>
      <w:tr w:rsidR="00A64028" w:rsidTr="00A64028">
        <w:trPr>
          <w:trHeight w:val="612"/>
        </w:trPr>
        <w:tc>
          <w:tcPr>
            <w:tcW w:w="620" w:type="dxa"/>
            <w:tcBorders>
              <w:top w:val="single" w:sz="4" w:space="0" w:color="auto"/>
              <w:left w:val="single" w:sz="4" w:space="0" w:color="auto"/>
              <w:bottom w:val="single" w:sz="4" w:space="0" w:color="auto"/>
              <w:right w:val="single" w:sz="4" w:space="0" w:color="auto"/>
            </w:tcBorders>
            <w:vAlign w:val="center"/>
            <w:hideMark/>
          </w:tcPr>
          <w:p w:rsidR="00A64028" w:rsidRDefault="00A64028" w:rsidP="00103148">
            <w:pPr>
              <w:spacing w:after="0" w:line="256" w:lineRule="auto"/>
              <w:jc w:val="both"/>
              <w:rPr>
                <w:rFonts w:ascii="Arial Narrow" w:hAnsi="Arial Narrow"/>
                <w:sz w:val="20"/>
                <w:szCs w:val="20"/>
              </w:rPr>
            </w:pPr>
            <w:r>
              <w:rPr>
                <w:rFonts w:ascii="Arial Narrow" w:hAnsi="Arial Narrow"/>
                <w:sz w:val="20"/>
                <w:szCs w:val="20"/>
              </w:rPr>
              <w:t>№</w:t>
            </w:r>
          </w:p>
        </w:tc>
        <w:tc>
          <w:tcPr>
            <w:tcW w:w="1785" w:type="dxa"/>
            <w:tcBorders>
              <w:top w:val="single" w:sz="4" w:space="0" w:color="auto"/>
              <w:left w:val="nil"/>
              <w:bottom w:val="single" w:sz="4" w:space="0" w:color="auto"/>
              <w:right w:val="single" w:sz="4" w:space="0" w:color="auto"/>
            </w:tcBorders>
            <w:vAlign w:val="center"/>
            <w:hideMark/>
          </w:tcPr>
          <w:p w:rsidR="00A64028" w:rsidRDefault="00A64028" w:rsidP="00F34DD1">
            <w:pPr>
              <w:spacing w:after="0" w:line="256" w:lineRule="auto"/>
              <w:jc w:val="center"/>
              <w:rPr>
                <w:rFonts w:ascii="Arial Narrow" w:hAnsi="Arial Narrow"/>
                <w:sz w:val="20"/>
                <w:szCs w:val="20"/>
              </w:rPr>
            </w:pPr>
            <w:r>
              <w:rPr>
                <w:rFonts w:ascii="Arial Narrow" w:hAnsi="Arial Narrow"/>
                <w:sz w:val="20"/>
                <w:szCs w:val="20"/>
              </w:rPr>
              <w:t>Наименование показателя, единица измерения</w:t>
            </w:r>
          </w:p>
        </w:tc>
        <w:tc>
          <w:tcPr>
            <w:tcW w:w="7234" w:type="dxa"/>
            <w:tcBorders>
              <w:top w:val="single" w:sz="4" w:space="0" w:color="auto"/>
              <w:left w:val="nil"/>
              <w:bottom w:val="single" w:sz="4" w:space="0" w:color="auto"/>
              <w:right w:val="single" w:sz="4" w:space="0" w:color="auto"/>
            </w:tcBorders>
            <w:hideMark/>
          </w:tcPr>
          <w:p w:rsidR="00A64028" w:rsidRDefault="00A64028" w:rsidP="00F34DD1">
            <w:pPr>
              <w:spacing w:after="0" w:line="256" w:lineRule="auto"/>
              <w:jc w:val="center"/>
              <w:rPr>
                <w:rFonts w:ascii="Arial Narrow" w:hAnsi="Arial Narrow"/>
                <w:sz w:val="20"/>
                <w:szCs w:val="20"/>
              </w:rPr>
            </w:pPr>
            <w:r>
              <w:rPr>
                <w:rFonts w:ascii="Arial Narrow" w:hAnsi="Arial Narrow"/>
                <w:sz w:val="20"/>
                <w:szCs w:val="20"/>
              </w:rPr>
              <w:t>Значение показателя</w:t>
            </w:r>
          </w:p>
        </w:tc>
      </w:tr>
      <w:tr w:rsidR="00A64028" w:rsidTr="00A64028">
        <w:trPr>
          <w:trHeight w:val="612"/>
        </w:trPr>
        <w:tc>
          <w:tcPr>
            <w:tcW w:w="620" w:type="dxa"/>
            <w:tcBorders>
              <w:top w:val="single" w:sz="4" w:space="0" w:color="auto"/>
              <w:left w:val="single" w:sz="4" w:space="0" w:color="auto"/>
              <w:bottom w:val="single" w:sz="4" w:space="0" w:color="auto"/>
              <w:right w:val="single" w:sz="4" w:space="0" w:color="auto"/>
            </w:tcBorders>
            <w:vAlign w:val="center"/>
            <w:hideMark/>
          </w:tcPr>
          <w:p w:rsidR="00A64028" w:rsidRDefault="00A64028" w:rsidP="00103148">
            <w:pPr>
              <w:spacing w:after="0" w:line="256" w:lineRule="auto"/>
              <w:jc w:val="both"/>
              <w:rPr>
                <w:rFonts w:ascii="Arial Narrow" w:hAnsi="Arial Narrow"/>
                <w:sz w:val="20"/>
                <w:szCs w:val="20"/>
              </w:rPr>
            </w:pPr>
            <w:r>
              <w:rPr>
                <w:rFonts w:ascii="Arial Narrow" w:hAnsi="Arial Narrow"/>
                <w:sz w:val="20"/>
                <w:szCs w:val="20"/>
              </w:rPr>
              <w:t>4.1.</w:t>
            </w:r>
          </w:p>
        </w:tc>
        <w:tc>
          <w:tcPr>
            <w:tcW w:w="1785" w:type="dxa"/>
            <w:tcBorders>
              <w:top w:val="single" w:sz="4" w:space="0" w:color="auto"/>
              <w:left w:val="nil"/>
              <w:bottom w:val="single" w:sz="4" w:space="0" w:color="auto"/>
              <w:right w:val="single" w:sz="4" w:space="0" w:color="auto"/>
            </w:tcBorders>
            <w:vAlign w:val="center"/>
            <w:hideMark/>
          </w:tcPr>
          <w:p w:rsidR="00A64028" w:rsidRDefault="00A64028" w:rsidP="00103148">
            <w:pPr>
              <w:spacing w:after="0" w:line="256" w:lineRule="auto"/>
              <w:jc w:val="both"/>
              <w:rPr>
                <w:rFonts w:ascii="Arial Narrow" w:hAnsi="Arial Narrow"/>
                <w:sz w:val="20"/>
                <w:szCs w:val="20"/>
              </w:rPr>
            </w:pPr>
            <w:r>
              <w:rPr>
                <w:rFonts w:ascii="Arial Narrow" w:hAnsi="Arial Narrow"/>
                <w:b/>
                <w:bCs/>
                <w:sz w:val="20"/>
                <w:szCs w:val="20"/>
              </w:rPr>
              <w:t>Перечень субъектов естественных монополий, наименования</w:t>
            </w:r>
          </w:p>
        </w:tc>
        <w:tc>
          <w:tcPr>
            <w:tcW w:w="7234" w:type="dxa"/>
            <w:tcBorders>
              <w:top w:val="single" w:sz="4" w:space="0" w:color="auto"/>
              <w:left w:val="nil"/>
              <w:bottom w:val="single" w:sz="4" w:space="0" w:color="auto"/>
              <w:right w:val="single" w:sz="4" w:space="0" w:color="auto"/>
            </w:tcBorders>
            <w:hideMark/>
          </w:tcPr>
          <w:p w:rsidR="00A64028" w:rsidRDefault="00A64028" w:rsidP="00103148">
            <w:pPr>
              <w:spacing w:after="0"/>
              <w:jc w:val="both"/>
              <w:rPr>
                <w:rFonts w:ascii="Arial Narrow" w:hAnsi="Arial Narrow"/>
                <w:sz w:val="20"/>
                <w:szCs w:val="20"/>
              </w:rPr>
            </w:pPr>
            <w:r>
              <w:rPr>
                <w:rFonts w:ascii="Arial Narrow" w:hAnsi="Arial Narrow"/>
                <w:sz w:val="20"/>
                <w:szCs w:val="20"/>
              </w:rPr>
              <w:t xml:space="preserve">1. Услуги по передаче электрической и (или) тепловой энергии. </w:t>
            </w:r>
          </w:p>
          <w:p w:rsidR="00A64028" w:rsidRDefault="00A64028" w:rsidP="00103148">
            <w:pPr>
              <w:spacing w:after="0"/>
              <w:jc w:val="both"/>
              <w:rPr>
                <w:rFonts w:ascii="Arial Narrow" w:hAnsi="Arial Narrow"/>
                <w:sz w:val="20"/>
                <w:szCs w:val="20"/>
              </w:rPr>
            </w:pPr>
            <w:r>
              <w:rPr>
                <w:rFonts w:ascii="Arial Narrow" w:hAnsi="Arial Narrow"/>
                <w:sz w:val="20"/>
                <w:szCs w:val="20"/>
              </w:rPr>
              <w:t>2. Водоснабжение и водоотведение с использованием централизованных систем, систем коммунальной инфраструктуры.</w:t>
            </w:r>
          </w:p>
          <w:p w:rsidR="00A64028" w:rsidRDefault="00A64028" w:rsidP="00103148">
            <w:pPr>
              <w:spacing w:after="0"/>
              <w:jc w:val="both"/>
              <w:rPr>
                <w:rFonts w:ascii="Arial Narrow" w:hAnsi="Arial Narrow"/>
                <w:sz w:val="20"/>
                <w:szCs w:val="20"/>
              </w:rPr>
            </w:pPr>
            <w:r>
              <w:rPr>
                <w:rFonts w:ascii="Arial Narrow" w:hAnsi="Arial Narrow"/>
                <w:sz w:val="20"/>
                <w:szCs w:val="20"/>
              </w:rPr>
              <w:t>3. Транспортировка газа по трубопроводам.</w:t>
            </w:r>
          </w:p>
          <w:p w:rsidR="00A64028" w:rsidRDefault="00A64028" w:rsidP="00103148">
            <w:pPr>
              <w:spacing w:after="0"/>
              <w:jc w:val="both"/>
              <w:rPr>
                <w:rFonts w:ascii="Arial Narrow" w:hAnsi="Arial Narrow"/>
                <w:sz w:val="20"/>
                <w:szCs w:val="20"/>
              </w:rPr>
            </w:pPr>
            <w:r>
              <w:rPr>
                <w:rFonts w:ascii="Arial Narrow" w:hAnsi="Arial Narrow"/>
                <w:sz w:val="20"/>
                <w:szCs w:val="20"/>
              </w:rPr>
              <w:t>4. Железнодорожные перевозки.</w:t>
            </w:r>
          </w:p>
          <w:p w:rsidR="00A64028" w:rsidRDefault="00A64028" w:rsidP="00103148">
            <w:pPr>
              <w:spacing w:after="0"/>
              <w:jc w:val="both"/>
              <w:rPr>
                <w:rFonts w:ascii="Arial Narrow" w:hAnsi="Arial Narrow"/>
                <w:sz w:val="20"/>
                <w:szCs w:val="20"/>
              </w:rPr>
            </w:pPr>
            <w:r>
              <w:rPr>
                <w:rFonts w:ascii="Arial Narrow" w:hAnsi="Arial Narrow"/>
                <w:sz w:val="20"/>
                <w:szCs w:val="20"/>
              </w:rPr>
              <w:t>5. Услуги аэропортов.</w:t>
            </w:r>
          </w:p>
          <w:p w:rsidR="00A64028" w:rsidRDefault="00A64028" w:rsidP="00103148">
            <w:pPr>
              <w:spacing w:after="0" w:line="256" w:lineRule="auto"/>
              <w:jc w:val="both"/>
              <w:rPr>
                <w:rFonts w:ascii="Arial Narrow" w:hAnsi="Arial Narrow"/>
                <w:sz w:val="20"/>
                <w:szCs w:val="20"/>
              </w:rPr>
            </w:pPr>
            <w:r>
              <w:rPr>
                <w:rFonts w:ascii="Arial Narrow" w:hAnsi="Arial Narrow"/>
                <w:sz w:val="20"/>
                <w:szCs w:val="20"/>
              </w:rPr>
              <w:t>6. Услуги в портах и (или) транспортных терминалах, услуги по использованию инфраструктуры внутренних водных путей.</w:t>
            </w:r>
          </w:p>
        </w:tc>
      </w:tr>
    </w:tbl>
    <w:p w:rsidR="00A64028" w:rsidRPr="0030560B" w:rsidRDefault="00A64028" w:rsidP="00103148">
      <w:pPr>
        <w:spacing w:after="0"/>
        <w:ind w:firstLine="567"/>
        <w:jc w:val="both"/>
        <w:rPr>
          <w:rFonts w:ascii="Arial Narrow" w:hAnsi="Arial Narrow"/>
        </w:rPr>
      </w:pPr>
    </w:p>
    <w:p w:rsidR="00A64028" w:rsidRPr="00C40669" w:rsidRDefault="00A64028" w:rsidP="00272625">
      <w:pPr>
        <w:pStyle w:val="2"/>
        <w:jc w:val="both"/>
        <w:rPr>
          <w:rFonts w:ascii="Arial Narrow" w:hAnsi="Arial Narrow"/>
          <w:color w:val="auto"/>
        </w:rPr>
      </w:pPr>
      <w:bookmarkStart w:id="102" w:name="_Toc469663942"/>
      <w:bookmarkStart w:id="103" w:name="_Toc473725879"/>
      <w:r>
        <w:rPr>
          <w:rFonts w:ascii="Arial Narrow" w:hAnsi="Arial Narrow"/>
          <w:color w:val="auto"/>
        </w:rPr>
        <w:t>5.</w:t>
      </w:r>
      <w:r w:rsidRPr="00C40669">
        <w:rPr>
          <w:rFonts w:ascii="Arial Narrow" w:hAnsi="Arial Narrow"/>
          <w:color w:val="auto"/>
        </w:rPr>
        <w:t>2. Анализ данных об уровнях тарифов (цен) за отчетный и предшествующий отчетному периоды (годы), установленных региональным органом по регулированию тарифов на рынках присутствия субъектов естественных монополий на территории Новосибирской области.</w:t>
      </w:r>
      <w:bookmarkEnd w:id="102"/>
      <w:bookmarkEnd w:id="103"/>
    </w:p>
    <w:p w:rsidR="00A64028" w:rsidRPr="00C40669" w:rsidRDefault="00A64028" w:rsidP="00103148">
      <w:pPr>
        <w:spacing w:after="0"/>
        <w:ind w:firstLine="567"/>
        <w:jc w:val="both"/>
        <w:rPr>
          <w:rFonts w:ascii="Arial Narrow" w:hAnsi="Arial Narrow"/>
        </w:rPr>
      </w:pPr>
      <w:bookmarkStart w:id="104" w:name="_Toc469663943"/>
    </w:p>
    <w:p w:rsidR="00A64028" w:rsidRPr="00B07AB8" w:rsidRDefault="00A64028" w:rsidP="00103148">
      <w:pPr>
        <w:spacing w:after="0" w:line="360" w:lineRule="auto"/>
        <w:ind w:firstLine="284"/>
        <w:jc w:val="both"/>
        <w:rPr>
          <w:rFonts w:ascii="Arial Narrow" w:hAnsi="Arial Narrow"/>
          <w:b/>
          <w:sz w:val="24"/>
          <w:szCs w:val="24"/>
        </w:rPr>
      </w:pPr>
      <w:r w:rsidRPr="00B07AB8">
        <w:rPr>
          <w:rFonts w:ascii="Arial Narrow" w:hAnsi="Arial Narrow"/>
          <w:b/>
          <w:sz w:val="24"/>
          <w:szCs w:val="24"/>
        </w:rPr>
        <w:t>Значения показателя 4.2. Динамика тарифов (цен) за отчетный (2016 г.) и предшествующий отчетному (2015 г.) периоды, установленных региональным органом по регулированию тарифов на рынках присутствия субъектов естественных монополий на территории Новосибирской области, % к отчетному периоду</w:t>
      </w:r>
    </w:p>
    <w:p w:rsidR="00A64028" w:rsidRPr="00B07AB8" w:rsidRDefault="00A64028" w:rsidP="00103148">
      <w:pPr>
        <w:spacing w:after="0" w:line="360" w:lineRule="auto"/>
        <w:ind w:firstLine="284"/>
        <w:jc w:val="both"/>
        <w:rPr>
          <w:rFonts w:ascii="Arial Narrow" w:hAnsi="Arial Narrow"/>
          <w:sz w:val="24"/>
          <w:szCs w:val="24"/>
        </w:rPr>
      </w:pPr>
      <w:r w:rsidRPr="00B07AB8">
        <w:rPr>
          <w:rFonts w:ascii="Arial Narrow" w:hAnsi="Arial Narrow"/>
          <w:sz w:val="24"/>
          <w:szCs w:val="24"/>
        </w:rPr>
        <w:t xml:space="preserve">Установление тарифов (цен) на коммунальные ресурсы (услуги) в Новосибирской области осуществляется в соответствии с федеральным законодательством, регламентирующим вопросы ценового регулирования в соответствующих сферах деятельности, и параметрами согласованных Правительством Российской Федерации прогнозов социально-экономического развития страны на </w:t>
      </w:r>
      <w:r w:rsidRPr="00B07AB8">
        <w:rPr>
          <w:rFonts w:ascii="Arial Narrow" w:hAnsi="Arial Narrow"/>
          <w:sz w:val="24"/>
          <w:szCs w:val="24"/>
        </w:rPr>
        <w:lastRenderedPageBreak/>
        <w:t>очередной и плановый период, определяющих ежегодные сроки и темпы роста (индексации) тарифов (цен) на продукцию (услуги) в инфраструктурных отраслях, а также повышения платы населения за коммунальные услуги, которая составляет для Новосибирской области 3,5 % (Распоряжение Правительства Российской Федерации от 28.10.2015 № 2182-р). Тарифы на железнодорожные перевозки пассажиров в пригородном сообщении не претерпели изменений за 2016 г.</w:t>
      </w:r>
    </w:p>
    <w:p w:rsidR="00A64028" w:rsidRPr="00B07AB8" w:rsidRDefault="00A64028" w:rsidP="00103148">
      <w:pPr>
        <w:spacing w:after="0"/>
        <w:jc w:val="both"/>
        <w:rPr>
          <w:rFonts w:ascii="Arial Narrow" w:hAnsi="Arial Narrow"/>
          <w:b/>
          <w:sz w:val="24"/>
          <w:szCs w:val="24"/>
        </w:rPr>
      </w:pPr>
    </w:p>
    <w:p w:rsidR="00A64028" w:rsidRPr="00B07AB8" w:rsidRDefault="00A64028" w:rsidP="00103148">
      <w:pPr>
        <w:spacing w:after="0"/>
        <w:rPr>
          <w:rFonts w:ascii="Arial Narrow" w:hAnsi="Arial Narrow"/>
          <w:b/>
          <w:sz w:val="24"/>
          <w:szCs w:val="24"/>
        </w:rPr>
      </w:pPr>
      <w:r w:rsidRPr="00B07AB8">
        <w:rPr>
          <w:rFonts w:ascii="Arial Narrow" w:hAnsi="Arial Narrow"/>
          <w:sz w:val="24"/>
          <w:szCs w:val="24"/>
        </w:rPr>
        <w:t xml:space="preserve">Таблица </w:t>
      </w:r>
      <w:r w:rsidR="00272625">
        <w:rPr>
          <w:rFonts w:ascii="Arial Narrow" w:hAnsi="Arial Narrow"/>
          <w:sz w:val="24"/>
          <w:szCs w:val="24"/>
        </w:rPr>
        <w:t>7.51</w:t>
      </w:r>
      <w:r w:rsidR="00262F71">
        <w:rPr>
          <w:rFonts w:ascii="Arial Narrow" w:hAnsi="Arial Narrow"/>
          <w:sz w:val="24"/>
          <w:szCs w:val="24"/>
        </w:rPr>
        <w:t>.</w:t>
      </w:r>
      <w:r w:rsidRPr="00B07AB8">
        <w:rPr>
          <w:rFonts w:ascii="Arial Narrow" w:hAnsi="Arial Narrow"/>
          <w:b/>
          <w:sz w:val="24"/>
          <w:szCs w:val="24"/>
        </w:rPr>
        <w:t xml:space="preserve"> – Значения показателя 4.2. Динамика тарифов (цен) за отчетный (2016 г.) и предшествующий отчетному (2015 г.) периоды, установленных региональным органом по регулированию тарифов на рынках присутствия субъектов естественных монополий на территории Новосибирской области, % к отчетному периоду</w:t>
      </w:r>
    </w:p>
    <w:tbl>
      <w:tblPr>
        <w:tblW w:w="9762" w:type="dxa"/>
        <w:tblInd w:w="-5" w:type="dxa"/>
        <w:tblLook w:val="04A0"/>
      </w:tblPr>
      <w:tblGrid>
        <w:gridCol w:w="764"/>
        <w:gridCol w:w="7004"/>
        <w:gridCol w:w="1982"/>
        <w:gridCol w:w="12"/>
      </w:tblGrid>
      <w:tr w:rsidR="00A64028" w:rsidRPr="00B07AB8" w:rsidTr="00A64028">
        <w:trPr>
          <w:gridAfter w:val="1"/>
          <w:wAfter w:w="12" w:type="dxa"/>
        </w:trPr>
        <w:tc>
          <w:tcPr>
            <w:tcW w:w="764" w:type="dxa"/>
            <w:tcBorders>
              <w:top w:val="single" w:sz="4" w:space="0" w:color="auto"/>
              <w:left w:val="single" w:sz="4" w:space="0" w:color="auto"/>
              <w:bottom w:val="single" w:sz="4" w:space="0" w:color="auto"/>
              <w:right w:val="single" w:sz="4" w:space="0" w:color="auto"/>
            </w:tcBorders>
            <w:shd w:val="clear" w:color="000000" w:fill="FFFFFF"/>
            <w:vAlign w:val="center"/>
          </w:tcPr>
          <w:p w:rsidR="00A64028" w:rsidRPr="00B07AB8" w:rsidRDefault="00A64028" w:rsidP="00103148">
            <w:pPr>
              <w:spacing w:after="0"/>
              <w:jc w:val="center"/>
              <w:rPr>
                <w:rFonts w:ascii="Arial Narrow" w:hAnsi="Arial Narrow"/>
                <w:sz w:val="20"/>
                <w:szCs w:val="20"/>
              </w:rPr>
            </w:pPr>
            <w:r w:rsidRPr="00B07AB8">
              <w:rPr>
                <w:rFonts w:ascii="Arial Narrow" w:hAnsi="Arial Narrow"/>
                <w:sz w:val="20"/>
                <w:szCs w:val="20"/>
              </w:rPr>
              <w:t>№</w:t>
            </w:r>
          </w:p>
        </w:tc>
        <w:tc>
          <w:tcPr>
            <w:tcW w:w="7004" w:type="dxa"/>
            <w:tcBorders>
              <w:top w:val="single" w:sz="4" w:space="0" w:color="auto"/>
              <w:left w:val="nil"/>
              <w:bottom w:val="single" w:sz="4" w:space="0" w:color="auto"/>
              <w:right w:val="single" w:sz="4" w:space="0" w:color="auto"/>
            </w:tcBorders>
            <w:shd w:val="clear" w:color="000000" w:fill="FFFFFF"/>
            <w:vAlign w:val="center"/>
          </w:tcPr>
          <w:p w:rsidR="00A64028" w:rsidRPr="00B07AB8" w:rsidRDefault="00A64028" w:rsidP="00103148">
            <w:pPr>
              <w:spacing w:after="0"/>
              <w:jc w:val="center"/>
              <w:rPr>
                <w:rFonts w:ascii="Arial Narrow" w:hAnsi="Arial Narrow"/>
                <w:sz w:val="20"/>
                <w:szCs w:val="20"/>
              </w:rPr>
            </w:pPr>
            <w:r w:rsidRPr="00B07AB8">
              <w:rPr>
                <w:rFonts w:ascii="Arial Narrow" w:hAnsi="Arial Narrow"/>
                <w:sz w:val="20"/>
                <w:szCs w:val="20"/>
              </w:rPr>
              <w:t>Наименование показателя</w:t>
            </w:r>
          </w:p>
        </w:tc>
        <w:tc>
          <w:tcPr>
            <w:tcW w:w="1982" w:type="dxa"/>
            <w:tcBorders>
              <w:top w:val="single" w:sz="4" w:space="0" w:color="auto"/>
              <w:left w:val="nil"/>
              <w:bottom w:val="single" w:sz="4" w:space="0" w:color="auto"/>
              <w:right w:val="single" w:sz="4" w:space="0" w:color="auto"/>
            </w:tcBorders>
            <w:shd w:val="clear" w:color="000000" w:fill="FFFFFF"/>
            <w:vAlign w:val="center"/>
          </w:tcPr>
          <w:p w:rsidR="00A64028" w:rsidRPr="00B07AB8" w:rsidRDefault="00A64028" w:rsidP="00103148">
            <w:pPr>
              <w:spacing w:after="0"/>
              <w:jc w:val="center"/>
              <w:rPr>
                <w:rFonts w:ascii="Arial Narrow" w:hAnsi="Arial Narrow"/>
                <w:sz w:val="20"/>
                <w:szCs w:val="20"/>
              </w:rPr>
            </w:pPr>
            <w:r w:rsidRPr="00B07AB8">
              <w:rPr>
                <w:rFonts w:ascii="Arial Narrow" w:hAnsi="Arial Narrow"/>
                <w:sz w:val="20"/>
                <w:szCs w:val="20"/>
              </w:rPr>
              <w:t>Значение показателя</w:t>
            </w:r>
          </w:p>
        </w:tc>
      </w:tr>
      <w:tr w:rsidR="00A64028" w:rsidRPr="00B07AB8" w:rsidTr="00A64028">
        <w:tc>
          <w:tcPr>
            <w:tcW w:w="76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64028" w:rsidRPr="00B07AB8" w:rsidRDefault="00A64028" w:rsidP="00103148">
            <w:pPr>
              <w:spacing w:after="0"/>
              <w:jc w:val="both"/>
              <w:rPr>
                <w:rFonts w:ascii="Arial Narrow" w:hAnsi="Arial Narrow"/>
                <w:b/>
                <w:sz w:val="20"/>
                <w:szCs w:val="20"/>
              </w:rPr>
            </w:pPr>
            <w:r w:rsidRPr="00B07AB8">
              <w:rPr>
                <w:rFonts w:ascii="Arial Narrow" w:hAnsi="Arial Narrow"/>
                <w:b/>
                <w:sz w:val="20"/>
                <w:szCs w:val="20"/>
              </w:rPr>
              <w:t>4.2.</w:t>
            </w:r>
          </w:p>
        </w:tc>
        <w:tc>
          <w:tcPr>
            <w:tcW w:w="8998" w:type="dxa"/>
            <w:gridSpan w:val="3"/>
            <w:tcBorders>
              <w:top w:val="single" w:sz="4" w:space="0" w:color="auto"/>
              <w:left w:val="nil"/>
              <w:bottom w:val="single" w:sz="4" w:space="0" w:color="auto"/>
              <w:right w:val="single" w:sz="4" w:space="0" w:color="auto"/>
            </w:tcBorders>
            <w:shd w:val="clear" w:color="000000" w:fill="FFFFFF"/>
            <w:vAlign w:val="center"/>
            <w:hideMark/>
          </w:tcPr>
          <w:p w:rsidR="00A64028" w:rsidRPr="00B07AB8" w:rsidRDefault="00A64028" w:rsidP="00103148">
            <w:pPr>
              <w:spacing w:after="0"/>
              <w:rPr>
                <w:rFonts w:ascii="Arial Narrow" w:hAnsi="Arial Narrow"/>
                <w:b/>
                <w:sz w:val="20"/>
                <w:szCs w:val="20"/>
              </w:rPr>
            </w:pPr>
            <w:r w:rsidRPr="00B07AB8">
              <w:rPr>
                <w:rFonts w:ascii="Arial Narrow" w:hAnsi="Arial Narrow"/>
                <w:b/>
                <w:sz w:val="20"/>
                <w:szCs w:val="20"/>
              </w:rPr>
              <w:t>Динамика тарифов (цен) за отчетный (2016 г.) и предшествующий отчетному (2015 г.) периоды, установленных региональным органом по регулированию тарифов на рынках присутствия субъектов естественных монополий на территории Новосибирской области, % к отчетному периоду</w:t>
            </w:r>
          </w:p>
        </w:tc>
      </w:tr>
      <w:tr w:rsidR="00A64028" w:rsidRPr="00B07AB8" w:rsidTr="00A64028">
        <w:trPr>
          <w:gridAfter w:val="1"/>
          <w:wAfter w:w="12" w:type="dxa"/>
        </w:trPr>
        <w:tc>
          <w:tcPr>
            <w:tcW w:w="764" w:type="dxa"/>
            <w:tcBorders>
              <w:top w:val="nil"/>
              <w:left w:val="single" w:sz="4" w:space="0" w:color="auto"/>
              <w:bottom w:val="single" w:sz="4" w:space="0" w:color="auto"/>
              <w:right w:val="single" w:sz="4" w:space="0" w:color="auto"/>
            </w:tcBorders>
            <w:shd w:val="clear" w:color="000000" w:fill="FFFFFF"/>
            <w:vAlign w:val="center"/>
            <w:hideMark/>
          </w:tcPr>
          <w:p w:rsidR="00A64028" w:rsidRPr="00B07AB8" w:rsidRDefault="00A64028" w:rsidP="00103148">
            <w:pPr>
              <w:spacing w:after="0"/>
              <w:jc w:val="both"/>
              <w:rPr>
                <w:rFonts w:ascii="Arial Narrow" w:hAnsi="Arial Narrow"/>
                <w:sz w:val="20"/>
                <w:szCs w:val="20"/>
              </w:rPr>
            </w:pPr>
            <w:r w:rsidRPr="00B07AB8">
              <w:rPr>
                <w:rFonts w:ascii="Arial Narrow" w:hAnsi="Arial Narrow"/>
                <w:sz w:val="20"/>
                <w:szCs w:val="20"/>
              </w:rPr>
              <w:t> </w:t>
            </w:r>
          </w:p>
        </w:tc>
        <w:tc>
          <w:tcPr>
            <w:tcW w:w="7004" w:type="dxa"/>
            <w:tcBorders>
              <w:top w:val="nil"/>
              <w:left w:val="nil"/>
              <w:bottom w:val="single" w:sz="4" w:space="0" w:color="auto"/>
              <w:right w:val="single" w:sz="4" w:space="0" w:color="auto"/>
            </w:tcBorders>
            <w:shd w:val="clear" w:color="000000" w:fill="FFFFFF"/>
            <w:vAlign w:val="center"/>
            <w:hideMark/>
          </w:tcPr>
          <w:p w:rsidR="00A64028" w:rsidRPr="00B07AB8" w:rsidRDefault="00A64028" w:rsidP="00103148">
            <w:pPr>
              <w:spacing w:after="0"/>
              <w:jc w:val="both"/>
              <w:rPr>
                <w:rFonts w:ascii="Arial Narrow" w:hAnsi="Arial Narrow"/>
                <w:sz w:val="20"/>
                <w:szCs w:val="20"/>
              </w:rPr>
            </w:pPr>
            <w:r w:rsidRPr="00B07AB8">
              <w:rPr>
                <w:rFonts w:ascii="Arial Narrow" w:hAnsi="Arial Narrow"/>
                <w:sz w:val="20"/>
                <w:szCs w:val="20"/>
              </w:rPr>
              <w:t>Наименование рынка</w:t>
            </w:r>
          </w:p>
        </w:tc>
        <w:tc>
          <w:tcPr>
            <w:tcW w:w="1982" w:type="dxa"/>
            <w:tcBorders>
              <w:top w:val="nil"/>
              <w:left w:val="nil"/>
              <w:bottom w:val="single" w:sz="4" w:space="0" w:color="auto"/>
              <w:right w:val="single" w:sz="4" w:space="0" w:color="auto"/>
            </w:tcBorders>
            <w:shd w:val="clear" w:color="000000" w:fill="FFFFFF"/>
            <w:vAlign w:val="center"/>
            <w:hideMark/>
          </w:tcPr>
          <w:p w:rsidR="00A64028" w:rsidRPr="00B07AB8" w:rsidRDefault="00A64028" w:rsidP="00103148">
            <w:pPr>
              <w:spacing w:after="0"/>
              <w:jc w:val="center"/>
              <w:rPr>
                <w:rFonts w:ascii="Arial Narrow" w:hAnsi="Arial Narrow"/>
                <w:sz w:val="20"/>
                <w:szCs w:val="20"/>
              </w:rPr>
            </w:pPr>
            <w:r w:rsidRPr="00B07AB8">
              <w:rPr>
                <w:rFonts w:ascii="Arial Narrow" w:hAnsi="Arial Narrow"/>
                <w:sz w:val="20"/>
                <w:szCs w:val="20"/>
              </w:rPr>
              <w:t>Динамика тарифов</w:t>
            </w:r>
          </w:p>
        </w:tc>
      </w:tr>
      <w:tr w:rsidR="00A64028" w:rsidRPr="00B07AB8" w:rsidTr="00A64028">
        <w:trPr>
          <w:gridAfter w:val="1"/>
          <w:wAfter w:w="12" w:type="dxa"/>
        </w:trPr>
        <w:tc>
          <w:tcPr>
            <w:tcW w:w="764" w:type="dxa"/>
            <w:tcBorders>
              <w:top w:val="nil"/>
              <w:left w:val="single" w:sz="4" w:space="0" w:color="auto"/>
              <w:bottom w:val="single" w:sz="4" w:space="0" w:color="auto"/>
              <w:right w:val="single" w:sz="4" w:space="0" w:color="auto"/>
            </w:tcBorders>
            <w:shd w:val="clear" w:color="000000" w:fill="FFFFFF"/>
            <w:vAlign w:val="center"/>
            <w:hideMark/>
          </w:tcPr>
          <w:p w:rsidR="00A64028" w:rsidRPr="00B07AB8" w:rsidRDefault="00A64028" w:rsidP="00103148">
            <w:pPr>
              <w:spacing w:after="0"/>
              <w:jc w:val="both"/>
              <w:rPr>
                <w:rFonts w:ascii="Arial Narrow" w:hAnsi="Arial Narrow"/>
                <w:sz w:val="20"/>
                <w:szCs w:val="20"/>
              </w:rPr>
            </w:pPr>
            <w:r w:rsidRPr="00B07AB8">
              <w:rPr>
                <w:rFonts w:ascii="Arial Narrow" w:hAnsi="Arial Narrow"/>
                <w:sz w:val="20"/>
                <w:szCs w:val="20"/>
              </w:rPr>
              <w:t> 4.2.1.</w:t>
            </w:r>
          </w:p>
        </w:tc>
        <w:tc>
          <w:tcPr>
            <w:tcW w:w="7004" w:type="dxa"/>
            <w:tcBorders>
              <w:top w:val="nil"/>
              <w:left w:val="nil"/>
              <w:bottom w:val="single" w:sz="4" w:space="0" w:color="auto"/>
              <w:right w:val="single" w:sz="4" w:space="0" w:color="auto"/>
            </w:tcBorders>
            <w:shd w:val="clear" w:color="000000" w:fill="FFFFFF"/>
            <w:vAlign w:val="center"/>
            <w:hideMark/>
          </w:tcPr>
          <w:p w:rsidR="00A64028" w:rsidRPr="00B07AB8" w:rsidRDefault="00A64028" w:rsidP="00103148">
            <w:pPr>
              <w:spacing w:after="0"/>
              <w:jc w:val="both"/>
              <w:rPr>
                <w:rFonts w:ascii="Arial Narrow" w:hAnsi="Arial Narrow"/>
                <w:sz w:val="20"/>
                <w:szCs w:val="20"/>
              </w:rPr>
            </w:pPr>
            <w:r w:rsidRPr="00B07AB8">
              <w:rPr>
                <w:rFonts w:ascii="Arial Narrow" w:hAnsi="Arial Narrow"/>
                <w:sz w:val="20"/>
                <w:szCs w:val="20"/>
              </w:rPr>
              <w:t>Услуги по передаче электрической и тепловой энергии</w:t>
            </w:r>
          </w:p>
        </w:tc>
        <w:tc>
          <w:tcPr>
            <w:tcW w:w="1982" w:type="dxa"/>
            <w:tcBorders>
              <w:top w:val="nil"/>
              <w:left w:val="nil"/>
              <w:bottom w:val="single" w:sz="4" w:space="0" w:color="auto"/>
              <w:right w:val="single" w:sz="4" w:space="0" w:color="auto"/>
            </w:tcBorders>
            <w:shd w:val="clear" w:color="000000" w:fill="FFFFFF"/>
            <w:vAlign w:val="center"/>
            <w:hideMark/>
          </w:tcPr>
          <w:p w:rsidR="00A64028" w:rsidRPr="00B07AB8" w:rsidRDefault="00A64028" w:rsidP="00103148">
            <w:pPr>
              <w:spacing w:after="0"/>
              <w:jc w:val="center"/>
              <w:rPr>
                <w:rFonts w:ascii="Arial Narrow" w:hAnsi="Arial Narrow"/>
                <w:sz w:val="20"/>
                <w:szCs w:val="20"/>
              </w:rPr>
            </w:pPr>
            <w:r w:rsidRPr="00B07AB8">
              <w:rPr>
                <w:rFonts w:ascii="Arial Narrow" w:hAnsi="Arial Narrow"/>
                <w:sz w:val="20"/>
                <w:szCs w:val="20"/>
              </w:rPr>
              <w:t> </w:t>
            </w:r>
          </w:p>
        </w:tc>
      </w:tr>
      <w:tr w:rsidR="00A64028" w:rsidRPr="00B07AB8" w:rsidTr="00A64028">
        <w:trPr>
          <w:gridAfter w:val="1"/>
          <w:wAfter w:w="12" w:type="dxa"/>
        </w:trPr>
        <w:tc>
          <w:tcPr>
            <w:tcW w:w="764" w:type="dxa"/>
            <w:vMerge w:val="restart"/>
            <w:tcBorders>
              <w:top w:val="nil"/>
              <w:left w:val="single" w:sz="4" w:space="0" w:color="auto"/>
              <w:bottom w:val="single" w:sz="4" w:space="0" w:color="auto"/>
              <w:right w:val="single" w:sz="4" w:space="0" w:color="auto"/>
            </w:tcBorders>
            <w:shd w:val="clear" w:color="000000" w:fill="FFFFFF"/>
            <w:vAlign w:val="center"/>
            <w:hideMark/>
          </w:tcPr>
          <w:p w:rsidR="00A64028" w:rsidRPr="00B07AB8" w:rsidRDefault="00A64028" w:rsidP="00103148">
            <w:pPr>
              <w:spacing w:after="0"/>
              <w:jc w:val="center"/>
              <w:rPr>
                <w:rFonts w:ascii="Arial Narrow" w:hAnsi="Arial Narrow"/>
                <w:sz w:val="20"/>
                <w:szCs w:val="20"/>
              </w:rPr>
            </w:pPr>
            <w:r w:rsidRPr="00B07AB8">
              <w:rPr>
                <w:rFonts w:ascii="Arial Narrow" w:hAnsi="Arial Narrow"/>
                <w:sz w:val="20"/>
                <w:szCs w:val="20"/>
              </w:rPr>
              <w:t>4.2.1.1.</w:t>
            </w:r>
          </w:p>
        </w:tc>
        <w:tc>
          <w:tcPr>
            <w:tcW w:w="7004" w:type="dxa"/>
            <w:tcBorders>
              <w:top w:val="nil"/>
              <w:left w:val="nil"/>
              <w:bottom w:val="single" w:sz="4" w:space="0" w:color="auto"/>
              <w:right w:val="single" w:sz="4" w:space="0" w:color="auto"/>
            </w:tcBorders>
            <w:shd w:val="clear" w:color="000000" w:fill="FFFFFF"/>
            <w:vAlign w:val="center"/>
            <w:hideMark/>
          </w:tcPr>
          <w:p w:rsidR="00A64028" w:rsidRPr="00B07AB8" w:rsidRDefault="00A64028" w:rsidP="00103148">
            <w:pPr>
              <w:spacing w:after="0"/>
              <w:rPr>
                <w:rFonts w:ascii="Arial Narrow" w:hAnsi="Arial Narrow"/>
                <w:sz w:val="20"/>
                <w:szCs w:val="20"/>
              </w:rPr>
            </w:pPr>
            <w:r w:rsidRPr="00B07AB8">
              <w:rPr>
                <w:rFonts w:ascii="Arial Narrow" w:hAnsi="Arial Narrow"/>
                <w:sz w:val="20"/>
                <w:szCs w:val="20"/>
              </w:rPr>
              <w:t>Услуги по передаче электрической энергии</w:t>
            </w:r>
          </w:p>
        </w:tc>
        <w:tc>
          <w:tcPr>
            <w:tcW w:w="1982" w:type="dxa"/>
            <w:tcBorders>
              <w:top w:val="nil"/>
              <w:left w:val="nil"/>
              <w:bottom w:val="single" w:sz="4" w:space="0" w:color="auto"/>
              <w:right w:val="single" w:sz="4" w:space="0" w:color="auto"/>
            </w:tcBorders>
            <w:shd w:val="clear" w:color="000000" w:fill="FFFFFF"/>
            <w:vAlign w:val="center"/>
            <w:hideMark/>
          </w:tcPr>
          <w:p w:rsidR="00A64028" w:rsidRPr="00B07AB8" w:rsidRDefault="00A64028" w:rsidP="00103148">
            <w:pPr>
              <w:spacing w:after="0"/>
              <w:jc w:val="center"/>
              <w:rPr>
                <w:rFonts w:ascii="Arial Narrow" w:hAnsi="Arial Narrow"/>
                <w:sz w:val="20"/>
                <w:szCs w:val="20"/>
              </w:rPr>
            </w:pPr>
            <w:r w:rsidRPr="00B07AB8">
              <w:rPr>
                <w:rFonts w:ascii="Arial Narrow" w:hAnsi="Arial Narrow"/>
                <w:sz w:val="20"/>
                <w:szCs w:val="20"/>
              </w:rPr>
              <w:t> </w:t>
            </w:r>
          </w:p>
        </w:tc>
      </w:tr>
      <w:tr w:rsidR="00A64028" w:rsidRPr="00B07AB8" w:rsidTr="00A64028">
        <w:trPr>
          <w:gridAfter w:val="1"/>
          <w:wAfter w:w="12" w:type="dxa"/>
        </w:trPr>
        <w:tc>
          <w:tcPr>
            <w:tcW w:w="764" w:type="dxa"/>
            <w:vMerge/>
            <w:tcBorders>
              <w:top w:val="nil"/>
              <w:left w:val="single" w:sz="4" w:space="0" w:color="auto"/>
              <w:bottom w:val="single" w:sz="4" w:space="0" w:color="auto"/>
              <w:right w:val="single" w:sz="4" w:space="0" w:color="auto"/>
            </w:tcBorders>
            <w:vAlign w:val="center"/>
            <w:hideMark/>
          </w:tcPr>
          <w:p w:rsidR="00A64028" w:rsidRPr="00B07AB8" w:rsidRDefault="00A64028" w:rsidP="00103148">
            <w:pPr>
              <w:spacing w:after="0"/>
              <w:rPr>
                <w:rFonts w:ascii="Arial Narrow" w:hAnsi="Arial Narrow"/>
                <w:sz w:val="20"/>
                <w:szCs w:val="20"/>
              </w:rPr>
            </w:pPr>
          </w:p>
        </w:tc>
        <w:tc>
          <w:tcPr>
            <w:tcW w:w="7004" w:type="dxa"/>
            <w:tcBorders>
              <w:top w:val="nil"/>
              <w:left w:val="nil"/>
              <w:bottom w:val="single" w:sz="4" w:space="0" w:color="auto"/>
              <w:right w:val="single" w:sz="4" w:space="0" w:color="auto"/>
            </w:tcBorders>
            <w:shd w:val="clear" w:color="000000" w:fill="FFFFFF"/>
            <w:vAlign w:val="center"/>
            <w:hideMark/>
          </w:tcPr>
          <w:p w:rsidR="00A64028" w:rsidRPr="00B07AB8" w:rsidRDefault="00A64028" w:rsidP="00103148">
            <w:pPr>
              <w:spacing w:after="0"/>
              <w:rPr>
                <w:rFonts w:ascii="Arial Narrow" w:hAnsi="Arial Narrow"/>
                <w:sz w:val="20"/>
                <w:szCs w:val="20"/>
              </w:rPr>
            </w:pPr>
            <w:r w:rsidRPr="00B07AB8">
              <w:rPr>
                <w:rFonts w:ascii="Arial Narrow" w:hAnsi="Arial Narrow"/>
                <w:bCs/>
                <w:sz w:val="20"/>
                <w:szCs w:val="20"/>
              </w:rPr>
              <w:t>Электроснабжение для населения (руб. за кВт*ч.)</w:t>
            </w:r>
          </w:p>
        </w:tc>
        <w:tc>
          <w:tcPr>
            <w:tcW w:w="1982" w:type="dxa"/>
            <w:tcBorders>
              <w:top w:val="nil"/>
              <w:left w:val="nil"/>
              <w:bottom w:val="single" w:sz="4" w:space="0" w:color="auto"/>
              <w:right w:val="single" w:sz="4" w:space="0" w:color="auto"/>
            </w:tcBorders>
            <w:shd w:val="clear" w:color="000000" w:fill="FFFFFF"/>
            <w:vAlign w:val="center"/>
            <w:hideMark/>
          </w:tcPr>
          <w:p w:rsidR="00A64028" w:rsidRPr="00B07AB8" w:rsidRDefault="00A64028" w:rsidP="00103148">
            <w:pPr>
              <w:spacing w:after="0"/>
              <w:jc w:val="center"/>
              <w:rPr>
                <w:rFonts w:ascii="Arial Narrow" w:hAnsi="Arial Narrow"/>
                <w:sz w:val="20"/>
                <w:szCs w:val="20"/>
              </w:rPr>
            </w:pPr>
            <w:r w:rsidRPr="00B07AB8">
              <w:rPr>
                <w:rFonts w:ascii="Arial Narrow" w:hAnsi="Arial Narrow"/>
                <w:sz w:val="20"/>
                <w:szCs w:val="20"/>
              </w:rPr>
              <w:t> </w:t>
            </w:r>
          </w:p>
        </w:tc>
      </w:tr>
      <w:tr w:rsidR="00A64028" w:rsidRPr="00B07AB8" w:rsidTr="00A64028">
        <w:trPr>
          <w:gridAfter w:val="1"/>
          <w:wAfter w:w="12" w:type="dxa"/>
        </w:trPr>
        <w:tc>
          <w:tcPr>
            <w:tcW w:w="764" w:type="dxa"/>
            <w:vMerge/>
            <w:tcBorders>
              <w:top w:val="nil"/>
              <w:left w:val="single" w:sz="4" w:space="0" w:color="auto"/>
              <w:bottom w:val="single" w:sz="4" w:space="0" w:color="auto"/>
              <w:right w:val="single" w:sz="4" w:space="0" w:color="auto"/>
            </w:tcBorders>
            <w:vAlign w:val="center"/>
            <w:hideMark/>
          </w:tcPr>
          <w:p w:rsidR="00A64028" w:rsidRPr="00B07AB8" w:rsidRDefault="00A64028" w:rsidP="00103148">
            <w:pPr>
              <w:spacing w:after="0"/>
              <w:rPr>
                <w:rFonts w:ascii="Arial Narrow" w:hAnsi="Arial Narrow"/>
                <w:sz w:val="20"/>
                <w:szCs w:val="20"/>
              </w:rPr>
            </w:pPr>
          </w:p>
        </w:tc>
        <w:tc>
          <w:tcPr>
            <w:tcW w:w="7004" w:type="dxa"/>
            <w:tcBorders>
              <w:top w:val="nil"/>
              <w:left w:val="nil"/>
              <w:bottom w:val="single" w:sz="4" w:space="0" w:color="auto"/>
              <w:right w:val="single" w:sz="4" w:space="0" w:color="auto"/>
            </w:tcBorders>
            <w:shd w:val="clear" w:color="000000" w:fill="FFFFFF"/>
            <w:vAlign w:val="center"/>
            <w:hideMark/>
          </w:tcPr>
          <w:p w:rsidR="00A64028" w:rsidRPr="00B07AB8" w:rsidRDefault="00A64028" w:rsidP="00103148">
            <w:pPr>
              <w:spacing w:after="0"/>
              <w:jc w:val="right"/>
              <w:rPr>
                <w:rFonts w:ascii="Arial Narrow" w:hAnsi="Arial Narrow"/>
                <w:sz w:val="20"/>
                <w:szCs w:val="20"/>
              </w:rPr>
            </w:pPr>
            <w:r w:rsidRPr="00B07AB8">
              <w:rPr>
                <w:rFonts w:ascii="Arial Narrow" w:hAnsi="Arial Narrow"/>
                <w:sz w:val="20"/>
                <w:szCs w:val="20"/>
              </w:rPr>
              <w:t xml:space="preserve">проживающего в городской местности  </w:t>
            </w:r>
          </w:p>
        </w:tc>
        <w:tc>
          <w:tcPr>
            <w:tcW w:w="1982" w:type="dxa"/>
            <w:tcBorders>
              <w:top w:val="nil"/>
              <w:left w:val="nil"/>
              <w:bottom w:val="single" w:sz="4" w:space="0" w:color="auto"/>
              <w:right w:val="single" w:sz="4" w:space="0" w:color="auto"/>
            </w:tcBorders>
            <w:shd w:val="clear" w:color="000000" w:fill="FFFFFF"/>
            <w:noWrap/>
            <w:vAlign w:val="center"/>
            <w:hideMark/>
          </w:tcPr>
          <w:p w:rsidR="00A64028" w:rsidRPr="00B07AB8" w:rsidRDefault="00A64028" w:rsidP="00103148">
            <w:pPr>
              <w:spacing w:after="0"/>
              <w:jc w:val="center"/>
              <w:rPr>
                <w:rFonts w:ascii="Arial Narrow" w:hAnsi="Arial Narrow"/>
                <w:sz w:val="20"/>
                <w:szCs w:val="20"/>
              </w:rPr>
            </w:pPr>
            <w:r w:rsidRPr="00B07AB8">
              <w:rPr>
                <w:rFonts w:ascii="Arial Narrow" w:hAnsi="Arial Narrow"/>
                <w:sz w:val="20"/>
                <w:szCs w:val="20"/>
              </w:rPr>
              <w:t>103,42%</w:t>
            </w:r>
          </w:p>
        </w:tc>
      </w:tr>
      <w:tr w:rsidR="00A64028" w:rsidRPr="00B07AB8" w:rsidTr="00A64028">
        <w:trPr>
          <w:gridAfter w:val="1"/>
          <w:wAfter w:w="12" w:type="dxa"/>
        </w:trPr>
        <w:tc>
          <w:tcPr>
            <w:tcW w:w="764" w:type="dxa"/>
            <w:vMerge/>
            <w:tcBorders>
              <w:top w:val="nil"/>
              <w:left w:val="single" w:sz="4" w:space="0" w:color="auto"/>
              <w:bottom w:val="single" w:sz="4" w:space="0" w:color="auto"/>
              <w:right w:val="single" w:sz="4" w:space="0" w:color="auto"/>
            </w:tcBorders>
            <w:vAlign w:val="center"/>
            <w:hideMark/>
          </w:tcPr>
          <w:p w:rsidR="00A64028" w:rsidRPr="00B07AB8" w:rsidRDefault="00A64028" w:rsidP="00103148">
            <w:pPr>
              <w:spacing w:after="0"/>
              <w:rPr>
                <w:rFonts w:ascii="Arial Narrow" w:hAnsi="Arial Narrow"/>
                <w:sz w:val="20"/>
                <w:szCs w:val="20"/>
              </w:rPr>
            </w:pPr>
          </w:p>
        </w:tc>
        <w:tc>
          <w:tcPr>
            <w:tcW w:w="7004" w:type="dxa"/>
            <w:tcBorders>
              <w:top w:val="nil"/>
              <w:left w:val="nil"/>
              <w:bottom w:val="single" w:sz="4" w:space="0" w:color="auto"/>
              <w:right w:val="single" w:sz="4" w:space="0" w:color="auto"/>
            </w:tcBorders>
            <w:shd w:val="clear" w:color="000000" w:fill="FFFFFF"/>
            <w:vAlign w:val="center"/>
            <w:hideMark/>
          </w:tcPr>
          <w:p w:rsidR="00A64028" w:rsidRPr="00B07AB8" w:rsidRDefault="00A64028" w:rsidP="00103148">
            <w:pPr>
              <w:spacing w:after="0"/>
              <w:jc w:val="right"/>
              <w:rPr>
                <w:rFonts w:ascii="Arial Narrow" w:hAnsi="Arial Narrow"/>
                <w:sz w:val="20"/>
                <w:szCs w:val="20"/>
              </w:rPr>
            </w:pPr>
            <w:r w:rsidRPr="00B07AB8">
              <w:rPr>
                <w:rFonts w:ascii="Arial Narrow" w:hAnsi="Arial Narrow"/>
                <w:sz w:val="20"/>
                <w:szCs w:val="20"/>
              </w:rPr>
              <w:t xml:space="preserve"> проживающего в сельской местности </w:t>
            </w:r>
          </w:p>
        </w:tc>
        <w:tc>
          <w:tcPr>
            <w:tcW w:w="1982" w:type="dxa"/>
            <w:tcBorders>
              <w:top w:val="nil"/>
              <w:left w:val="nil"/>
              <w:bottom w:val="single" w:sz="4" w:space="0" w:color="auto"/>
              <w:right w:val="single" w:sz="4" w:space="0" w:color="auto"/>
            </w:tcBorders>
            <w:shd w:val="clear" w:color="000000" w:fill="FFFFFF"/>
            <w:noWrap/>
            <w:vAlign w:val="center"/>
            <w:hideMark/>
          </w:tcPr>
          <w:p w:rsidR="00A64028" w:rsidRPr="00B07AB8" w:rsidRDefault="00A64028" w:rsidP="00103148">
            <w:pPr>
              <w:spacing w:after="0"/>
              <w:jc w:val="center"/>
              <w:rPr>
                <w:rFonts w:ascii="Arial Narrow" w:hAnsi="Arial Narrow"/>
                <w:sz w:val="20"/>
                <w:szCs w:val="20"/>
              </w:rPr>
            </w:pPr>
            <w:r w:rsidRPr="00B07AB8">
              <w:rPr>
                <w:rFonts w:ascii="Arial Narrow" w:hAnsi="Arial Narrow"/>
                <w:sz w:val="20"/>
                <w:szCs w:val="20"/>
              </w:rPr>
              <w:t>103,74%</w:t>
            </w:r>
          </w:p>
        </w:tc>
      </w:tr>
      <w:tr w:rsidR="00A64028" w:rsidRPr="00B07AB8" w:rsidTr="00A64028">
        <w:trPr>
          <w:gridAfter w:val="1"/>
          <w:wAfter w:w="12" w:type="dxa"/>
        </w:trPr>
        <w:tc>
          <w:tcPr>
            <w:tcW w:w="764" w:type="dxa"/>
            <w:vMerge w:val="restart"/>
            <w:tcBorders>
              <w:top w:val="nil"/>
              <w:left w:val="single" w:sz="4" w:space="0" w:color="auto"/>
              <w:bottom w:val="single" w:sz="4" w:space="0" w:color="auto"/>
              <w:right w:val="single" w:sz="4" w:space="0" w:color="auto"/>
            </w:tcBorders>
            <w:shd w:val="clear" w:color="000000" w:fill="FFFFFF"/>
            <w:vAlign w:val="center"/>
            <w:hideMark/>
          </w:tcPr>
          <w:p w:rsidR="00A64028" w:rsidRPr="00B07AB8" w:rsidRDefault="00A64028" w:rsidP="00103148">
            <w:pPr>
              <w:spacing w:after="0"/>
              <w:jc w:val="center"/>
              <w:rPr>
                <w:rFonts w:ascii="Arial Narrow" w:hAnsi="Arial Narrow"/>
                <w:sz w:val="20"/>
                <w:szCs w:val="20"/>
              </w:rPr>
            </w:pPr>
            <w:r w:rsidRPr="00B07AB8">
              <w:rPr>
                <w:rFonts w:ascii="Arial Narrow" w:hAnsi="Arial Narrow"/>
                <w:sz w:val="20"/>
                <w:szCs w:val="20"/>
              </w:rPr>
              <w:t>4.2.1.2.</w:t>
            </w:r>
          </w:p>
        </w:tc>
        <w:tc>
          <w:tcPr>
            <w:tcW w:w="7004" w:type="dxa"/>
            <w:tcBorders>
              <w:top w:val="nil"/>
              <w:left w:val="nil"/>
              <w:bottom w:val="single" w:sz="4" w:space="0" w:color="auto"/>
              <w:right w:val="single" w:sz="4" w:space="0" w:color="auto"/>
            </w:tcBorders>
            <w:shd w:val="clear" w:color="000000" w:fill="FFFFFF"/>
            <w:vAlign w:val="center"/>
            <w:hideMark/>
          </w:tcPr>
          <w:p w:rsidR="00A64028" w:rsidRPr="00B07AB8" w:rsidRDefault="00A64028" w:rsidP="00103148">
            <w:pPr>
              <w:spacing w:after="0"/>
              <w:rPr>
                <w:rFonts w:ascii="Arial Narrow" w:hAnsi="Arial Narrow"/>
                <w:sz w:val="20"/>
                <w:szCs w:val="20"/>
              </w:rPr>
            </w:pPr>
            <w:r w:rsidRPr="00B07AB8">
              <w:rPr>
                <w:rFonts w:ascii="Arial Narrow" w:hAnsi="Arial Narrow"/>
                <w:sz w:val="20"/>
                <w:szCs w:val="20"/>
              </w:rPr>
              <w:t>Услуги по передаче тепловой энергии</w:t>
            </w:r>
          </w:p>
        </w:tc>
        <w:tc>
          <w:tcPr>
            <w:tcW w:w="1982" w:type="dxa"/>
            <w:tcBorders>
              <w:top w:val="nil"/>
              <w:left w:val="nil"/>
              <w:bottom w:val="single" w:sz="4" w:space="0" w:color="auto"/>
              <w:right w:val="single" w:sz="4" w:space="0" w:color="auto"/>
            </w:tcBorders>
            <w:shd w:val="clear" w:color="000000" w:fill="FFFFFF"/>
            <w:noWrap/>
            <w:vAlign w:val="center"/>
            <w:hideMark/>
          </w:tcPr>
          <w:p w:rsidR="00A64028" w:rsidRPr="00B07AB8" w:rsidRDefault="00A64028" w:rsidP="00103148">
            <w:pPr>
              <w:spacing w:after="0"/>
              <w:jc w:val="center"/>
              <w:rPr>
                <w:rFonts w:ascii="Arial Narrow" w:hAnsi="Arial Narrow"/>
                <w:sz w:val="20"/>
                <w:szCs w:val="20"/>
              </w:rPr>
            </w:pPr>
            <w:r w:rsidRPr="00B07AB8">
              <w:rPr>
                <w:rFonts w:ascii="Arial Narrow" w:hAnsi="Arial Narrow"/>
                <w:sz w:val="20"/>
                <w:szCs w:val="20"/>
              </w:rPr>
              <w:t> </w:t>
            </w:r>
          </w:p>
        </w:tc>
      </w:tr>
      <w:tr w:rsidR="00A64028" w:rsidRPr="00B07AB8" w:rsidTr="00A64028">
        <w:trPr>
          <w:gridAfter w:val="1"/>
          <w:wAfter w:w="12" w:type="dxa"/>
        </w:trPr>
        <w:tc>
          <w:tcPr>
            <w:tcW w:w="764" w:type="dxa"/>
            <w:vMerge/>
            <w:tcBorders>
              <w:top w:val="nil"/>
              <w:left w:val="single" w:sz="4" w:space="0" w:color="auto"/>
              <w:bottom w:val="single" w:sz="4" w:space="0" w:color="auto"/>
              <w:right w:val="single" w:sz="4" w:space="0" w:color="auto"/>
            </w:tcBorders>
            <w:vAlign w:val="center"/>
            <w:hideMark/>
          </w:tcPr>
          <w:p w:rsidR="00A64028" w:rsidRPr="00B07AB8" w:rsidRDefault="00A64028" w:rsidP="00103148">
            <w:pPr>
              <w:spacing w:after="0"/>
              <w:rPr>
                <w:rFonts w:ascii="Arial Narrow" w:hAnsi="Arial Narrow"/>
                <w:sz w:val="20"/>
                <w:szCs w:val="20"/>
              </w:rPr>
            </w:pPr>
          </w:p>
        </w:tc>
        <w:tc>
          <w:tcPr>
            <w:tcW w:w="7004" w:type="dxa"/>
            <w:tcBorders>
              <w:top w:val="nil"/>
              <w:left w:val="nil"/>
              <w:bottom w:val="single" w:sz="4" w:space="0" w:color="auto"/>
              <w:right w:val="single" w:sz="4" w:space="0" w:color="auto"/>
            </w:tcBorders>
            <w:shd w:val="clear" w:color="000000" w:fill="FFFFFF"/>
            <w:vAlign w:val="center"/>
            <w:hideMark/>
          </w:tcPr>
          <w:p w:rsidR="00A64028" w:rsidRPr="00B07AB8" w:rsidRDefault="00A64028" w:rsidP="00103148">
            <w:pPr>
              <w:spacing w:after="0"/>
              <w:rPr>
                <w:rFonts w:ascii="Arial Narrow" w:hAnsi="Arial Narrow"/>
                <w:sz w:val="20"/>
                <w:szCs w:val="20"/>
              </w:rPr>
            </w:pPr>
            <w:r w:rsidRPr="00B07AB8">
              <w:rPr>
                <w:rFonts w:ascii="Arial Narrow" w:hAnsi="Arial Narrow"/>
                <w:sz w:val="20"/>
                <w:szCs w:val="20"/>
              </w:rPr>
              <w:t>Тепловая энергия (руб. за 1 Гкал)</w:t>
            </w:r>
          </w:p>
        </w:tc>
        <w:tc>
          <w:tcPr>
            <w:tcW w:w="1982" w:type="dxa"/>
            <w:tcBorders>
              <w:top w:val="nil"/>
              <w:left w:val="nil"/>
              <w:bottom w:val="single" w:sz="4" w:space="0" w:color="auto"/>
              <w:right w:val="single" w:sz="4" w:space="0" w:color="auto"/>
            </w:tcBorders>
            <w:shd w:val="clear" w:color="000000" w:fill="FFFFFF"/>
            <w:noWrap/>
            <w:vAlign w:val="center"/>
            <w:hideMark/>
          </w:tcPr>
          <w:p w:rsidR="00A64028" w:rsidRPr="00B07AB8" w:rsidRDefault="00A64028" w:rsidP="00103148">
            <w:pPr>
              <w:spacing w:after="0"/>
              <w:jc w:val="center"/>
              <w:rPr>
                <w:rFonts w:ascii="Arial Narrow" w:hAnsi="Arial Narrow"/>
                <w:sz w:val="20"/>
                <w:szCs w:val="20"/>
              </w:rPr>
            </w:pPr>
            <w:r w:rsidRPr="00B07AB8">
              <w:rPr>
                <w:rFonts w:ascii="Arial Narrow" w:hAnsi="Arial Narrow"/>
                <w:sz w:val="20"/>
                <w:szCs w:val="20"/>
              </w:rPr>
              <w:t> </w:t>
            </w:r>
          </w:p>
        </w:tc>
      </w:tr>
      <w:tr w:rsidR="00A64028" w:rsidRPr="00B07AB8" w:rsidTr="00A64028">
        <w:trPr>
          <w:gridAfter w:val="1"/>
          <w:wAfter w:w="12" w:type="dxa"/>
        </w:trPr>
        <w:tc>
          <w:tcPr>
            <w:tcW w:w="764" w:type="dxa"/>
            <w:vMerge/>
            <w:tcBorders>
              <w:top w:val="nil"/>
              <w:left w:val="single" w:sz="4" w:space="0" w:color="auto"/>
              <w:bottom w:val="single" w:sz="4" w:space="0" w:color="auto"/>
              <w:right w:val="single" w:sz="4" w:space="0" w:color="auto"/>
            </w:tcBorders>
            <w:vAlign w:val="center"/>
            <w:hideMark/>
          </w:tcPr>
          <w:p w:rsidR="00A64028" w:rsidRPr="00B07AB8" w:rsidRDefault="00A64028" w:rsidP="00103148">
            <w:pPr>
              <w:spacing w:after="0"/>
              <w:rPr>
                <w:rFonts w:ascii="Arial Narrow" w:hAnsi="Arial Narrow"/>
                <w:sz w:val="20"/>
                <w:szCs w:val="20"/>
              </w:rPr>
            </w:pPr>
          </w:p>
        </w:tc>
        <w:tc>
          <w:tcPr>
            <w:tcW w:w="7004" w:type="dxa"/>
            <w:tcBorders>
              <w:top w:val="nil"/>
              <w:left w:val="nil"/>
              <w:bottom w:val="single" w:sz="4" w:space="0" w:color="auto"/>
              <w:right w:val="single" w:sz="4" w:space="0" w:color="auto"/>
            </w:tcBorders>
            <w:shd w:val="clear" w:color="000000" w:fill="FFFFFF"/>
            <w:vAlign w:val="center"/>
            <w:hideMark/>
          </w:tcPr>
          <w:p w:rsidR="00A64028" w:rsidRPr="00B07AB8" w:rsidRDefault="00A64028" w:rsidP="00103148">
            <w:pPr>
              <w:spacing w:after="0"/>
              <w:jc w:val="right"/>
              <w:rPr>
                <w:rFonts w:ascii="Arial Narrow" w:hAnsi="Arial Narrow"/>
                <w:sz w:val="20"/>
                <w:szCs w:val="20"/>
              </w:rPr>
            </w:pPr>
            <w:r w:rsidRPr="00B07AB8">
              <w:rPr>
                <w:rFonts w:ascii="Arial Narrow" w:hAnsi="Arial Narrow"/>
                <w:sz w:val="20"/>
                <w:szCs w:val="20"/>
              </w:rPr>
              <w:t>средневзвешенный тариф по Новосибирской области</w:t>
            </w:r>
          </w:p>
        </w:tc>
        <w:tc>
          <w:tcPr>
            <w:tcW w:w="1982" w:type="dxa"/>
            <w:tcBorders>
              <w:top w:val="nil"/>
              <w:left w:val="nil"/>
              <w:bottom w:val="single" w:sz="4" w:space="0" w:color="auto"/>
              <w:right w:val="single" w:sz="4" w:space="0" w:color="auto"/>
            </w:tcBorders>
            <w:shd w:val="clear" w:color="000000" w:fill="FFFFFF"/>
            <w:noWrap/>
            <w:vAlign w:val="center"/>
            <w:hideMark/>
          </w:tcPr>
          <w:p w:rsidR="00A64028" w:rsidRPr="00B07AB8" w:rsidRDefault="00A64028" w:rsidP="00103148">
            <w:pPr>
              <w:spacing w:after="0"/>
              <w:jc w:val="center"/>
              <w:rPr>
                <w:rFonts w:ascii="Arial Narrow" w:hAnsi="Arial Narrow"/>
                <w:sz w:val="20"/>
                <w:szCs w:val="20"/>
              </w:rPr>
            </w:pPr>
            <w:r w:rsidRPr="00B07AB8">
              <w:rPr>
                <w:rFonts w:ascii="Arial Narrow" w:hAnsi="Arial Narrow"/>
                <w:sz w:val="20"/>
                <w:szCs w:val="20"/>
              </w:rPr>
              <w:t>103,50%</w:t>
            </w:r>
          </w:p>
        </w:tc>
      </w:tr>
      <w:tr w:rsidR="00A64028" w:rsidRPr="00B07AB8" w:rsidTr="00A64028">
        <w:trPr>
          <w:gridAfter w:val="1"/>
          <w:wAfter w:w="12" w:type="dxa"/>
        </w:trPr>
        <w:tc>
          <w:tcPr>
            <w:tcW w:w="764" w:type="dxa"/>
            <w:vMerge/>
            <w:tcBorders>
              <w:top w:val="nil"/>
              <w:left w:val="single" w:sz="4" w:space="0" w:color="auto"/>
              <w:bottom w:val="single" w:sz="4" w:space="0" w:color="auto"/>
              <w:right w:val="single" w:sz="4" w:space="0" w:color="auto"/>
            </w:tcBorders>
            <w:vAlign w:val="center"/>
            <w:hideMark/>
          </w:tcPr>
          <w:p w:rsidR="00A64028" w:rsidRPr="00B07AB8" w:rsidRDefault="00A64028" w:rsidP="00103148">
            <w:pPr>
              <w:spacing w:after="0"/>
              <w:rPr>
                <w:rFonts w:ascii="Arial Narrow" w:hAnsi="Arial Narrow"/>
                <w:sz w:val="20"/>
                <w:szCs w:val="20"/>
              </w:rPr>
            </w:pPr>
          </w:p>
        </w:tc>
        <w:tc>
          <w:tcPr>
            <w:tcW w:w="7004" w:type="dxa"/>
            <w:tcBorders>
              <w:top w:val="nil"/>
              <w:left w:val="nil"/>
              <w:bottom w:val="single" w:sz="4" w:space="0" w:color="auto"/>
              <w:right w:val="single" w:sz="4" w:space="0" w:color="auto"/>
            </w:tcBorders>
            <w:shd w:val="clear" w:color="000000" w:fill="FFFFFF"/>
            <w:noWrap/>
            <w:vAlign w:val="center"/>
            <w:hideMark/>
          </w:tcPr>
          <w:p w:rsidR="00A64028" w:rsidRPr="00B07AB8" w:rsidRDefault="00A64028" w:rsidP="00103148">
            <w:pPr>
              <w:spacing w:after="0"/>
              <w:jc w:val="right"/>
              <w:rPr>
                <w:rFonts w:ascii="Arial Narrow" w:hAnsi="Arial Narrow"/>
                <w:sz w:val="20"/>
                <w:szCs w:val="20"/>
              </w:rPr>
            </w:pPr>
            <w:r w:rsidRPr="00B07AB8">
              <w:rPr>
                <w:rFonts w:ascii="Arial Narrow" w:hAnsi="Arial Narrow"/>
                <w:sz w:val="20"/>
                <w:szCs w:val="20"/>
              </w:rPr>
              <w:t>в т. ч. для АО «СИБЭКО»</w:t>
            </w:r>
          </w:p>
        </w:tc>
        <w:tc>
          <w:tcPr>
            <w:tcW w:w="1982" w:type="dxa"/>
            <w:tcBorders>
              <w:top w:val="nil"/>
              <w:left w:val="nil"/>
              <w:bottom w:val="single" w:sz="4" w:space="0" w:color="auto"/>
              <w:right w:val="single" w:sz="4" w:space="0" w:color="auto"/>
            </w:tcBorders>
            <w:shd w:val="clear" w:color="000000" w:fill="FFFFFF"/>
            <w:noWrap/>
            <w:vAlign w:val="center"/>
            <w:hideMark/>
          </w:tcPr>
          <w:p w:rsidR="00A64028" w:rsidRPr="00B07AB8" w:rsidRDefault="00A64028" w:rsidP="00103148">
            <w:pPr>
              <w:spacing w:after="0"/>
              <w:jc w:val="center"/>
              <w:rPr>
                <w:rFonts w:ascii="Arial Narrow" w:hAnsi="Arial Narrow"/>
                <w:sz w:val="20"/>
                <w:szCs w:val="20"/>
              </w:rPr>
            </w:pPr>
            <w:r w:rsidRPr="00B07AB8">
              <w:rPr>
                <w:rFonts w:ascii="Arial Narrow" w:hAnsi="Arial Narrow"/>
                <w:sz w:val="20"/>
                <w:szCs w:val="20"/>
              </w:rPr>
              <w:t>103,50%</w:t>
            </w:r>
          </w:p>
        </w:tc>
      </w:tr>
      <w:tr w:rsidR="00A64028" w:rsidRPr="00B07AB8" w:rsidTr="00A64028">
        <w:trPr>
          <w:gridAfter w:val="1"/>
          <w:wAfter w:w="12" w:type="dxa"/>
        </w:trPr>
        <w:tc>
          <w:tcPr>
            <w:tcW w:w="764" w:type="dxa"/>
            <w:vMerge w:val="restart"/>
            <w:tcBorders>
              <w:top w:val="nil"/>
              <w:left w:val="single" w:sz="4" w:space="0" w:color="auto"/>
              <w:right w:val="single" w:sz="4" w:space="0" w:color="auto"/>
            </w:tcBorders>
            <w:shd w:val="clear" w:color="000000" w:fill="FFFFFF"/>
            <w:vAlign w:val="center"/>
            <w:hideMark/>
          </w:tcPr>
          <w:p w:rsidR="00A64028" w:rsidRPr="00B07AB8" w:rsidRDefault="00A64028" w:rsidP="00103148">
            <w:pPr>
              <w:spacing w:after="0"/>
              <w:jc w:val="center"/>
              <w:rPr>
                <w:rFonts w:ascii="Arial Narrow" w:hAnsi="Arial Narrow"/>
                <w:sz w:val="20"/>
                <w:szCs w:val="20"/>
              </w:rPr>
            </w:pPr>
            <w:r w:rsidRPr="00B07AB8">
              <w:rPr>
                <w:rFonts w:ascii="Arial Narrow" w:hAnsi="Arial Narrow"/>
                <w:sz w:val="20"/>
                <w:szCs w:val="20"/>
              </w:rPr>
              <w:t>4.2.2.</w:t>
            </w:r>
          </w:p>
        </w:tc>
        <w:tc>
          <w:tcPr>
            <w:tcW w:w="7004" w:type="dxa"/>
            <w:tcBorders>
              <w:top w:val="nil"/>
              <w:left w:val="nil"/>
              <w:bottom w:val="single" w:sz="4" w:space="0" w:color="auto"/>
              <w:right w:val="single" w:sz="4" w:space="0" w:color="auto"/>
            </w:tcBorders>
            <w:shd w:val="clear" w:color="000000" w:fill="FFFFFF"/>
            <w:vAlign w:val="center"/>
            <w:hideMark/>
          </w:tcPr>
          <w:p w:rsidR="00A64028" w:rsidRPr="00B07AB8" w:rsidRDefault="00A64028" w:rsidP="00103148">
            <w:pPr>
              <w:spacing w:after="0"/>
              <w:rPr>
                <w:rFonts w:ascii="Arial Narrow" w:hAnsi="Arial Narrow"/>
                <w:sz w:val="20"/>
                <w:szCs w:val="20"/>
              </w:rPr>
            </w:pPr>
            <w:r w:rsidRPr="00B07AB8">
              <w:rPr>
                <w:rFonts w:ascii="Arial Narrow" w:hAnsi="Arial Narrow"/>
                <w:sz w:val="20"/>
                <w:szCs w:val="20"/>
              </w:rPr>
              <w:t>Водоснабжение и водоотведение с использованием централизованных систем, систем коммунальной инфраструктуры</w:t>
            </w:r>
          </w:p>
        </w:tc>
        <w:tc>
          <w:tcPr>
            <w:tcW w:w="1982" w:type="dxa"/>
            <w:tcBorders>
              <w:top w:val="nil"/>
              <w:left w:val="nil"/>
              <w:bottom w:val="single" w:sz="4" w:space="0" w:color="auto"/>
              <w:right w:val="single" w:sz="4" w:space="0" w:color="auto"/>
            </w:tcBorders>
            <w:shd w:val="clear" w:color="000000" w:fill="FFFFFF"/>
            <w:vAlign w:val="center"/>
            <w:hideMark/>
          </w:tcPr>
          <w:p w:rsidR="00A64028" w:rsidRPr="00B07AB8" w:rsidRDefault="00A64028" w:rsidP="00103148">
            <w:pPr>
              <w:spacing w:after="0"/>
              <w:jc w:val="center"/>
              <w:rPr>
                <w:rFonts w:ascii="Arial Narrow" w:hAnsi="Arial Narrow"/>
                <w:sz w:val="20"/>
                <w:szCs w:val="20"/>
              </w:rPr>
            </w:pPr>
            <w:r w:rsidRPr="00B07AB8">
              <w:rPr>
                <w:rFonts w:ascii="Arial Narrow" w:hAnsi="Arial Narrow"/>
                <w:sz w:val="20"/>
                <w:szCs w:val="20"/>
              </w:rPr>
              <w:t> </w:t>
            </w:r>
          </w:p>
        </w:tc>
      </w:tr>
      <w:tr w:rsidR="00A64028" w:rsidRPr="00B07AB8" w:rsidTr="00A64028">
        <w:trPr>
          <w:gridAfter w:val="1"/>
          <w:wAfter w:w="12" w:type="dxa"/>
        </w:trPr>
        <w:tc>
          <w:tcPr>
            <w:tcW w:w="764" w:type="dxa"/>
            <w:vMerge/>
            <w:tcBorders>
              <w:left w:val="single" w:sz="4" w:space="0" w:color="auto"/>
              <w:right w:val="single" w:sz="4" w:space="0" w:color="auto"/>
            </w:tcBorders>
            <w:vAlign w:val="center"/>
            <w:hideMark/>
          </w:tcPr>
          <w:p w:rsidR="00A64028" w:rsidRPr="00B07AB8" w:rsidRDefault="00A64028" w:rsidP="00103148">
            <w:pPr>
              <w:spacing w:after="0"/>
              <w:rPr>
                <w:rFonts w:ascii="Arial Narrow" w:hAnsi="Arial Narrow"/>
                <w:sz w:val="20"/>
                <w:szCs w:val="20"/>
              </w:rPr>
            </w:pPr>
          </w:p>
        </w:tc>
        <w:tc>
          <w:tcPr>
            <w:tcW w:w="7004" w:type="dxa"/>
            <w:tcBorders>
              <w:top w:val="nil"/>
              <w:left w:val="nil"/>
              <w:bottom w:val="single" w:sz="4" w:space="0" w:color="auto"/>
              <w:right w:val="single" w:sz="4" w:space="0" w:color="auto"/>
            </w:tcBorders>
            <w:shd w:val="clear" w:color="000000" w:fill="FFFFFF"/>
            <w:noWrap/>
            <w:vAlign w:val="center"/>
            <w:hideMark/>
          </w:tcPr>
          <w:p w:rsidR="00A64028" w:rsidRPr="00B07AB8" w:rsidRDefault="00A64028" w:rsidP="00103148">
            <w:pPr>
              <w:spacing w:after="0"/>
              <w:rPr>
                <w:rFonts w:ascii="Arial Narrow" w:hAnsi="Arial Narrow"/>
                <w:sz w:val="20"/>
                <w:szCs w:val="20"/>
              </w:rPr>
            </w:pPr>
            <w:r w:rsidRPr="00B07AB8">
              <w:rPr>
                <w:rFonts w:ascii="Arial Narrow" w:hAnsi="Arial Narrow"/>
                <w:bCs/>
                <w:sz w:val="20"/>
                <w:szCs w:val="20"/>
              </w:rPr>
              <w:t>Холодное водоснабжение (руб. /м</w:t>
            </w:r>
            <w:r w:rsidRPr="00B07AB8">
              <w:rPr>
                <w:rFonts w:ascii="Arial Narrow" w:hAnsi="Arial Narrow"/>
                <w:bCs/>
                <w:sz w:val="20"/>
                <w:szCs w:val="20"/>
                <w:vertAlign w:val="superscript"/>
              </w:rPr>
              <w:t>3</w:t>
            </w:r>
            <w:r w:rsidRPr="00B07AB8">
              <w:rPr>
                <w:rFonts w:ascii="Arial Narrow" w:hAnsi="Arial Narrow"/>
                <w:bCs/>
                <w:sz w:val="20"/>
                <w:szCs w:val="20"/>
              </w:rPr>
              <w:t>)</w:t>
            </w:r>
          </w:p>
        </w:tc>
        <w:tc>
          <w:tcPr>
            <w:tcW w:w="1982" w:type="dxa"/>
            <w:tcBorders>
              <w:top w:val="nil"/>
              <w:left w:val="nil"/>
              <w:bottom w:val="single" w:sz="4" w:space="0" w:color="auto"/>
              <w:right w:val="single" w:sz="4" w:space="0" w:color="auto"/>
            </w:tcBorders>
            <w:shd w:val="clear" w:color="000000" w:fill="FFFFFF"/>
            <w:vAlign w:val="center"/>
            <w:hideMark/>
          </w:tcPr>
          <w:p w:rsidR="00A64028" w:rsidRPr="00B07AB8" w:rsidRDefault="00A64028" w:rsidP="00103148">
            <w:pPr>
              <w:spacing w:after="0"/>
              <w:jc w:val="center"/>
              <w:rPr>
                <w:rFonts w:ascii="Arial Narrow" w:hAnsi="Arial Narrow"/>
                <w:sz w:val="20"/>
                <w:szCs w:val="20"/>
              </w:rPr>
            </w:pPr>
            <w:r w:rsidRPr="00B07AB8">
              <w:rPr>
                <w:rFonts w:ascii="Arial Narrow" w:hAnsi="Arial Narrow"/>
                <w:sz w:val="20"/>
                <w:szCs w:val="20"/>
              </w:rPr>
              <w:t> </w:t>
            </w:r>
          </w:p>
        </w:tc>
      </w:tr>
      <w:tr w:rsidR="00A64028" w:rsidRPr="00B07AB8" w:rsidTr="00A64028">
        <w:trPr>
          <w:gridAfter w:val="1"/>
          <w:wAfter w:w="12" w:type="dxa"/>
        </w:trPr>
        <w:tc>
          <w:tcPr>
            <w:tcW w:w="764" w:type="dxa"/>
            <w:vMerge/>
            <w:tcBorders>
              <w:left w:val="single" w:sz="4" w:space="0" w:color="auto"/>
              <w:right w:val="single" w:sz="4" w:space="0" w:color="auto"/>
            </w:tcBorders>
            <w:vAlign w:val="center"/>
            <w:hideMark/>
          </w:tcPr>
          <w:p w:rsidR="00A64028" w:rsidRPr="00B07AB8" w:rsidRDefault="00A64028" w:rsidP="00103148">
            <w:pPr>
              <w:spacing w:after="0"/>
              <w:rPr>
                <w:rFonts w:ascii="Arial Narrow" w:hAnsi="Arial Narrow"/>
                <w:sz w:val="20"/>
                <w:szCs w:val="20"/>
              </w:rPr>
            </w:pPr>
          </w:p>
        </w:tc>
        <w:tc>
          <w:tcPr>
            <w:tcW w:w="7004" w:type="dxa"/>
            <w:tcBorders>
              <w:top w:val="nil"/>
              <w:left w:val="nil"/>
              <w:bottom w:val="single" w:sz="4" w:space="0" w:color="auto"/>
              <w:right w:val="single" w:sz="4" w:space="0" w:color="auto"/>
            </w:tcBorders>
            <w:shd w:val="clear" w:color="000000" w:fill="FFFFFF"/>
            <w:vAlign w:val="center"/>
            <w:hideMark/>
          </w:tcPr>
          <w:p w:rsidR="00A64028" w:rsidRPr="00B07AB8" w:rsidRDefault="00A64028" w:rsidP="00103148">
            <w:pPr>
              <w:spacing w:after="0"/>
              <w:jc w:val="right"/>
              <w:rPr>
                <w:rFonts w:ascii="Arial Narrow" w:hAnsi="Arial Narrow"/>
                <w:sz w:val="20"/>
                <w:szCs w:val="20"/>
              </w:rPr>
            </w:pPr>
            <w:r w:rsidRPr="00B07AB8">
              <w:rPr>
                <w:rFonts w:ascii="Arial Narrow" w:hAnsi="Arial Narrow"/>
                <w:sz w:val="20"/>
                <w:szCs w:val="20"/>
              </w:rPr>
              <w:t>средневзвешенный тариф по Новосибирской области</w:t>
            </w:r>
          </w:p>
        </w:tc>
        <w:tc>
          <w:tcPr>
            <w:tcW w:w="1982" w:type="dxa"/>
            <w:tcBorders>
              <w:top w:val="nil"/>
              <w:left w:val="nil"/>
              <w:bottom w:val="single" w:sz="4" w:space="0" w:color="auto"/>
              <w:right w:val="single" w:sz="4" w:space="0" w:color="auto"/>
            </w:tcBorders>
            <w:shd w:val="clear" w:color="000000" w:fill="FFFFFF"/>
            <w:noWrap/>
            <w:vAlign w:val="center"/>
            <w:hideMark/>
          </w:tcPr>
          <w:p w:rsidR="00A64028" w:rsidRPr="00B07AB8" w:rsidRDefault="00A64028" w:rsidP="00103148">
            <w:pPr>
              <w:spacing w:after="0"/>
              <w:jc w:val="center"/>
              <w:rPr>
                <w:rFonts w:ascii="Arial Narrow" w:hAnsi="Arial Narrow"/>
                <w:sz w:val="20"/>
                <w:szCs w:val="20"/>
              </w:rPr>
            </w:pPr>
            <w:r w:rsidRPr="00B07AB8">
              <w:rPr>
                <w:rFonts w:ascii="Arial Narrow" w:hAnsi="Arial Narrow"/>
                <w:sz w:val="20"/>
                <w:szCs w:val="20"/>
              </w:rPr>
              <w:t>103,21%</w:t>
            </w:r>
          </w:p>
        </w:tc>
      </w:tr>
      <w:tr w:rsidR="00A64028" w:rsidRPr="00B07AB8" w:rsidTr="00A64028">
        <w:trPr>
          <w:gridAfter w:val="1"/>
          <w:wAfter w:w="12" w:type="dxa"/>
        </w:trPr>
        <w:tc>
          <w:tcPr>
            <w:tcW w:w="764" w:type="dxa"/>
            <w:vMerge/>
            <w:tcBorders>
              <w:left w:val="single" w:sz="4" w:space="0" w:color="auto"/>
              <w:right w:val="single" w:sz="4" w:space="0" w:color="auto"/>
            </w:tcBorders>
            <w:vAlign w:val="center"/>
            <w:hideMark/>
          </w:tcPr>
          <w:p w:rsidR="00A64028" w:rsidRPr="00B07AB8" w:rsidRDefault="00A64028" w:rsidP="00103148">
            <w:pPr>
              <w:spacing w:after="0"/>
              <w:rPr>
                <w:rFonts w:ascii="Arial Narrow" w:hAnsi="Arial Narrow"/>
                <w:sz w:val="20"/>
                <w:szCs w:val="20"/>
              </w:rPr>
            </w:pPr>
          </w:p>
        </w:tc>
        <w:tc>
          <w:tcPr>
            <w:tcW w:w="7004" w:type="dxa"/>
            <w:tcBorders>
              <w:top w:val="nil"/>
              <w:left w:val="nil"/>
              <w:bottom w:val="single" w:sz="4" w:space="0" w:color="auto"/>
              <w:right w:val="single" w:sz="4" w:space="0" w:color="auto"/>
            </w:tcBorders>
            <w:shd w:val="clear" w:color="000000" w:fill="FFFFFF"/>
            <w:vAlign w:val="center"/>
            <w:hideMark/>
          </w:tcPr>
          <w:p w:rsidR="00A64028" w:rsidRPr="00B07AB8" w:rsidRDefault="00A64028" w:rsidP="00103148">
            <w:pPr>
              <w:spacing w:after="0"/>
              <w:jc w:val="right"/>
              <w:rPr>
                <w:rFonts w:ascii="Arial Narrow" w:hAnsi="Arial Narrow"/>
                <w:sz w:val="20"/>
                <w:szCs w:val="20"/>
              </w:rPr>
            </w:pPr>
            <w:r w:rsidRPr="00B07AB8">
              <w:rPr>
                <w:rFonts w:ascii="Arial Narrow" w:hAnsi="Arial Narrow"/>
                <w:sz w:val="20"/>
                <w:szCs w:val="20"/>
              </w:rPr>
              <w:t>в т. ч. в г. Новосибирске (МУП «Горводоканал»)</w:t>
            </w:r>
          </w:p>
        </w:tc>
        <w:tc>
          <w:tcPr>
            <w:tcW w:w="1982" w:type="dxa"/>
            <w:tcBorders>
              <w:top w:val="nil"/>
              <w:left w:val="nil"/>
              <w:bottom w:val="single" w:sz="4" w:space="0" w:color="auto"/>
              <w:right w:val="single" w:sz="4" w:space="0" w:color="auto"/>
            </w:tcBorders>
            <w:shd w:val="clear" w:color="000000" w:fill="FFFFFF"/>
            <w:noWrap/>
            <w:vAlign w:val="center"/>
            <w:hideMark/>
          </w:tcPr>
          <w:p w:rsidR="00A64028" w:rsidRPr="00B07AB8" w:rsidRDefault="00A64028" w:rsidP="00103148">
            <w:pPr>
              <w:spacing w:after="0"/>
              <w:jc w:val="center"/>
              <w:rPr>
                <w:rFonts w:ascii="Arial Narrow" w:hAnsi="Arial Narrow"/>
                <w:sz w:val="20"/>
                <w:szCs w:val="20"/>
              </w:rPr>
            </w:pPr>
            <w:r w:rsidRPr="00B07AB8">
              <w:rPr>
                <w:rFonts w:ascii="Arial Narrow" w:hAnsi="Arial Narrow"/>
                <w:sz w:val="20"/>
                <w:szCs w:val="20"/>
              </w:rPr>
              <w:t>103,51%</w:t>
            </w:r>
          </w:p>
        </w:tc>
      </w:tr>
      <w:tr w:rsidR="00A64028" w:rsidRPr="00B07AB8" w:rsidTr="00A64028">
        <w:trPr>
          <w:gridAfter w:val="1"/>
          <w:wAfter w:w="12" w:type="dxa"/>
        </w:trPr>
        <w:tc>
          <w:tcPr>
            <w:tcW w:w="764" w:type="dxa"/>
            <w:vMerge/>
            <w:tcBorders>
              <w:left w:val="single" w:sz="4" w:space="0" w:color="auto"/>
              <w:right w:val="single" w:sz="4" w:space="0" w:color="auto"/>
            </w:tcBorders>
            <w:vAlign w:val="center"/>
            <w:hideMark/>
          </w:tcPr>
          <w:p w:rsidR="00A64028" w:rsidRPr="00B07AB8" w:rsidRDefault="00A64028" w:rsidP="00103148">
            <w:pPr>
              <w:spacing w:after="0"/>
              <w:rPr>
                <w:rFonts w:ascii="Arial Narrow" w:hAnsi="Arial Narrow"/>
                <w:sz w:val="20"/>
                <w:szCs w:val="20"/>
              </w:rPr>
            </w:pPr>
          </w:p>
        </w:tc>
        <w:tc>
          <w:tcPr>
            <w:tcW w:w="7004" w:type="dxa"/>
            <w:tcBorders>
              <w:top w:val="nil"/>
              <w:left w:val="nil"/>
              <w:bottom w:val="single" w:sz="4" w:space="0" w:color="auto"/>
              <w:right w:val="single" w:sz="4" w:space="0" w:color="auto"/>
            </w:tcBorders>
            <w:shd w:val="clear" w:color="000000" w:fill="FFFFFF"/>
            <w:noWrap/>
            <w:vAlign w:val="center"/>
            <w:hideMark/>
          </w:tcPr>
          <w:p w:rsidR="00A64028" w:rsidRPr="00B07AB8" w:rsidRDefault="00A64028" w:rsidP="00103148">
            <w:pPr>
              <w:spacing w:after="0"/>
              <w:rPr>
                <w:rFonts w:ascii="Arial Narrow" w:hAnsi="Arial Narrow"/>
                <w:sz w:val="20"/>
                <w:szCs w:val="20"/>
              </w:rPr>
            </w:pPr>
            <w:r w:rsidRPr="00B07AB8">
              <w:rPr>
                <w:rFonts w:ascii="Arial Narrow" w:hAnsi="Arial Narrow"/>
                <w:bCs/>
                <w:sz w:val="20"/>
                <w:szCs w:val="20"/>
              </w:rPr>
              <w:t>Водоотведение (руб./м3)</w:t>
            </w:r>
          </w:p>
        </w:tc>
        <w:tc>
          <w:tcPr>
            <w:tcW w:w="1982" w:type="dxa"/>
            <w:tcBorders>
              <w:top w:val="nil"/>
              <w:left w:val="nil"/>
              <w:bottom w:val="single" w:sz="4" w:space="0" w:color="auto"/>
              <w:right w:val="single" w:sz="4" w:space="0" w:color="auto"/>
            </w:tcBorders>
            <w:shd w:val="clear" w:color="000000" w:fill="FFFFFF"/>
            <w:noWrap/>
            <w:vAlign w:val="center"/>
            <w:hideMark/>
          </w:tcPr>
          <w:p w:rsidR="00A64028" w:rsidRPr="00B07AB8" w:rsidRDefault="00A64028" w:rsidP="00103148">
            <w:pPr>
              <w:spacing w:after="0"/>
              <w:jc w:val="center"/>
              <w:rPr>
                <w:rFonts w:ascii="Arial Narrow" w:hAnsi="Arial Narrow"/>
                <w:sz w:val="20"/>
                <w:szCs w:val="20"/>
              </w:rPr>
            </w:pPr>
            <w:r w:rsidRPr="00B07AB8">
              <w:rPr>
                <w:rFonts w:ascii="Arial Narrow" w:hAnsi="Arial Narrow"/>
                <w:sz w:val="20"/>
                <w:szCs w:val="20"/>
              </w:rPr>
              <w:t> </w:t>
            </w:r>
          </w:p>
        </w:tc>
      </w:tr>
      <w:tr w:rsidR="00A64028" w:rsidRPr="00B07AB8" w:rsidTr="00A64028">
        <w:trPr>
          <w:gridAfter w:val="1"/>
          <w:wAfter w:w="12" w:type="dxa"/>
        </w:trPr>
        <w:tc>
          <w:tcPr>
            <w:tcW w:w="764" w:type="dxa"/>
            <w:vMerge/>
            <w:tcBorders>
              <w:left w:val="single" w:sz="4" w:space="0" w:color="auto"/>
              <w:right w:val="single" w:sz="4" w:space="0" w:color="auto"/>
            </w:tcBorders>
            <w:vAlign w:val="center"/>
            <w:hideMark/>
          </w:tcPr>
          <w:p w:rsidR="00A64028" w:rsidRPr="00B07AB8" w:rsidRDefault="00A64028" w:rsidP="00103148">
            <w:pPr>
              <w:spacing w:after="0"/>
              <w:rPr>
                <w:rFonts w:ascii="Arial Narrow" w:hAnsi="Arial Narrow"/>
                <w:sz w:val="20"/>
                <w:szCs w:val="20"/>
              </w:rPr>
            </w:pPr>
          </w:p>
        </w:tc>
        <w:tc>
          <w:tcPr>
            <w:tcW w:w="7004" w:type="dxa"/>
            <w:tcBorders>
              <w:top w:val="nil"/>
              <w:left w:val="nil"/>
              <w:bottom w:val="single" w:sz="4" w:space="0" w:color="auto"/>
              <w:right w:val="single" w:sz="4" w:space="0" w:color="auto"/>
            </w:tcBorders>
            <w:shd w:val="clear" w:color="000000" w:fill="FFFFFF"/>
            <w:vAlign w:val="center"/>
            <w:hideMark/>
          </w:tcPr>
          <w:p w:rsidR="00A64028" w:rsidRPr="00B07AB8" w:rsidRDefault="00A64028" w:rsidP="00103148">
            <w:pPr>
              <w:spacing w:after="0"/>
              <w:jc w:val="right"/>
              <w:rPr>
                <w:rFonts w:ascii="Arial Narrow" w:hAnsi="Arial Narrow"/>
                <w:sz w:val="20"/>
                <w:szCs w:val="20"/>
              </w:rPr>
            </w:pPr>
            <w:r w:rsidRPr="00B07AB8">
              <w:rPr>
                <w:rFonts w:ascii="Arial Narrow" w:hAnsi="Arial Narrow"/>
                <w:sz w:val="20"/>
                <w:szCs w:val="20"/>
              </w:rPr>
              <w:t xml:space="preserve"> средневзвешенный тариф по Новосибирской области</w:t>
            </w:r>
          </w:p>
        </w:tc>
        <w:tc>
          <w:tcPr>
            <w:tcW w:w="1982" w:type="dxa"/>
            <w:tcBorders>
              <w:top w:val="nil"/>
              <w:left w:val="nil"/>
              <w:bottom w:val="single" w:sz="4" w:space="0" w:color="auto"/>
              <w:right w:val="single" w:sz="4" w:space="0" w:color="auto"/>
            </w:tcBorders>
            <w:shd w:val="clear" w:color="000000" w:fill="FFFFFF"/>
            <w:noWrap/>
            <w:vAlign w:val="center"/>
            <w:hideMark/>
          </w:tcPr>
          <w:p w:rsidR="00A64028" w:rsidRPr="00B07AB8" w:rsidRDefault="00A64028" w:rsidP="00103148">
            <w:pPr>
              <w:spacing w:after="0"/>
              <w:jc w:val="center"/>
              <w:rPr>
                <w:rFonts w:ascii="Arial Narrow" w:hAnsi="Arial Narrow"/>
                <w:sz w:val="20"/>
                <w:szCs w:val="20"/>
              </w:rPr>
            </w:pPr>
            <w:r w:rsidRPr="00B07AB8">
              <w:rPr>
                <w:rFonts w:ascii="Arial Narrow" w:hAnsi="Arial Narrow"/>
                <w:sz w:val="20"/>
                <w:szCs w:val="20"/>
              </w:rPr>
              <w:t>103,62%</w:t>
            </w:r>
          </w:p>
        </w:tc>
      </w:tr>
      <w:tr w:rsidR="00A64028" w:rsidRPr="00B07AB8" w:rsidTr="00A64028">
        <w:trPr>
          <w:gridAfter w:val="1"/>
          <w:wAfter w:w="12" w:type="dxa"/>
        </w:trPr>
        <w:tc>
          <w:tcPr>
            <w:tcW w:w="764" w:type="dxa"/>
            <w:vMerge/>
            <w:tcBorders>
              <w:left w:val="single" w:sz="4" w:space="0" w:color="auto"/>
              <w:right w:val="single" w:sz="4" w:space="0" w:color="auto"/>
            </w:tcBorders>
            <w:vAlign w:val="center"/>
            <w:hideMark/>
          </w:tcPr>
          <w:p w:rsidR="00A64028" w:rsidRPr="00B07AB8" w:rsidRDefault="00A64028" w:rsidP="00103148">
            <w:pPr>
              <w:spacing w:after="0"/>
              <w:rPr>
                <w:rFonts w:ascii="Arial Narrow" w:hAnsi="Arial Narrow"/>
                <w:sz w:val="20"/>
                <w:szCs w:val="20"/>
              </w:rPr>
            </w:pPr>
          </w:p>
        </w:tc>
        <w:tc>
          <w:tcPr>
            <w:tcW w:w="7004" w:type="dxa"/>
            <w:tcBorders>
              <w:top w:val="nil"/>
              <w:left w:val="nil"/>
              <w:bottom w:val="single" w:sz="4" w:space="0" w:color="auto"/>
              <w:right w:val="single" w:sz="4" w:space="0" w:color="auto"/>
            </w:tcBorders>
            <w:shd w:val="clear" w:color="000000" w:fill="FFFFFF"/>
            <w:vAlign w:val="center"/>
            <w:hideMark/>
          </w:tcPr>
          <w:p w:rsidR="00A64028" w:rsidRPr="00B07AB8" w:rsidRDefault="00A64028" w:rsidP="00103148">
            <w:pPr>
              <w:spacing w:after="0"/>
              <w:jc w:val="right"/>
              <w:rPr>
                <w:rFonts w:ascii="Arial Narrow" w:hAnsi="Arial Narrow"/>
                <w:sz w:val="20"/>
                <w:szCs w:val="20"/>
              </w:rPr>
            </w:pPr>
            <w:r w:rsidRPr="00B07AB8">
              <w:rPr>
                <w:rFonts w:ascii="Arial Narrow" w:hAnsi="Arial Narrow"/>
                <w:sz w:val="20"/>
                <w:szCs w:val="20"/>
              </w:rPr>
              <w:t>в т. ч. в г. Новосибирске (МУП «Горводоканал»)</w:t>
            </w:r>
          </w:p>
        </w:tc>
        <w:tc>
          <w:tcPr>
            <w:tcW w:w="1982" w:type="dxa"/>
            <w:tcBorders>
              <w:top w:val="nil"/>
              <w:left w:val="nil"/>
              <w:bottom w:val="single" w:sz="4" w:space="0" w:color="auto"/>
              <w:right w:val="single" w:sz="4" w:space="0" w:color="auto"/>
            </w:tcBorders>
            <w:shd w:val="clear" w:color="000000" w:fill="FFFFFF"/>
            <w:noWrap/>
            <w:vAlign w:val="center"/>
            <w:hideMark/>
          </w:tcPr>
          <w:p w:rsidR="00A64028" w:rsidRPr="00B07AB8" w:rsidRDefault="00A64028" w:rsidP="00103148">
            <w:pPr>
              <w:spacing w:after="0"/>
              <w:jc w:val="center"/>
              <w:rPr>
                <w:rFonts w:ascii="Arial Narrow" w:hAnsi="Arial Narrow"/>
                <w:sz w:val="20"/>
                <w:szCs w:val="20"/>
              </w:rPr>
            </w:pPr>
            <w:r w:rsidRPr="00B07AB8">
              <w:rPr>
                <w:rFonts w:ascii="Arial Narrow" w:hAnsi="Arial Narrow"/>
                <w:sz w:val="20"/>
                <w:szCs w:val="20"/>
              </w:rPr>
              <w:t>103,60%</w:t>
            </w:r>
          </w:p>
        </w:tc>
      </w:tr>
      <w:tr w:rsidR="00A64028" w:rsidRPr="00B07AB8" w:rsidTr="00A64028">
        <w:trPr>
          <w:gridAfter w:val="1"/>
          <w:wAfter w:w="12" w:type="dxa"/>
        </w:trPr>
        <w:tc>
          <w:tcPr>
            <w:tcW w:w="764" w:type="dxa"/>
            <w:vMerge/>
            <w:tcBorders>
              <w:left w:val="single" w:sz="4" w:space="0" w:color="auto"/>
              <w:bottom w:val="single" w:sz="4" w:space="0" w:color="000000"/>
              <w:right w:val="single" w:sz="4" w:space="0" w:color="auto"/>
            </w:tcBorders>
            <w:shd w:val="clear" w:color="000000" w:fill="FFFFFF"/>
            <w:vAlign w:val="center"/>
          </w:tcPr>
          <w:p w:rsidR="00A64028" w:rsidRPr="00B07AB8" w:rsidRDefault="00A64028" w:rsidP="00103148">
            <w:pPr>
              <w:spacing w:after="0"/>
              <w:jc w:val="center"/>
              <w:rPr>
                <w:rFonts w:ascii="Arial Narrow" w:hAnsi="Arial Narrow"/>
                <w:sz w:val="20"/>
                <w:szCs w:val="20"/>
              </w:rPr>
            </w:pPr>
          </w:p>
        </w:tc>
        <w:tc>
          <w:tcPr>
            <w:tcW w:w="7004" w:type="dxa"/>
            <w:tcBorders>
              <w:top w:val="nil"/>
              <w:left w:val="nil"/>
              <w:bottom w:val="single" w:sz="4" w:space="0" w:color="auto"/>
              <w:right w:val="single" w:sz="4" w:space="0" w:color="auto"/>
            </w:tcBorders>
            <w:shd w:val="clear" w:color="000000" w:fill="FFFFFF"/>
            <w:vAlign w:val="center"/>
          </w:tcPr>
          <w:p w:rsidR="00A64028" w:rsidRPr="00B07AB8" w:rsidRDefault="00A64028" w:rsidP="00103148">
            <w:pPr>
              <w:spacing w:after="0"/>
              <w:rPr>
                <w:rFonts w:ascii="Arial Narrow" w:hAnsi="Arial Narrow"/>
                <w:sz w:val="20"/>
                <w:szCs w:val="20"/>
              </w:rPr>
            </w:pPr>
            <w:r w:rsidRPr="00B07AB8">
              <w:rPr>
                <w:rFonts w:ascii="Arial Narrow" w:hAnsi="Arial Narrow"/>
                <w:sz w:val="20"/>
                <w:szCs w:val="20"/>
              </w:rPr>
              <w:t>Водоснабжение и водоотведение</w:t>
            </w:r>
          </w:p>
        </w:tc>
        <w:tc>
          <w:tcPr>
            <w:tcW w:w="1982" w:type="dxa"/>
            <w:tcBorders>
              <w:top w:val="nil"/>
              <w:left w:val="nil"/>
              <w:bottom w:val="single" w:sz="4" w:space="0" w:color="auto"/>
              <w:right w:val="single" w:sz="4" w:space="0" w:color="auto"/>
            </w:tcBorders>
            <w:shd w:val="clear" w:color="000000" w:fill="FFFFFF"/>
            <w:vAlign w:val="center"/>
          </w:tcPr>
          <w:p w:rsidR="00A64028" w:rsidRPr="00B07AB8" w:rsidRDefault="00A64028" w:rsidP="00103148">
            <w:pPr>
              <w:spacing w:after="0"/>
              <w:jc w:val="center"/>
              <w:rPr>
                <w:rFonts w:ascii="Arial Narrow" w:hAnsi="Arial Narrow"/>
                <w:sz w:val="20"/>
                <w:szCs w:val="20"/>
              </w:rPr>
            </w:pPr>
            <w:r w:rsidRPr="00B07AB8">
              <w:rPr>
                <w:rFonts w:ascii="Arial Narrow" w:hAnsi="Arial Narrow"/>
                <w:sz w:val="20"/>
                <w:szCs w:val="20"/>
              </w:rPr>
              <w:t>103,41%</w:t>
            </w:r>
          </w:p>
        </w:tc>
      </w:tr>
      <w:tr w:rsidR="00A64028" w:rsidRPr="00B07AB8" w:rsidTr="00A64028">
        <w:trPr>
          <w:gridAfter w:val="1"/>
          <w:wAfter w:w="12" w:type="dxa"/>
        </w:trPr>
        <w:tc>
          <w:tcPr>
            <w:tcW w:w="764" w:type="dxa"/>
            <w:vMerge w:val="restart"/>
            <w:tcBorders>
              <w:top w:val="nil"/>
              <w:left w:val="single" w:sz="4" w:space="0" w:color="auto"/>
              <w:bottom w:val="single" w:sz="4" w:space="0" w:color="000000"/>
              <w:right w:val="single" w:sz="4" w:space="0" w:color="auto"/>
            </w:tcBorders>
            <w:shd w:val="clear" w:color="000000" w:fill="FFFFFF"/>
            <w:vAlign w:val="center"/>
            <w:hideMark/>
          </w:tcPr>
          <w:p w:rsidR="00A64028" w:rsidRPr="00B07AB8" w:rsidRDefault="00A64028" w:rsidP="00103148">
            <w:pPr>
              <w:spacing w:after="0"/>
              <w:jc w:val="center"/>
              <w:rPr>
                <w:rFonts w:ascii="Arial Narrow" w:hAnsi="Arial Narrow"/>
                <w:sz w:val="20"/>
                <w:szCs w:val="20"/>
              </w:rPr>
            </w:pPr>
            <w:r w:rsidRPr="00B07AB8">
              <w:rPr>
                <w:rFonts w:ascii="Arial Narrow" w:hAnsi="Arial Narrow"/>
                <w:sz w:val="20"/>
                <w:szCs w:val="20"/>
              </w:rPr>
              <w:t>4.2.3.</w:t>
            </w:r>
          </w:p>
        </w:tc>
        <w:tc>
          <w:tcPr>
            <w:tcW w:w="7004" w:type="dxa"/>
            <w:tcBorders>
              <w:top w:val="nil"/>
              <w:left w:val="nil"/>
              <w:bottom w:val="single" w:sz="4" w:space="0" w:color="auto"/>
              <w:right w:val="single" w:sz="4" w:space="0" w:color="auto"/>
            </w:tcBorders>
            <w:shd w:val="clear" w:color="000000" w:fill="FFFFFF"/>
            <w:vAlign w:val="center"/>
            <w:hideMark/>
          </w:tcPr>
          <w:p w:rsidR="00A64028" w:rsidRPr="00B07AB8" w:rsidRDefault="00A64028" w:rsidP="00103148">
            <w:pPr>
              <w:spacing w:after="0"/>
              <w:rPr>
                <w:rFonts w:ascii="Arial Narrow" w:hAnsi="Arial Narrow"/>
                <w:sz w:val="20"/>
                <w:szCs w:val="20"/>
              </w:rPr>
            </w:pPr>
            <w:r w:rsidRPr="00B07AB8">
              <w:rPr>
                <w:rFonts w:ascii="Arial Narrow" w:hAnsi="Arial Narrow"/>
                <w:sz w:val="20"/>
                <w:szCs w:val="20"/>
              </w:rPr>
              <w:t>Транспортировка газа по трубопроводам</w:t>
            </w:r>
          </w:p>
        </w:tc>
        <w:tc>
          <w:tcPr>
            <w:tcW w:w="1982" w:type="dxa"/>
            <w:tcBorders>
              <w:top w:val="nil"/>
              <w:left w:val="nil"/>
              <w:bottom w:val="single" w:sz="4" w:space="0" w:color="auto"/>
              <w:right w:val="single" w:sz="4" w:space="0" w:color="auto"/>
            </w:tcBorders>
            <w:shd w:val="clear" w:color="000000" w:fill="FFFFFF"/>
            <w:vAlign w:val="center"/>
            <w:hideMark/>
          </w:tcPr>
          <w:p w:rsidR="00A64028" w:rsidRPr="00B07AB8" w:rsidRDefault="00A64028" w:rsidP="00103148">
            <w:pPr>
              <w:spacing w:after="0"/>
              <w:jc w:val="center"/>
              <w:rPr>
                <w:rFonts w:ascii="Arial Narrow" w:hAnsi="Arial Narrow"/>
                <w:sz w:val="20"/>
                <w:szCs w:val="20"/>
              </w:rPr>
            </w:pPr>
            <w:r w:rsidRPr="00B07AB8">
              <w:rPr>
                <w:rFonts w:ascii="Arial Narrow" w:hAnsi="Arial Narrow"/>
                <w:sz w:val="20"/>
                <w:szCs w:val="20"/>
              </w:rPr>
              <w:t> </w:t>
            </w:r>
          </w:p>
        </w:tc>
      </w:tr>
      <w:tr w:rsidR="00A64028" w:rsidRPr="00B07AB8" w:rsidTr="00A64028">
        <w:trPr>
          <w:gridAfter w:val="1"/>
          <w:wAfter w:w="12" w:type="dxa"/>
        </w:trPr>
        <w:tc>
          <w:tcPr>
            <w:tcW w:w="764" w:type="dxa"/>
            <w:vMerge/>
            <w:tcBorders>
              <w:top w:val="nil"/>
              <w:left w:val="single" w:sz="4" w:space="0" w:color="auto"/>
              <w:bottom w:val="single" w:sz="4" w:space="0" w:color="000000"/>
              <w:right w:val="single" w:sz="4" w:space="0" w:color="auto"/>
            </w:tcBorders>
            <w:vAlign w:val="center"/>
            <w:hideMark/>
          </w:tcPr>
          <w:p w:rsidR="00A64028" w:rsidRPr="00B07AB8" w:rsidRDefault="00A64028" w:rsidP="00103148">
            <w:pPr>
              <w:spacing w:after="0"/>
              <w:rPr>
                <w:rFonts w:ascii="Arial Narrow" w:hAnsi="Arial Narrow"/>
                <w:sz w:val="20"/>
                <w:szCs w:val="20"/>
              </w:rPr>
            </w:pPr>
          </w:p>
        </w:tc>
        <w:tc>
          <w:tcPr>
            <w:tcW w:w="7004" w:type="dxa"/>
            <w:tcBorders>
              <w:top w:val="nil"/>
              <w:left w:val="nil"/>
              <w:bottom w:val="single" w:sz="4" w:space="0" w:color="auto"/>
              <w:right w:val="single" w:sz="4" w:space="0" w:color="auto"/>
            </w:tcBorders>
            <w:shd w:val="clear" w:color="000000" w:fill="FFFFFF"/>
            <w:noWrap/>
            <w:vAlign w:val="bottom"/>
            <w:hideMark/>
          </w:tcPr>
          <w:p w:rsidR="00A64028" w:rsidRPr="00B07AB8" w:rsidRDefault="00A64028" w:rsidP="00103148">
            <w:pPr>
              <w:spacing w:after="0"/>
              <w:jc w:val="right"/>
              <w:rPr>
                <w:rFonts w:ascii="Arial Narrow" w:hAnsi="Arial Narrow"/>
                <w:sz w:val="20"/>
                <w:szCs w:val="20"/>
              </w:rPr>
            </w:pPr>
            <w:r w:rsidRPr="00B07AB8">
              <w:rPr>
                <w:rFonts w:ascii="Arial Narrow" w:hAnsi="Arial Narrow"/>
                <w:sz w:val="20"/>
                <w:szCs w:val="20"/>
              </w:rPr>
              <w:t xml:space="preserve">на приготовление пищи и нагрев воды с использованием газовой плиты </w:t>
            </w:r>
          </w:p>
        </w:tc>
        <w:tc>
          <w:tcPr>
            <w:tcW w:w="1982" w:type="dxa"/>
            <w:tcBorders>
              <w:top w:val="nil"/>
              <w:left w:val="nil"/>
              <w:bottom w:val="single" w:sz="4" w:space="0" w:color="auto"/>
              <w:right w:val="single" w:sz="4" w:space="0" w:color="auto"/>
            </w:tcBorders>
            <w:shd w:val="clear" w:color="000000" w:fill="FFFFFF"/>
            <w:noWrap/>
            <w:vAlign w:val="bottom"/>
            <w:hideMark/>
          </w:tcPr>
          <w:p w:rsidR="00A64028" w:rsidRPr="00B07AB8" w:rsidRDefault="00A64028" w:rsidP="00103148">
            <w:pPr>
              <w:spacing w:after="0"/>
              <w:jc w:val="center"/>
              <w:rPr>
                <w:rFonts w:ascii="Arial Narrow" w:hAnsi="Arial Narrow"/>
                <w:sz w:val="20"/>
                <w:szCs w:val="20"/>
              </w:rPr>
            </w:pPr>
            <w:r w:rsidRPr="00B07AB8">
              <w:rPr>
                <w:rFonts w:ascii="Arial Narrow" w:hAnsi="Arial Narrow"/>
                <w:sz w:val="20"/>
                <w:szCs w:val="20"/>
              </w:rPr>
              <w:t>103,00%</w:t>
            </w:r>
          </w:p>
        </w:tc>
      </w:tr>
      <w:tr w:rsidR="00A64028" w:rsidRPr="00B07AB8" w:rsidTr="00A64028">
        <w:trPr>
          <w:gridAfter w:val="1"/>
          <w:wAfter w:w="12" w:type="dxa"/>
        </w:trPr>
        <w:tc>
          <w:tcPr>
            <w:tcW w:w="764" w:type="dxa"/>
            <w:vMerge/>
            <w:tcBorders>
              <w:top w:val="nil"/>
              <w:left w:val="single" w:sz="4" w:space="0" w:color="auto"/>
              <w:bottom w:val="single" w:sz="4" w:space="0" w:color="000000"/>
              <w:right w:val="single" w:sz="4" w:space="0" w:color="auto"/>
            </w:tcBorders>
            <w:vAlign w:val="center"/>
            <w:hideMark/>
          </w:tcPr>
          <w:p w:rsidR="00A64028" w:rsidRPr="00B07AB8" w:rsidRDefault="00A64028" w:rsidP="00103148">
            <w:pPr>
              <w:spacing w:after="0"/>
              <w:rPr>
                <w:rFonts w:ascii="Arial Narrow" w:hAnsi="Arial Narrow"/>
                <w:sz w:val="20"/>
                <w:szCs w:val="20"/>
              </w:rPr>
            </w:pPr>
          </w:p>
        </w:tc>
        <w:tc>
          <w:tcPr>
            <w:tcW w:w="7004" w:type="dxa"/>
            <w:tcBorders>
              <w:top w:val="nil"/>
              <w:left w:val="nil"/>
              <w:bottom w:val="single" w:sz="4" w:space="0" w:color="auto"/>
              <w:right w:val="single" w:sz="4" w:space="0" w:color="auto"/>
            </w:tcBorders>
            <w:shd w:val="clear" w:color="000000" w:fill="FFFFFF"/>
            <w:vAlign w:val="center"/>
            <w:hideMark/>
          </w:tcPr>
          <w:p w:rsidR="00A64028" w:rsidRPr="00B07AB8" w:rsidRDefault="00A64028" w:rsidP="00103148">
            <w:pPr>
              <w:spacing w:after="0"/>
              <w:jc w:val="right"/>
              <w:rPr>
                <w:rFonts w:ascii="Arial Narrow" w:hAnsi="Arial Narrow"/>
                <w:sz w:val="20"/>
                <w:szCs w:val="20"/>
              </w:rPr>
            </w:pPr>
            <w:r w:rsidRPr="00B07AB8">
              <w:rPr>
                <w:rFonts w:ascii="Arial Narrow" w:hAnsi="Arial Narrow"/>
                <w:sz w:val="20"/>
                <w:szCs w:val="20"/>
              </w:rPr>
              <w:t xml:space="preserve">на отопление и (или) выработку электрической энергии </w:t>
            </w:r>
          </w:p>
        </w:tc>
        <w:tc>
          <w:tcPr>
            <w:tcW w:w="1982" w:type="dxa"/>
            <w:tcBorders>
              <w:top w:val="nil"/>
              <w:left w:val="nil"/>
              <w:bottom w:val="single" w:sz="4" w:space="0" w:color="auto"/>
              <w:right w:val="single" w:sz="4" w:space="0" w:color="auto"/>
            </w:tcBorders>
            <w:shd w:val="clear" w:color="000000" w:fill="FFFFFF"/>
            <w:noWrap/>
            <w:vAlign w:val="bottom"/>
            <w:hideMark/>
          </w:tcPr>
          <w:p w:rsidR="00A64028" w:rsidRPr="00B07AB8" w:rsidRDefault="00A64028" w:rsidP="00103148">
            <w:pPr>
              <w:spacing w:after="0"/>
              <w:jc w:val="center"/>
              <w:rPr>
                <w:rFonts w:ascii="Arial Narrow" w:hAnsi="Arial Narrow"/>
                <w:sz w:val="20"/>
                <w:szCs w:val="20"/>
              </w:rPr>
            </w:pPr>
            <w:r w:rsidRPr="00B07AB8">
              <w:rPr>
                <w:rFonts w:ascii="Arial Narrow" w:hAnsi="Arial Narrow"/>
                <w:sz w:val="20"/>
                <w:szCs w:val="20"/>
              </w:rPr>
              <w:t>103,00%</w:t>
            </w:r>
          </w:p>
        </w:tc>
      </w:tr>
      <w:tr w:rsidR="00A64028" w:rsidRPr="00B07AB8" w:rsidTr="00A64028">
        <w:trPr>
          <w:gridAfter w:val="1"/>
          <w:wAfter w:w="12" w:type="dxa"/>
        </w:trPr>
        <w:tc>
          <w:tcPr>
            <w:tcW w:w="764" w:type="dxa"/>
            <w:tcBorders>
              <w:top w:val="nil"/>
              <w:left w:val="single" w:sz="4" w:space="0" w:color="auto"/>
              <w:bottom w:val="single" w:sz="4" w:space="0" w:color="auto"/>
              <w:right w:val="single" w:sz="4" w:space="0" w:color="auto"/>
            </w:tcBorders>
            <w:shd w:val="clear" w:color="000000" w:fill="FFFFFF"/>
            <w:vAlign w:val="center"/>
            <w:hideMark/>
          </w:tcPr>
          <w:p w:rsidR="00A64028" w:rsidRPr="00B07AB8" w:rsidRDefault="00A64028" w:rsidP="00103148">
            <w:pPr>
              <w:spacing w:after="0"/>
              <w:jc w:val="center"/>
              <w:rPr>
                <w:rFonts w:ascii="Arial Narrow" w:hAnsi="Arial Narrow"/>
                <w:sz w:val="20"/>
                <w:szCs w:val="20"/>
              </w:rPr>
            </w:pPr>
            <w:r w:rsidRPr="00B07AB8">
              <w:rPr>
                <w:rFonts w:ascii="Arial Narrow" w:hAnsi="Arial Narrow"/>
                <w:sz w:val="20"/>
                <w:szCs w:val="20"/>
              </w:rPr>
              <w:t>4.2.4.</w:t>
            </w:r>
          </w:p>
        </w:tc>
        <w:tc>
          <w:tcPr>
            <w:tcW w:w="7004" w:type="dxa"/>
            <w:tcBorders>
              <w:top w:val="nil"/>
              <w:left w:val="nil"/>
              <w:bottom w:val="single" w:sz="4" w:space="0" w:color="auto"/>
              <w:right w:val="single" w:sz="4" w:space="0" w:color="auto"/>
            </w:tcBorders>
            <w:shd w:val="clear" w:color="000000" w:fill="FFFFFF"/>
            <w:vAlign w:val="center"/>
            <w:hideMark/>
          </w:tcPr>
          <w:p w:rsidR="00A64028" w:rsidRPr="00B07AB8" w:rsidRDefault="00A64028" w:rsidP="00103148">
            <w:pPr>
              <w:spacing w:after="0"/>
              <w:rPr>
                <w:rFonts w:ascii="Arial Narrow" w:hAnsi="Arial Narrow"/>
                <w:sz w:val="20"/>
                <w:szCs w:val="20"/>
              </w:rPr>
            </w:pPr>
            <w:r w:rsidRPr="00B07AB8">
              <w:rPr>
                <w:rFonts w:ascii="Arial Narrow" w:hAnsi="Arial Narrow"/>
                <w:sz w:val="20"/>
                <w:szCs w:val="20"/>
              </w:rPr>
              <w:t>Железнодорожные перевозки (перевозки пассажиров в пригородном сообщении)</w:t>
            </w:r>
          </w:p>
        </w:tc>
        <w:tc>
          <w:tcPr>
            <w:tcW w:w="1982" w:type="dxa"/>
            <w:tcBorders>
              <w:top w:val="nil"/>
              <w:left w:val="nil"/>
              <w:bottom w:val="single" w:sz="4" w:space="0" w:color="auto"/>
              <w:right w:val="single" w:sz="4" w:space="0" w:color="auto"/>
            </w:tcBorders>
            <w:shd w:val="clear" w:color="000000" w:fill="FFFFFF"/>
            <w:noWrap/>
            <w:vAlign w:val="bottom"/>
            <w:hideMark/>
          </w:tcPr>
          <w:p w:rsidR="00A64028" w:rsidRPr="00B07AB8" w:rsidRDefault="00A64028" w:rsidP="00103148">
            <w:pPr>
              <w:spacing w:after="0"/>
              <w:jc w:val="center"/>
              <w:rPr>
                <w:rFonts w:ascii="Arial Narrow" w:hAnsi="Arial Narrow"/>
                <w:sz w:val="20"/>
                <w:szCs w:val="20"/>
              </w:rPr>
            </w:pPr>
            <w:r w:rsidRPr="00B07AB8">
              <w:rPr>
                <w:rFonts w:ascii="Arial Narrow" w:hAnsi="Arial Narrow"/>
                <w:sz w:val="20"/>
                <w:szCs w:val="20"/>
              </w:rPr>
              <w:t>100,00%</w:t>
            </w:r>
          </w:p>
        </w:tc>
      </w:tr>
    </w:tbl>
    <w:p w:rsidR="00A64028" w:rsidRDefault="00A64028" w:rsidP="00103148">
      <w:pPr>
        <w:spacing w:after="0"/>
        <w:rPr>
          <w:rFonts w:ascii="Arial Narrow" w:hAnsi="Arial Narrow"/>
        </w:rPr>
      </w:pPr>
      <w:r>
        <w:rPr>
          <w:rFonts w:ascii="Arial Narrow" w:hAnsi="Arial Narrow"/>
        </w:rPr>
        <w:br w:type="page"/>
      </w:r>
    </w:p>
    <w:p w:rsidR="00A64028" w:rsidRPr="0030560B" w:rsidRDefault="00A64028" w:rsidP="00262F71">
      <w:pPr>
        <w:pStyle w:val="2"/>
        <w:jc w:val="both"/>
        <w:rPr>
          <w:rFonts w:ascii="Arial Narrow" w:hAnsi="Arial Narrow"/>
        </w:rPr>
      </w:pPr>
      <w:bookmarkStart w:id="105" w:name="_Toc473725880"/>
      <w:r>
        <w:rPr>
          <w:rFonts w:ascii="Arial Narrow" w:hAnsi="Arial Narrow"/>
        </w:rPr>
        <w:lastRenderedPageBreak/>
        <w:t>5</w:t>
      </w:r>
      <w:r w:rsidRPr="0030560B">
        <w:rPr>
          <w:rFonts w:ascii="Arial Narrow" w:hAnsi="Arial Narrow"/>
        </w:rPr>
        <w:t>.3. Анализ удовлетворенности качеством товаров, работ и услуг на выявленных рынках присутствия субъектов естественных монополий на территории Новосибирской области со стороны субъектов предпринимательской деятельности, взаимодействующих прямо или косвенно в экономической деятельности с субъектами естественных монополий, и потребителей товаров, работ и услуг, предоставляемых субъектами естественных монополий</w:t>
      </w:r>
      <w:bookmarkEnd w:id="104"/>
      <w:bookmarkEnd w:id="105"/>
    </w:p>
    <w:p w:rsidR="00A64028" w:rsidRDefault="00A64028" w:rsidP="00103148">
      <w:pPr>
        <w:spacing w:after="0" w:line="360" w:lineRule="auto"/>
        <w:ind w:firstLine="567"/>
        <w:jc w:val="both"/>
        <w:rPr>
          <w:rFonts w:ascii="Arial Narrow" w:hAnsi="Arial Narrow"/>
          <w:sz w:val="24"/>
          <w:szCs w:val="24"/>
        </w:rPr>
      </w:pPr>
    </w:p>
    <w:p w:rsidR="00A64028" w:rsidRDefault="00A64028" w:rsidP="00103148">
      <w:pPr>
        <w:spacing w:after="0" w:line="360" w:lineRule="auto"/>
        <w:ind w:firstLine="567"/>
        <w:jc w:val="both"/>
        <w:rPr>
          <w:rFonts w:ascii="Arial Narrow" w:hAnsi="Arial Narrow"/>
          <w:sz w:val="24"/>
          <w:szCs w:val="24"/>
        </w:rPr>
      </w:pPr>
      <w:r>
        <w:rPr>
          <w:rFonts w:ascii="Arial Narrow" w:hAnsi="Arial Narrow"/>
          <w:sz w:val="24"/>
          <w:szCs w:val="24"/>
        </w:rPr>
        <w:t>В рамках проведения Мониторинга представителям бизнеса и населению – потребителям услуг естественных монополий – задавались вопросы об их удовлетворенности качеством и стоимостью услуг естественных монополий по четырем направлениям: электроснабжение, газоснабжение, теплоснабжение и водоснабжение. Кроме того, представителям бизнеса задавались вопросы об их удовлетворенности сроками получения доступа к услугам, сложностью процедур подключения и стоимостью подключения.</w:t>
      </w:r>
    </w:p>
    <w:p w:rsidR="00A64028" w:rsidRDefault="00A64028" w:rsidP="00103148">
      <w:pPr>
        <w:spacing w:after="0"/>
        <w:ind w:firstLine="567"/>
        <w:jc w:val="both"/>
        <w:rPr>
          <w:rFonts w:ascii="Arial Narrow" w:hAnsi="Arial Narrow"/>
        </w:rPr>
      </w:pPr>
    </w:p>
    <w:p w:rsidR="00A64028" w:rsidRDefault="00A64028" w:rsidP="00262F71">
      <w:pPr>
        <w:pStyle w:val="3"/>
        <w:jc w:val="both"/>
        <w:rPr>
          <w:rFonts w:ascii="Arial Narrow" w:hAnsi="Arial Narrow"/>
        </w:rPr>
      </w:pPr>
      <w:bookmarkStart w:id="106" w:name="_Toc473725881"/>
      <w:bookmarkStart w:id="107" w:name="_Toc469663944"/>
      <w:r>
        <w:rPr>
          <w:rFonts w:ascii="Arial Narrow" w:hAnsi="Arial Narrow"/>
        </w:rPr>
        <w:t>5.3.1. Удовлетворенность субъектов предпринимательской деятельности, взаимодействующих прямо или косвенно в экономической деятельности с субъектами естественных монополий, качеством товаров, работы и услуг естественных монополий</w:t>
      </w:r>
      <w:bookmarkEnd w:id="106"/>
      <w:bookmarkEnd w:id="107"/>
    </w:p>
    <w:p w:rsidR="00A64028" w:rsidRDefault="00A64028" w:rsidP="00103148">
      <w:pPr>
        <w:spacing w:after="0"/>
        <w:ind w:firstLine="567"/>
        <w:jc w:val="both"/>
        <w:rPr>
          <w:rFonts w:ascii="Arial Narrow" w:hAnsi="Arial Narrow"/>
        </w:rPr>
      </w:pPr>
    </w:p>
    <w:p w:rsidR="00A64028" w:rsidRDefault="00A64028" w:rsidP="00103148">
      <w:pPr>
        <w:spacing w:after="0" w:line="360" w:lineRule="auto"/>
        <w:ind w:firstLine="284"/>
        <w:jc w:val="both"/>
        <w:rPr>
          <w:rFonts w:ascii="Arial Narrow" w:hAnsi="Arial Narrow" w:cs="Arial"/>
          <w:b/>
          <w:sz w:val="24"/>
          <w:szCs w:val="24"/>
        </w:rPr>
      </w:pPr>
      <w:r>
        <w:rPr>
          <w:rFonts w:ascii="Arial Narrow" w:hAnsi="Arial Narrow" w:cs="Arial"/>
          <w:b/>
          <w:sz w:val="24"/>
          <w:szCs w:val="24"/>
        </w:rPr>
        <w:t>Значения показателя 4.3. Доля субъектов предпринимательской деятельности, взаимодействующих прямо или косвенно в экономической деятельности с субъектами естественных монополий, удовлетворенных сроками получения доступа к услугам естественных монополий, сложностью процедур подключения, стоимостью подключения, качеством предоставляемых товаров/услуг субъектами естественных монополий, стоимостью предоставляемых услуг, % от числа опрошенных</w:t>
      </w:r>
    </w:p>
    <w:p w:rsidR="00A64028" w:rsidRDefault="00A64028" w:rsidP="00103148">
      <w:pPr>
        <w:spacing w:after="0" w:line="360" w:lineRule="auto"/>
        <w:ind w:firstLine="284"/>
        <w:jc w:val="both"/>
        <w:rPr>
          <w:rFonts w:ascii="Arial Narrow" w:hAnsi="Arial Narrow"/>
          <w:sz w:val="24"/>
          <w:szCs w:val="24"/>
        </w:rPr>
      </w:pPr>
      <w:r>
        <w:rPr>
          <w:rFonts w:ascii="Arial Narrow" w:hAnsi="Arial Narrow"/>
          <w:b/>
          <w:sz w:val="24"/>
          <w:szCs w:val="24"/>
        </w:rPr>
        <w:t>Удовлетворенность параметрами качества услуг водоснабжения.</w:t>
      </w:r>
      <w:r>
        <w:rPr>
          <w:rFonts w:ascii="Arial Narrow" w:hAnsi="Arial Narrow"/>
          <w:sz w:val="24"/>
          <w:szCs w:val="24"/>
        </w:rPr>
        <w:t xml:space="preserve"> Среди всех показателей удовлетворенности услугами водоснабжения/водоотведения субъекты предпринимательства в наибольшей мере удовлетворены качеством предоставляемых услуг (62,6 %). Остальными показателями удовлетворены менее 50 % опрошенных (в порядке снижения удовлетворенности): стоимостью предоставляемых услуг удовлетворены 38,7 % респондентов, сроками получения доступа к услугам – 36,9 %, сложностью (количеством) процедур подключения – 29,1 %, стоимостью подключения – 22,3 %.</w:t>
      </w:r>
    </w:p>
    <w:p w:rsidR="00A64028" w:rsidRDefault="00A64028" w:rsidP="00103148">
      <w:pPr>
        <w:spacing w:after="0" w:line="360" w:lineRule="auto"/>
        <w:ind w:firstLine="284"/>
        <w:jc w:val="both"/>
        <w:rPr>
          <w:rFonts w:ascii="Arial Narrow" w:hAnsi="Arial Narrow"/>
          <w:sz w:val="24"/>
          <w:szCs w:val="24"/>
        </w:rPr>
      </w:pPr>
      <w:r>
        <w:rPr>
          <w:rFonts w:ascii="Arial Narrow" w:hAnsi="Arial Narrow"/>
          <w:b/>
          <w:sz w:val="24"/>
          <w:szCs w:val="24"/>
        </w:rPr>
        <w:t>Удовлетворенность параметрами качества услуг газоснабжения.</w:t>
      </w:r>
      <w:r>
        <w:rPr>
          <w:rFonts w:ascii="Arial Narrow" w:hAnsi="Arial Narrow"/>
          <w:sz w:val="24"/>
          <w:szCs w:val="24"/>
        </w:rPr>
        <w:t xml:space="preserve"> Среди всех показателей удовлетворенности услугами газоснабжения субъекты предпринимательства в наибольшей мере удовлетворены качеством предоставляемых услуг (52,4 %). Остальными показателями удовлетворены менее 50 % опрошенных (в порядке снижения удовлетворенности): стоимостью предоставляемых услуг удовлетворены 29,5 % респондентов, сроками получения доступа к услугам – 29,3 %, сложностью (количеством) процедур подключения – 23,4 %, стоимостью подключения – 16,7 %.</w:t>
      </w:r>
    </w:p>
    <w:p w:rsidR="00A64028" w:rsidRDefault="00A64028" w:rsidP="00103148">
      <w:pPr>
        <w:spacing w:after="0" w:line="360" w:lineRule="auto"/>
        <w:ind w:firstLine="284"/>
        <w:jc w:val="both"/>
        <w:rPr>
          <w:rFonts w:ascii="Arial Narrow" w:hAnsi="Arial Narrow"/>
          <w:sz w:val="24"/>
          <w:szCs w:val="24"/>
        </w:rPr>
      </w:pPr>
      <w:r>
        <w:rPr>
          <w:rFonts w:ascii="Arial Narrow" w:hAnsi="Arial Narrow"/>
          <w:b/>
          <w:sz w:val="24"/>
          <w:szCs w:val="24"/>
        </w:rPr>
        <w:lastRenderedPageBreak/>
        <w:t>Удовлетворенность параметрами качества услуг электроснабжения.</w:t>
      </w:r>
      <w:r>
        <w:rPr>
          <w:rFonts w:ascii="Arial Narrow" w:hAnsi="Arial Narrow"/>
          <w:sz w:val="24"/>
          <w:szCs w:val="24"/>
        </w:rPr>
        <w:t xml:space="preserve"> Среди всех показателей удовлетворенности услугами электроснабжения субъекты предпринимательства в наибольшей мере удовлетворены качеством предоставляемых услуг (65,6 %). Остальными показателями удовлетворены менее 50 % опрошенных (в порядке снижения удовлетворенности): стоимостью предоставляемых услуг удовлетворены 34,5 % респондентов, сроками получения доступа к услугам – 36,8 %, сложностью (количеством) процедур подключения – 29,0 %, стоимостью подключения – 21,6 %.</w:t>
      </w:r>
    </w:p>
    <w:p w:rsidR="00A64028" w:rsidRDefault="00A64028" w:rsidP="00103148">
      <w:pPr>
        <w:spacing w:after="0" w:line="360" w:lineRule="auto"/>
        <w:ind w:firstLine="284"/>
        <w:jc w:val="both"/>
        <w:rPr>
          <w:rFonts w:ascii="Arial Narrow" w:hAnsi="Arial Narrow"/>
          <w:sz w:val="24"/>
          <w:szCs w:val="24"/>
        </w:rPr>
      </w:pPr>
      <w:r>
        <w:rPr>
          <w:rFonts w:ascii="Arial Narrow" w:hAnsi="Arial Narrow"/>
          <w:b/>
          <w:sz w:val="24"/>
          <w:szCs w:val="24"/>
        </w:rPr>
        <w:t>Удовлетворенность параметрами качества услуг теплоснабжения.</w:t>
      </w:r>
      <w:r>
        <w:rPr>
          <w:rFonts w:ascii="Arial Narrow" w:hAnsi="Arial Narrow"/>
          <w:sz w:val="24"/>
          <w:szCs w:val="24"/>
        </w:rPr>
        <w:t xml:space="preserve"> Среди всех показателей удовлетворенности услугами теплоснабжения субъекты предпринимательства в наибольшей мере удовлетворены качеством предоставляемых услуг (61,5 %). Остальными показателями удовлетворены менее 50 % опрошенных (в порядке снижения удовлетворенности): стоимостью предоставляемых услуг удовлетворены 33,4 % респондентов, сроками получения доступа к услугам – 35,3 %, сложностью (количеством) процедур подключения – 28,0 %, стоимостью подключения – 20,3 %.</w:t>
      </w:r>
    </w:p>
    <w:p w:rsidR="00A64028" w:rsidRDefault="00A64028" w:rsidP="00103148">
      <w:pPr>
        <w:spacing w:after="0" w:line="360" w:lineRule="auto"/>
        <w:ind w:firstLine="284"/>
        <w:jc w:val="both"/>
        <w:rPr>
          <w:rFonts w:ascii="Arial Narrow" w:hAnsi="Arial Narrow"/>
          <w:sz w:val="24"/>
          <w:szCs w:val="24"/>
        </w:rPr>
      </w:pPr>
      <w:r>
        <w:rPr>
          <w:rFonts w:ascii="Arial Narrow" w:hAnsi="Arial Narrow"/>
          <w:sz w:val="24"/>
          <w:szCs w:val="24"/>
        </w:rPr>
        <w:t xml:space="preserve">Таким образом, субъекты предпринимательства в наименьшей мере удовлетворены параметрами услуг, связанными с их подключением, и в особенности – стоимостью подключения (от 16,7 до 22,3 % для различных естественных монополий). Наибольшая удовлетворенность высказана в отношении качества услуг (от 52,4 до 65,6 % для различных естественных монополий). Стоимостью предоставляемых услуг удовлетворены от 29,5% до 38,7% опрошенных субъектов предпринимательства. Различия в оценках основаны на отдельных параметрах качества всех услуг (стоимость, качество и т.д.), а не на отдельных услугах. Отдельные услуги, предоставляемые естественными монополиями (электроснабжение, газоснабжение и т.д.), не имеют существенных отличий в оценках от остальных услуг. </w:t>
      </w:r>
    </w:p>
    <w:p w:rsidR="00272625" w:rsidRDefault="00272625">
      <w:pPr>
        <w:rPr>
          <w:rFonts w:ascii="Arial Narrow" w:hAnsi="Arial Narrow"/>
          <w:sz w:val="24"/>
          <w:szCs w:val="24"/>
        </w:rPr>
      </w:pPr>
      <w:r>
        <w:rPr>
          <w:rFonts w:ascii="Arial Narrow" w:hAnsi="Arial Narrow"/>
          <w:sz w:val="24"/>
          <w:szCs w:val="24"/>
        </w:rPr>
        <w:br w:type="page"/>
      </w:r>
    </w:p>
    <w:p w:rsidR="00A64028" w:rsidRDefault="00272625" w:rsidP="00103148">
      <w:pPr>
        <w:spacing w:after="0"/>
        <w:rPr>
          <w:rFonts w:ascii="Arial Narrow" w:hAnsi="Arial Narrow"/>
          <w:sz w:val="24"/>
          <w:szCs w:val="24"/>
        </w:rPr>
      </w:pPr>
      <w:r>
        <w:rPr>
          <w:rFonts w:ascii="Arial Narrow" w:hAnsi="Arial Narrow"/>
          <w:sz w:val="24"/>
          <w:szCs w:val="24"/>
        </w:rPr>
        <w:lastRenderedPageBreak/>
        <w:t>Таблица 7.52</w:t>
      </w:r>
      <w:r w:rsidR="00262F71">
        <w:rPr>
          <w:rFonts w:ascii="Arial Narrow" w:hAnsi="Arial Narrow"/>
          <w:sz w:val="24"/>
          <w:szCs w:val="24"/>
        </w:rPr>
        <w:t>.</w:t>
      </w:r>
      <w:r w:rsidR="00A64028">
        <w:rPr>
          <w:rFonts w:ascii="Arial Narrow" w:hAnsi="Arial Narrow"/>
          <w:sz w:val="24"/>
          <w:szCs w:val="24"/>
        </w:rPr>
        <w:t xml:space="preserve"> – </w:t>
      </w:r>
      <w:r w:rsidR="00A64028">
        <w:rPr>
          <w:rFonts w:ascii="Arial Narrow" w:hAnsi="Arial Narrow" w:cs="Arial"/>
          <w:b/>
          <w:sz w:val="24"/>
          <w:szCs w:val="24"/>
        </w:rPr>
        <w:t>Значения показателя 4.3. Доля субъектов предпринимательской деятельности, взаимодействующих прямо или косвенно в экономической деятельности с субъектами естественных монополий, удовлетворенных сроками получения доступа к услугам естественных монополий, сложностью процедур подключения, стоимостью подключения, качеством предоставляемых товаров/услуг субъектами естественных монополий, стоимостью предоставляемых услуг, % от числа опрошенных</w:t>
      </w:r>
    </w:p>
    <w:tbl>
      <w:tblPr>
        <w:tblW w:w="9858" w:type="dxa"/>
        <w:tblInd w:w="5" w:type="dxa"/>
        <w:tblLayout w:type="fixed"/>
        <w:tblCellMar>
          <w:left w:w="0" w:type="dxa"/>
          <w:right w:w="0" w:type="dxa"/>
        </w:tblCellMar>
        <w:tblLook w:val="04A0"/>
      </w:tblPr>
      <w:tblGrid>
        <w:gridCol w:w="721"/>
        <w:gridCol w:w="1547"/>
        <w:gridCol w:w="641"/>
        <w:gridCol w:w="495"/>
        <w:gridCol w:w="568"/>
        <w:gridCol w:w="567"/>
        <w:gridCol w:w="431"/>
        <w:gridCol w:w="562"/>
        <w:gridCol w:w="566"/>
        <w:gridCol w:w="567"/>
        <w:gridCol w:w="491"/>
        <w:gridCol w:w="446"/>
        <w:gridCol w:w="546"/>
        <w:gridCol w:w="567"/>
        <w:gridCol w:w="567"/>
        <w:gridCol w:w="567"/>
        <w:gridCol w:w="9"/>
      </w:tblGrid>
      <w:tr w:rsidR="00A64028" w:rsidRPr="00F34DD1" w:rsidTr="00F34DD1">
        <w:trPr>
          <w:gridAfter w:val="1"/>
          <w:wAfter w:w="9" w:type="dxa"/>
          <w:cantSplit/>
          <w:trHeight w:val="4242"/>
        </w:trPr>
        <w:tc>
          <w:tcPr>
            <w:tcW w:w="721" w:type="dxa"/>
            <w:tcBorders>
              <w:top w:val="single" w:sz="4" w:space="0" w:color="auto"/>
              <w:left w:val="single" w:sz="4" w:space="0" w:color="auto"/>
              <w:bottom w:val="single" w:sz="4" w:space="0" w:color="auto"/>
              <w:right w:val="single" w:sz="4" w:space="0" w:color="auto"/>
            </w:tcBorders>
            <w:vAlign w:val="center"/>
            <w:hideMark/>
          </w:tcPr>
          <w:p w:rsidR="00A64028" w:rsidRPr="00F34DD1" w:rsidRDefault="00A64028" w:rsidP="00F34DD1">
            <w:pPr>
              <w:spacing w:after="0" w:line="240" w:lineRule="auto"/>
              <w:jc w:val="center"/>
              <w:rPr>
                <w:rFonts w:ascii="Arial Narrow" w:hAnsi="Arial Narrow"/>
                <w:sz w:val="18"/>
                <w:szCs w:val="18"/>
              </w:rPr>
            </w:pPr>
            <w:r w:rsidRPr="00F34DD1">
              <w:rPr>
                <w:rFonts w:ascii="Arial Narrow" w:hAnsi="Arial Narrow"/>
                <w:sz w:val="18"/>
                <w:szCs w:val="18"/>
              </w:rPr>
              <w:t>№</w:t>
            </w:r>
          </w:p>
        </w:tc>
        <w:tc>
          <w:tcPr>
            <w:tcW w:w="1547" w:type="dxa"/>
            <w:tcBorders>
              <w:top w:val="single" w:sz="4" w:space="0" w:color="auto"/>
              <w:left w:val="nil"/>
              <w:bottom w:val="single" w:sz="4" w:space="0" w:color="auto"/>
              <w:right w:val="single" w:sz="4" w:space="0" w:color="auto"/>
            </w:tcBorders>
            <w:vAlign w:val="center"/>
            <w:hideMark/>
          </w:tcPr>
          <w:p w:rsidR="00A64028" w:rsidRPr="00F34DD1" w:rsidRDefault="00A64028" w:rsidP="00F34DD1">
            <w:pPr>
              <w:spacing w:after="0" w:line="240" w:lineRule="auto"/>
              <w:jc w:val="center"/>
              <w:rPr>
                <w:rFonts w:ascii="Arial Narrow" w:hAnsi="Arial Narrow"/>
                <w:sz w:val="18"/>
                <w:szCs w:val="18"/>
              </w:rPr>
            </w:pPr>
            <w:r w:rsidRPr="00F34DD1">
              <w:rPr>
                <w:rFonts w:ascii="Arial Narrow" w:hAnsi="Arial Narrow"/>
                <w:sz w:val="18"/>
                <w:szCs w:val="18"/>
              </w:rPr>
              <w:t>Наименование показателя, единица измерения</w:t>
            </w:r>
          </w:p>
        </w:tc>
        <w:tc>
          <w:tcPr>
            <w:tcW w:w="641" w:type="dxa"/>
            <w:tcBorders>
              <w:top w:val="single" w:sz="4" w:space="0" w:color="auto"/>
              <w:left w:val="nil"/>
              <w:bottom w:val="single" w:sz="4" w:space="0" w:color="auto"/>
              <w:right w:val="single" w:sz="4" w:space="0" w:color="auto"/>
            </w:tcBorders>
            <w:textDirection w:val="btLr"/>
            <w:vAlign w:val="center"/>
            <w:hideMark/>
          </w:tcPr>
          <w:p w:rsidR="00A64028" w:rsidRPr="00F34DD1" w:rsidRDefault="00A64028" w:rsidP="00F34DD1">
            <w:pPr>
              <w:spacing w:after="0" w:line="240" w:lineRule="auto"/>
              <w:ind w:left="113" w:right="113"/>
              <w:jc w:val="center"/>
              <w:rPr>
                <w:rFonts w:ascii="Arial Narrow" w:hAnsi="Arial Narrow"/>
                <w:sz w:val="18"/>
                <w:szCs w:val="18"/>
              </w:rPr>
            </w:pPr>
            <w:r w:rsidRPr="00F34DD1">
              <w:rPr>
                <w:rFonts w:ascii="Arial Narrow" w:hAnsi="Arial Narrow"/>
                <w:sz w:val="18"/>
                <w:szCs w:val="18"/>
              </w:rPr>
              <w:t>Общий по Новосибирской области</w:t>
            </w:r>
          </w:p>
        </w:tc>
        <w:tc>
          <w:tcPr>
            <w:tcW w:w="495" w:type="dxa"/>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F34DD1">
            <w:pPr>
              <w:spacing w:after="0" w:line="240" w:lineRule="auto"/>
              <w:ind w:left="113" w:right="113"/>
              <w:jc w:val="center"/>
              <w:rPr>
                <w:rFonts w:ascii="Arial Narrow" w:hAnsi="Arial Narrow"/>
                <w:sz w:val="18"/>
                <w:szCs w:val="18"/>
              </w:rPr>
            </w:pPr>
            <w:r w:rsidRPr="00F34DD1">
              <w:rPr>
                <w:rFonts w:ascii="Arial Narrow" w:hAnsi="Arial Narrow"/>
                <w:sz w:val="18"/>
                <w:szCs w:val="18"/>
              </w:rPr>
              <w:t>Рынок услуг дошкольного образования (коммерческие детские сады и учреждения пребывания неполного дня)</w:t>
            </w:r>
          </w:p>
        </w:tc>
        <w:tc>
          <w:tcPr>
            <w:tcW w:w="568" w:type="dxa"/>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F34DD1">
            <w:pPr>
              <w:spacing w:after="0" w:line="240" w:lineRule="auto"/>
              <w:ind w:left="113" w:right="113"/>
              <w:jc w:val="center"/>
              <w:rPr>
                <w:rFonts w:ascii="Arial Narrow" w:hAnsi="Arial Narrow"/>
                <w:sz w:val="18"/>
                <w:szCs w:val="18"/>
              </w:rPr>
            </w:pPr>
            <w:r w:rsidRPr="00F34DD1">
              <w:rPr>
                <w:rFonts w:ascii="Arial Narrow" w:hAnsi="Arial Narrow"/>
                <w:sz w:val="18"/>
                <w:szCs w:val="18"/>
              </w:rPr>
              <w:t>Рынок услуг детского отдыха и оздоровления</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F34DD1">
            <w:pPr>
              <w:spacing w:after="0" w:line="240" w:lineRule="auto"/>
              <w:ind w:left="113" w:right="113"/>
              <w:jc w:val="center"/>
              <w:rPr>
                <w:rFonts w:ascii="Arial Narrow" w:hAnsi="Arial Narrow"/>
                <w:sz w:val="18"/>
                <w:szCs w:val="18"/>
              </w:rPr>
            </w:pPr>
            <w:r w:rsidRPr="00F34DD1">
              <w:rPr>
                <w:rFonts w:ascii="Arial Narrow" w:hAnsi="Arial Narrow"/>
                <w:sz w:val="18"/>
                <w:szCs w:val="18"/>
              </w:rPr>
              <w:t>Рынок услуг дополнительного образования детей</w:t>
            </w:r>
          </w:p>
        </w:tc>
        <w:tc>
          <w:tcPr>
            <w:tcW w:w="431" w:type="dxa"/>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F34DD1">
            <w:pPr>
              <w:spacing w:after="0" w:line="240" w:lineRule="auto"/>
              <w:ind w:left="113" w:right="113"/>
              <w:jc w:val="center"/>
              <w:rPr>
                <w:rFonts w:ascii="Arial Narrow" w:hAnsi="Arial Narrow"/>
                <w:sz w:val="18"/>
                <w:szCs w:val="18"/>
              </w:rPr>
            </w:pPr>
            <w:r w:rsidRPr="00F34DD1">
              <w:rPr>
                <w:rFonts w:ascii="Arial Narrow" w:hAnsi="Arial Narrow"/>
                <w:sz w:val="18"/>
                <w:szCs w:val="18"/>
              </w:rPr>
              <w:t>Рынок медицинских услуг</w:t>
            </w:r>
          </w:p>
        </w:tc>
        <w:tc>
          <w:tcPr>
            <w:tcW w:w="562" w:type="dxa"/>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F34DD1">
            <w:pPr>
              <w:spacing w:after="0" w:line="240" w:lineRule="auto"/>
              <w:ind w:left="113" w:right="113"/>
              <w:jc w:val="center"/>
              <w:rPr>
                <w:rFonts w:ascii="Arial Narrow" w:hAnsi="Arial Narrow"/>
                <w:sz w:val="18"/>
                <w:szCs w:val="18"/>
              </w:rPr>
            </w:pPr>
            <w:r w:rsidRPr="00F34DD1">
              <w:rPr>
                <w:rFonts w:ascii="Arial Narrow" w:hAnsi="Arial Narrow"/>
                <w:sz w:val="18"/>
                <w:szCs w:val="18"/>
              </w:rPr>
              <w:t>Рынок услуг психолого-педагогического сопровождения детей с ограниченными возможностями здоровья</w:t>
            </w:r>
          </w:p>
        </w:tc>
        <w:tc>
          <w:tcPr>
            <w:tcW w:w="566" w:type="dxa"/>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F34DD1">
            <w:pPr>
              <w:spacing w:after="0" w:line="240" w:lineRule="auto"/>
              <w:ind w:left="113" w:right="113"/>
              <w:jc w:val="center"/>
              <w:rPr>
                <w:rFonts w:ascii="Arial Narrow" w:hAnsi="Arial Narrow"/>
                <w:sz w:val="18"/>
                <w:szCs w:val="18"/>
              </w:rPr>
            </w:pPr>
            <w:r w:rsidRPr="00F34DD1">
              <w:rPr>
                <w:rFonts w:ascii="Arial Narrow" w:hAnsi="Arial Narrow"/>
                <w:sz w:val="18"/>
                <w:szCs w:val="18"/>
              </w:rPr>
              <w:t>Рынок услуг в сфере культуры</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F34DD1">
            <w:pPr>
              <w:spacing w:after="0" w:line="240" w:lineRule="auto"/>
              <w:ind w:left="113" w:right="113"/>
              <w:jc w:val="center"/>
              <w:rPr>
                <w:rFonts w:ascii="Arial Narrow" w:hAnsi="Arial Narrow"/>
                <w:sz w:val="18"/>
                <w:szCs w:val="18"/>
              </w:rPr>
            </w:pPr>
            <w:r w:rsidRPr="00F34DD1">
              <w:rPr>
                <w:rFonts w:ascii="Arial Narrow" w:hAnsi="Arial Narrow"/>
                <w:sz w:val="18"/>
                <w:szCs w:val="18"/>
              </w:rPr>
              <w:t>Рынок услуг ЖКХ (управляющие компании)</w:t>
            </w:r>
          </w:p>
        </w:tc>
        <w:tc>
          <w:tcPr>
            <w:tcW w:w="491" w:type="dxa"/>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F34DD1">
            <w:pPr>
              <w:spacing w:after="0" w:line="240" w:lineRule="auto"/>
              <w:ind w:left="113" w:right="113"/>
              <w:jc w:val="center"/>
              <w:rPr>
                <w:rFonts w:ascii="Arial Narrow" w:hAnsi="Arial Narrow"/>
                <w:sz w:val="18"/>
                <w:szCs w:val="18"/>
              </w:rPr>
            </w:pPr>
            <w:r w:rsidRPr="00F34DD1">
              <w:rPr>
                <w:rFonts w:ascii="Arial Narrow" w:hAnsi="Arial Narrow"/>
                <w:sz w:val="18"/>
                <w:szCs w:val="18"/>
              </w:rPr>
              <w:t>Розничная торговля (продажа продуктов питания и непродовольственных товаров)</w:t>
            </w:r>
          </w:p>
        </w:tc>
        <w:tc>
          <w:tcPr>
            <w:tcW w:w="446" w:type="dxa"/>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F34DD1">
            <w:pPr>
              <w:spacing w:after="0" w:line="240" w:lineRule="auto"/>
              <w:ind w:left="113" w:right="113"/>
              <w:jc w:val="center"/>
              <w:rPr>
                <w:rFonts w:ascii="Arial Narrow" w:hAnsi="Arial Narrow"/>
                <w:sz w:val="18"/>
                <w:szCs w:val="18"/>
              </w:rPr>
            </w:pPr>
            <w:r w:rsidRPr="00F34DD1">
              <w:rPr>
                <w:rFonts w:ascii="Arial Narrow" w:hAnsi="Arial Narrow"/>
                <w:sz w:val="18"/>
                <w:szCs w:val="18"/>
              </w:rPr>
              <w:t>Рынок услуг перевозок пассажиров наземным транспортом (автобусные перевозки и такси)</w:t>
            </w:r>
          </w:p>
        </w:tc>
        <w:tc>
          <w:tcPr>
            <w:tcW w:w="546" w:type="dxa"/>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F34DD1">
            <w:pPr>
              <w:spacing w:after="0" w:line="240" w:lineRule="auto"/>
              <w:ind w:left="113" w:right="113"/>
              <w:jc w:val="center"/>
              <w:rPr>
                <w:rFonts w:ascii="Arial Narrow" w:hAnsi="Arial Narrow"/>
                <w:sz w:val="18"/>
                <w:szCs w:val="18"/>
              </w:rPr>
            </w:pPr>
            <w:r w:rsidRPr="00F34DD1">
              <w:rPr>
                <w:rFonts w:ascii="Arial Narrow" w:hAnsi="Arial Narrow"/>
                <w:sz w:val="18"/>
                <w:szCs w:val="18"/>
              </w:rPr>
              <w:t>Рынок услуг связи</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F34DD1">
            <w:pPr>
              <w:spacing w:after="0" w:line="240" w:lineRule="auto"/>
              <w:ind w:left="113" w:right="113"/>
              <w:jc w:val="center"/>
              <w:rPr>
                <w:rFonts w:ascii="Arial Narrow" w:hAnsi="Arial Narrow"/>
                <w:sz w:val="18"/>
                <w:szCs w:val="18"/>
              </w:rPr>
            </w:pPr>
            <w:r w:rsidRPr="00F34DD1">
              <w:rPr>
                <w:rFonts w:ascii="Arial Narrow" w:hAnsi="Arial Narrow"/>
                <w:sz w:val="18"/>
                <w:szCs w:val="18"/>
              </w:rPr>
              <w:t>Рынок услуг социального обслуживания населения</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F34DD1">
            <w:pPr>
              <w:spacing w:after="0" w:line="240" w:lineRule="auto"/>
              <w:ind w:left="113" w:right="113"/>
              <w:jc w:val="center"/>
              <w:rPr>
                <w:rFonts w:ascii="Arial Narrow" w:hAnsi="Arial Narrow"/>
                <w:sz w:val="18"/>
                <w:szCs w:val="18"/>
              </w:rPr>
            </w:pPr>
            <w:r w:rsidRPr="00F34DD1">
              <w:rPr>
                <w:rFonts w:ascii="Arial Narrow" w:hAnsi="Arial Narrow"/>
                <w:sz w:val="18"/>
                <w:szCs w:val="18"/>
              </w:rPr>
              <w:t>Рынок развития, производства, переработки и хранения сельскохозяйственной продукции</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A64028" w:rsidRPr="00F34DD1" w:rsidRDefault="00A64028" w:rsidP="00F34DD1">
            <w:pPr>
              <w:spacing w:after="0" w:line="240" w:lineRule="auto"/>
              <w:ind w:left="113" w:right="113"/>
              <w:jc w:val="center"/>
              <w:rPr>
                <w:rFonts w:ascii="Arial Narrow" w:hAnsi="Arial Narrow"/>
                <w:sz w:val="18"/>
                <w:szCs w:val="18"/>
              </w:rPr>
            </w:pPr>
            <w:r w:rsidRPr="00F34DD1">
              <w:rPr>
                <w:rFonts w:ascii="Arial Narrow" w:hAnsi="Arial Narrow"/>
                <w:sz w:val="18"/>
                <w:szCs w:val="18"/>
              </w:rPr>
              <w:t>Рынок услуг по сбору, сортировке и переработке твердых коммунальных (бытовых) отходов</w:t>
            </w:r>
          </w:p>
        </w:tc>
      </w:tr>
      <w:tr w:rsidR="00A64028" w:rsidRPr="00F34DD1" w:rsidTr="00A64028">
        <w:tc>
          <w:tcPr>
            <w:tcW w:w="721" w:type="dxa"/>
            <w:tcBorders>
              <w:top w:val="nil"/>
              <w:left w:val="single" w:sz="4" w:space="0" w:color="auto"/>
              <w:bottom w:val="single" w:sz="4" w:space="0" w:color="auto"/>
              <w:right w:val="single" w:sz="4" w:space="0" w:color="auto"/>
            </w:tcBorders>
            <w:vAlign w:val="center"/>
            <w:hideMark/>
          </w:tcPr>
          <w:p w:rsidR="00A64028" w:rsidRPr="00F34DD1" w:rsidRDefault="00A64028" w:rsidP="00272625">
            <w:pPr>
              <w:spacing w:after="0" w:line="240" w:lineRule="auto"/>
              <w:jc w:val="center"/>
              <w:rPr>
                <w:rFonts w:ascii="Arial Narrow" w:hAnsi="Arial Narrow"/>
                <w:b/>
                <w:sz w:val="18"/>
                <w:szCs w:val="18"/>
              </w:rPr>
            </w:pPr>
            <w:r w:rsidRPr="00F34DD1">
              <w:rPr>
                <w:rFonts w:ascii="Arial Narrow" w:hAnsi="Arial Narrow"/>
                <w:b/>
                <w:sz w:val="18"/>
                <w:szCs w:val="18"/>
              </w:rPr>
              <w:t>4.3.</w:t>
            </w:r>
          </w:p>
        </w:tc>
        <w:tc>
          <w:tcPr>
            <w:tcW w:w="9137" w:type="dxa"/>
            <w:gridSpan w:val="16"/>
            <w:tcBorders>
              <w:top w:val="single" w:sz="4" w:space="0" w:color="auto"/>
              <w:left w:val="nil"/>
              <w:bottom w:val="single" w:sz="4" w:space="0" w:color="auto"/>
              <w:right w:val="single" w:sz="4" w:space="0" w:color="000000"/>
            </w:tcBorders>
            <w:vAlign w:val="center"/>
            <w:hideMark/>
          </w:tcPr>
          <w:p w:rsidR="00A64028" w:rsidRPr="00F34DD1" w:rsidRDefault="00A64028" w:rsidP="00272625">
            <w:pPr>
              <w:spacing w:after="0" w:line="240" w:lineRule="auto"/>
              <w:ind w:left="153"/>
              <w:rPr>
                <w:rFonts w:ascii="Arial Narrow" w:hAnsi="Arial Narrow"/>
                <w:b/>
                <w:sz w:val="18"/>
                <w:szCs w:val="18"/>
              </w:rPr>
            </w:pPr>
            <w:r w:rsidRPr="00F34DD1">
              <w:rPr>
                <w:rFonts w:ascii="Arial Narrow" w:hAnsi="Arial Narrow"/>
                <w:b/>
                <w:sz w:val="18"/>
                <w:szCs w:val="18"/>
              </w:rPr>
              <w:t>Доля субъектов предпринимательской деятельности, взаимодействующих прямо или косвенно в экономической деятельности с субъектами естественных монополий, удовлетворенных сроками получения доступа к услугам естественных монополий, сложностью процедур подключения, стоимостью подключения, качеством предоставляемых товаров/услуг субъектами естественных монополий, стоимостью предоставляемых услуг, % от числа опрошенных</w:t>
            </w:r>
          </w:p>
        </w:tc>
      </w:tr>
      <w:tr w:rsidR="00A64028" w:rsidRPr="00F34DD1" w:rsidTr="00A64028">
        <w:tc>
          <w:tcPr>
            <w:tcW w:w="721" w:type="dxa"/>
            <w:tcBorders>
              <w:top w:val="nil"/>
              <w:left w:val="single" w:sz="4" w:space="0" w:color="auto"/>
              <w:bottom w:val="single" w:sz="4" w:space="0" w:color="auto"/>
              <w:right w:val="single" w:sz="4" w:space="0" w:color="auto"/>
            </w:tcBorders>
            <w:vAlign w:val="center"/>
            <w:hideMark/>
          </w:tcPr>
          <w:p w:rsidR="00A64028" w:rsidRPr="00F34DD1" w:rsidRDefault="00A64028" w:rsidP="00103148">
            <w:pPr>
              <w:spacing w:after="0"/>
              <w:jc w:val="center"/>
              <w:rPr>
                <w:rFonts w:ascii="Arial Narrow" w:hAnsi="Arial Narrow"/>
                <w:b/>
                <w:bCs/>
                <w:sz w:val="18"/>
                <w:szCs w:val="18"/>
              </w:rPr>
            </w:pPr>
            <w:r w:rsidRPr="00F34DD1">
              <w:rPr>
                <w:rFonts w:ascii="Arial Narrow" w:hAnsi="Arial Narrow"/>
                <w:b/>
                <w:bCs/>
                <w:sz w:val="18"/>
                <w:szCs w:val="18"/>
              </w:rPr>
              <w:t>4.3.1.</w:t>
            </w:r>
          </w:p>
        </w:tc>
        <w:tc>
          <w:tcPr>
            <w:tcW w:w="9137" w:type="dxa"/>
            <w:gridSpan w:val="16"/>
            <w:tcBorders>
              <w:top w:val="nil"/>
              <w:left w:val="nil"/>
              <w:bottom w:val="single" w:sz="4" w:space="0" w:color="auto"/>
              <w:right w:val="single" w:sz="4" w:space="0" w:color="auto"/>
            </w:tcBorders>
            <w:vAlign w:val="center"/>
            <w:hideMark/>
          </w:tcPr>
          <w:p w:rsidR="00A64028" w:rsidRPr="00F34DD1" w:rsidRDefault="00A64028" w:rsidP="00103148">
            <w:pPr>
              <w:spacing w:after="0"/>
              <w:ind w:left="153"/>
              <w:jc w:val="both"/>
              <w:rPr>
                <w:rFonts w:ascii="Arial Narrow" w:hAnsi="Arial Narrow"/>
                <w:b/>
                <w:bCs/>
                <w:sz w:val="18"/>
                <w:szCs w:val="18"/>
              </w:rPr>
            </w:pPr>
            <w:r w:rsidRPr="00F34DD1">
              <w:rPr>
                <w:rFonts w:ascii="Arial Narrow" w:hAnsi="Arial Narrow"/>
                <w:b/>
                <w:bCs/>
                <w:sz w:val="18"/>
                <w:szCs w:val="18"/>
              </w:rPr>
              <w:t>Водоснабжение, водоотведение:</w:t>
            </w:r>
          </w:p>
        </w:tc>
      </w:tr>
      <w:tr w:rsidR="00A64028" w:rsidRPr="00F34DD1" w:rsidTr="00A64028">
        <w:trPr>
          <w:gridAfter w:val="1"/>
          <w:wAfter w:w="9" w:type="dxa"/>
        </w:trPr>
        <w:tc>
          <w:tcPr>
            <w:tcW w:w="721" w:type="dxa"/>
            <w:tcBorders>
              <w:top w:val="nil"/>
              <w:left w:val="single" w:sz="4" w:space="0" w:color="auto"/>
              <w:bottom w:val="single" w:sz="4" w:space="0" w:color="auto"/>
              <w:right w:val="single" w:sz="4" w:space="0" w:color="auto"/>
            </w:tcBorders>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4.3.1.1.</w:t>
            </w:r>
          </w:p>
        </w:tc>
        <w:tc>
          <w:tcPr>
            <w:tcW w:w="1547" w:type="dxa"/>
            <w:tcBorders>
              <w:top w:val="nil"/>
              <w:left w:val="nil"/>
              <w:bottom w:val="single" w:sz="4" w:space="0" w:color="auto"/>
              <w:right w:val="single" w:sz="4" w:space="0" w:color="auto"/>
            </w:tcBorders>
            <w:vAlign w:val="center"/>
            <w:hideMark/>
          </w:tcPr>
          <w:p w:rsidR="00A64028" w:rsidRPr="00F34DD1" w:rsidRDefault="00A64028" w:rsidP="00272625">
            <w:pPr>
              <w:spacing w:after="0" w:line="240" w:lineRule="auto"/>
              <w:ind w:left="153" w:right="132"/>
              <w:jc w:val="both"/>
              <w:rPr>
                <w:rFonts w:ascii="Arial Narrow" w:hAnsi="Arial Narrow"/>
                <w:sz w:val="18"/>
                <w:szCs w:val="18"/>
              </w:rPr>
            </w:pPr>
            <w:r w:rsidRPr="00F34DD1">
              <w:rPr>
                <w:rFonts w:ascii="Arial Narrow" w:hAnsi="Arial Narrow"/>
                <w:sz w:val="18"/>
                <w:szCs w:val="18"/>
              </w:rPr>
              <w:t>Удовлетворены сроками получения доступа к услугам, %</w:t>
            </w:r>
          </w:p>
        </w:tc>
        <w:tc>
          <w:tcPr>
            <w:tcW w:w="641"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36,9%</w:t>
            </w:r>
          </w:p>
        </w:tc>
        <w:tc>
          <w:tcPr>
            <w:tcW w:w="495"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0,0%</w:t>
            </w:r>
          </w:p>
        </w:tc>
        <w:tc>
          <w:tcPr>
            <w:tcW w:w="568"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20,0%</w:t>
            </w:r>
          </w:p>
        </w:tc>
        <w:tc>
          <w:tcPr>
            <w:tcW w:w="567"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20,0%</w:t>
            </w:r>
          </w:p>
        </w:tc>
        <w:tc>
          <w:tcPr>
            <w:tcW w:w="431"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37,1%</w:t>
            </w:r>
          </w:p>
        </w:tc>
        <w:tc>
          <w:tcPr>
            <w:tcW w:w="562"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16,0%</w:t>
            </w:r>
          </w:p>
        </w:tc>
        <w:tc>
          <w:tcPr>
            <w:tcW w:w="566"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24,0%</w:t>
            </w:r>
          </w:p>
        </w:tc>
        <w:tc>
          <w:tcPr>
            <w:tcW w:w="567"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44,3%</w:t>
            </w:r>
          </w:p>
        </w:tc>
        <w:tc>
          <w:tcPr>
            <w:tcW w:w="491"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43,3%</w:t>
            </w:r>
          </w:p>
        </w:tc>
        <w:tc>
          <w:tcPr>
            <w:tcW w:w="446"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3,3%</w:t>
            </w:r>
          </w:p>
        </w:tc>
        <w:tc>
          <w:tcPr>
            <w:tcW w:w="546"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24,0%</w:t>
            </w:r>
          </w:p>
        </w:tc>
        <w:tc>
          <w:tcPr>
            <w:tcW w:w="567" w:type="dxa"/>
            <w:tcBorders>
              <w:top w:val="nil"/>
              <w:left w:val="nil"/>
              <w:bottom w:val="single" w:sz="4" w:space="0" w:color="auto"/>
              <w:right w:val="single" w:sz="4" w:space="0" w:color="auto"/>
            </w:tcBorders>
            <w:shd w:val="clear" w:color="auto" w:fill="FFFFFF"/>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20,0%</w:t>
            </w:r>
          </w:p>
        </w:tc>
        <w:tc>
          <w:tcPr>
            <w:tcW w:w="567" w:type="dxa"/>
            <w:tcBorders>
              <w:top w:val="nil"/>
              <w:left w:val="nil"/>
              <w:bottom w:val="single" w:sz="4" w:space="0" w:color="auto"/>
              <w:right w:val="single" w:sz="4" w:space="0" w:color="auto"/>
            </w:tcBorders>
            <w:shd w:val="clear" w:color="auto" w:fill="FFFFFF"/>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47,0%</w:t>
            </w:r>
          </w:p>
        </w:tc>
        <w:tc>
          <w:tcPr>
            <w:tcW w:w="567" w:type="dxa"/>
            <w:tcBorders>
              <w:top w:val="nil"/>
              <w:left w:val="nil"/>
              <w:bottom w:val="single" w:sz="4" w:space="0" w:color="auto"/>
              <w:right w:val="single" w:sz="4" w:space="0" w:color="auto"/>
            </w:tcBorders>
            <w:shd w:val="clear" w:color="auto" w:fill="FFFFFF"/>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20,0%</w:t>
            </w:r>
          </w:p>
        </w:tc>
      </w:tr>
      <w:tr w:rsidR="00A64028" w:rsidRPr="00F34DD1" w:rsidTr="00A64028">
        <w:trPr>
          <w:gridAfter w:val="1"/>
          <w:wAfter w:w="9" w:type="dxa"/>
        </w:trPr>
        <w:tc>
          <w:tcPr>
            <w:tcW w:w="721" w:type="dxa"/>
            <w:tcBorders>
              <w:top w:val="nil"/>
              <w:left w:val="single" w:sz="4" w:space="0" w:color="auto"/>
              <w:bottom w:val="single" w:sz="4" w:space="0" w:color="auto"/>
              <w:right w:val="single" w:sz="4" w:space="0" w:color="auto"/>
            </w:tcBorders>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4.3.1.2.</w:t>
            </w:r>
          </w:p>
        </w:tc>
        <w:tc>
          <w:tcPr>
            <w:tcW w:w="1547" w:type="dxa"/>
            <w:tcBorders>
              <w:top w:val="nil"/>
              <w:left w:val="nil"/>
              <w:bottom w:val="single" w:sz="4" w:space="0" w:color="auto"/>
              <w:right w:val="single" w:sz="4" w:space="0" w:color="auto"/>
            </w:tcBorders>
            <w:vAlign w:val="center"/>
            <w:hideMark/>
          </w:tcPr>
          <w:p w:rsidR="00A64028" w:rsidRPr="00F34DD1" w:rsidRDefault="00A64028" w:rsidP="00272625">
            <w:pPr>
              <w:spacing w:after="0" w:line="240" w:lineRule="auto"/>
              <w:ind w:left="153" w:right="132"/>
              <w:jc w:val="both"/>
              <w:rPr>
                <w:rFonts w:ascii="Arial Narrow" w:hAnsi="Arial Narrow"/>
                <w:sz w:val="18"/>
                <w:szCs w:val="18"/>
              </w:rPr>
            </w:pPr>
            <w:r w:rsidRPr="00F34DD1">
              <w:rPr>
                <w:rFonts w:ascii="Arial Narrow" w:hAnsi="Arial Narrow"/>
                <w:sz w:val="18"/>
                <w:szCs w:val="18"/>
              </w:rPr>
              <w:t>Удовлетворены сложностью (количеством) процедур подключения, %</w:t>
            </w:r>
          </w:p>
        </w:tc>
        <w:tc>
          <w:tcPr>
            <w:tcW w:w="641"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29,1%</w:t>
            </w:r>
          </w:p>
        </w:tc>
        <w:tc>
          <w:tcPr>
            <w:tcW w:w="495"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0,0%</w:t>
            </w:r>
          </w:p>
        </w:tc>
        <w:tc>
          <w:tcPr>
            <w:tcW w:w="568"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0,0%</w:t>
            </w:r>
          </w:p>
        </w:tc>
        <w:tc>
          <w:tcPr>
            <w:tcW w:w="567"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24,0%</w:t>
            </w:r>
          </w:p>
        </w:tc>
        <w:tc>
          <w:tcPr>
            <w:tcW w:w="431"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25,7%</w:t>
            </w:r>
          </w:p>
        </w:tc>
        <w:tc>
          <w:tcPr>
            <w:tcW w:w="562"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16,0%</w:t>
            </w:r>
          </w:p>
        </w:tc>
        <w:tc>
          <w:tcPr>
            <w:tcW w:w="566"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12,0%</w:t>
            </w:r>
          </w:p>
        </w:tc>
        <w:tc>
          <w:tcPr>
            <w:tcW w:w="567"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35,7%</w:t>
            </w:r>
          </w:p>
        </w:tc>
        <w:tc>
          <w:tcPr>
            <w:tcW w:w="491"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31,1%</w:t>
            </w:r>
          </w:p>
        </w:tc>
        <w:tc>
          <w:tcPr>
            <w:tcW w:w="446"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3,3%</w:t>
            </w:r>
          </w:p>
        </w:tc>
        <w:tc>
          <w:tcPr>
            <w:tcW w:w="546"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8,0%</w:t>
            </w:r>
          </w:p>
        </w:tc>
        <w:tc>
          <w:tcPr>
            <w:tcW w:w="567"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12,0%</w:t>
            </w:r>
          </w:p>
        </w:tc>
        <w:tc>
          <w:tcPr>
            <w:tcW w:w="567"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44,0%</w:t>
            </w:r>
          </w:p>
        </w:tc>
        <w:tc>
          <w:tcPr>
            <w:tcW w:w="567"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20,0%</w:t>
            </w:r>
          </w:p>
        </w:tc>
      </w:tr>
      <w:tr w:rsidR="00A64028" w:rsidRPr="00F34DD1" w:rsidTr="00A64028">
        <w:trPr>
          <w:gridAfter w:val="1"/>
          <w:wAfter w:w="9" w:type="dxa"/>
        </w:trPr>
        <w:tc>
          <w:tcPr>
            <w:tcW w:w="721" w:type="dxa"/>
            <w:tcBorders>
              <w:top w:val="nil"/>
              <w:left w:val="single" w:sz="4" w:space="0" w:color="auto"/>
              <w:bottom w:val="single" w:sz="4" w:space="0" w:color="auto"/>
              <w:right w:val="single" w:sz="4" w:space="0" w:color="auto"/>
            </w:tcBorders>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4.3.1.3.</w:t>
            </w:r>
          </w:p>
        </w:tc>
        <w:tc>
          <w:tcPr>
            <w:tcW w:w="1547" w:type="dxa"/>
            <w:tcBorders>
              <w:top w:val="nil"/>
              <w:left w:val="nil"/>
              <w:bottom w:val="single" w:sz="4" w:space="0" w:color="auto"/>
              <w:right w:val="single" w:sz="4" w:space="0" w:color="auto"/>
            </w:tcBorders>
            <w:vAlign w:val="center"/>
            <w:hideMark/>
          </w:tcPr>
          <w:p w:rsidR="00A64028" w:rsidRPr="00F34DD1" w:rsidRDefault="00A64028" w:rsidP="00272625">
            <w:pPr>
              <w:spacing w:after="0" w:line="240" w:lineRule="auto"/>
              <w:ind w:left="153" w:right="132"/>
              <w:jc w:val="both"/>
              <w:rPr>
                <w:rFonts w:ascii="Arial Narrow" w:hAnsi="Arial Narrow"/>
                <w:sz w:val="18"/>
                <w:szCs w:val="18"/>
              </w:rPr>
            </w:pPr>
            <w:r w:rsidRPr="00F34DD1">
              <w:rPr>
                <w:rFonts w:ascii="Arial Narrow" w:hAnsi="Arial Narrow"/>
                <w:sz w:val="18"/>
                <w:szCs w:val="18"/>
              </w:rPr>
              <w:t>Удовлетворены стоимостью подключения, %</w:t>
            </w:r>
          </w:p>
        </w:tc>
        <w:tc>
          <w:tcPr>
            <w:tcW w:w="641"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22,3%</w:t>
            </w:r>
          </w:p>
        </w:tc>
        <w:tc>
          <w:tcPr>
            <w:tcW w:w="495"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0,0%</w:t>
            </w:r>
          </w:p>
        </w:tc>
        <w:tc>
          <w:tcPr>
            <w:tcW w:w="568"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0,0%</w:t>
            </w:r>
          </w:p>
        </w:tc>
        <w:tc>
          <w:tcPr>
            <w:tcW w:w="567"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16,0%</w:t>
            </w:r>
          </w:p>
        </w:tc>
        <w:tc>
          <w:tcPr>
            <w:tcW w:w="431"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22,9%</w:t>
            </w:r>
          </w:p>
        </w:tc>
        <w:tc>
          <w:tcPr>
            <w:tcW w:w="562"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12,0%</w:t>
            </w:r>
          </w:p>
        </w:tc>
        <w:tc>
          <w:tcPr>
            <w:tcW w:w="566"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12,0%</w:t>
            </w:r>
          </w:p>
        </w:tc>
        <w:tc>
          <w:tcPr>
            <w:tcW w:w="567"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25,7%</w:t>
            </w:r>
          </w:p>
        </w:tc>
        <w:tc>
          <w:tcPr>
            <w:tcW w:w="491"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23,3%</w:t>
            </w:r>
          </w:p>
        </w:tc>
        <w:tc>
          <w:tcPr>
            <w:tcW w:w="446"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0,0%</w:t>
            </w:r>
          </w:p>
        </w:tc>
        <w:tc>
          <w:tcPr>
            <w:tcW w:w="546"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8,0%</w:t>
            </w:r>
          </w:p>
        </w:tc>
        <w:tc>
          <w:tcPr>
            <w:tcW w:w="567"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12,0%</w:t>
            </w:r>
          </w:p>
        </w:tc>
        <w:tc>
          <w:tcPr>
            <w:tcW w:w="567"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31,0%</w:t>
            </w:r>
          </w:p>
        </w:tc>
        <w:tc>
          <w:tcPr>
            <w:tcW w:w="567"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10,0%</w:t>
            </w:r>
          </w:p>
        </w:tc>
      </w:tr>
      <w:tr w:rsidR="00A64028" w:rsidRPr="00F34DD1" w:rsidTr="00A64028">
        <w:trPr>
          <w:gridAfter w:val="1"/>
          <w:wAfter w:w="9" w:type="dxa"/>
        </w:trPr>
        <w:tc>
          <w:tcPr>
            <w:tcW w:w="721" w:type="dxa"/>
            <w:tcBorders>
              <w:top w:val="nil"/>
              <w:left w:val="single" w:sz="4" w:space="0" w:color="auto"/>
              <w:bottom w:val="single" w:sz="4" w:space="0" w:color="auto"/>
              <w:right w:val="single" w:sz="4" w:space="0" w:color="auto"/>
            </w:tcBorders>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4.3.1.4.</w:t>
            </w:r>
          </w:p>
        </w:tc>
        <w:tc>
          <w:tcPr>
            <w:tcW w:w="1547" w:type="dxa"/>
            <w:tcBorders>
              <w:top w:val="nil"/>
              <w:left w:val="nil"/>
              <w:bottom w:val="single" w:sz="4" w:space="0" w:color="auto"/>
              <w:right w:val="single" w:sz="4" w:space="0" w:color="auto"/>
            </w:tcBorders>
            <w:vAlign w:val="center"/>
            <w:hideMark/>
          </w:tcPr>
          <w:p w:rsidR="00A64028" w:rsidRPr="00F34DD1" w:rsidRDefault="00A64028" w:rsidP="00272625">
            <w:pPr>
              <w:spacing w:after="0" w:line="240" w:lineRule="auto"/>
              <w:ind w:left="153" w:right="132"/>
              <w:jc w:val="both"/>
              <w:rPr>
                <w:rFonts w:ascii="Arial Narrow" w:hAnsi="Arial Narrow"/>
                <w:sz w:val="18"/>
                <w:szCs w:val="18"/>
              </w:rPr>
            </w:pPr>
            <w:r w:rsidRPr="00F34DD1">
              <w:rPr>
                <w:rFonts w:ascii="Arial Narrow" w:hAnsi="Arial Narrow"/>
                <w:sz w:val="18"/>
                <w:szCs w:val="18"/>
              </w:rPr>
              <w:t>Удовлетворены стоимостью предоставляемых услуг, %</w:t>
            </w:r>
          </w:p>
        </w:tc>
        <w:tc>
          <w:tcPr>
            <w:tcW w:w="641"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38,7%</w:t>
            </w:r>
          </w:p>
        </w:tc>
        <w:tc>
          <w:tcPr>
            <w:tcW w:w="495"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70,0%</w:t>
            </w:r>
          </w:p>
        </w:tc>
        <w:tc>
          <w:tcPr>
            <w:tcW w:w="568"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60,0%</w:t>
            </w:r>
          </w:p>
        </w:tc>
        <w:tc>
          <w:tcPr>
            <w:tcW w:w="567"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40,0%</w:t>
            </w:r>
          </w:p>
        </w:tc>
        <w:tc>
          <w:tcPr>
            <w:tcW w:w="431"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45,7%</w:t>
            </w:r>
          </w:p>
        </w:tc>
        <w:tc>
          <w:tcPr>
            <w:tcW w:w="562"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36,0%</w:t>
            </w:r>
          </w:p>
        </w:tc>
        <w:tc>
          <w:tcPr>
            <w:tcW w:w="566"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24,0%</w:t>
            </w:r>
          </w:p>
        </w:tc>
        <w:tc>
          <w:tcPr>
            <w:tcW w:w="567"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48,6%</w:t>
            </w:r>
          </w:p>
        </w:tc>
        <w:tc>
          <w:tcPr>
            <w:tcW w:w="491"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37,8%</w:t>
            </w:r>
          </w:p>
        </w:tc>
        <w:tc>
          <w:tcPr>
            <w:tcW w:w="446"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15,0%</w:t>
            </w:r>
          </w:p>
        </w:tc>
        <w:tc>
          <w:tcPr>
            <w:tcW w:w="546"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48,0%</w:t>
            </w:r>
          </w:p>
        </w:tc>
        <w:tc>
          <w:tcPr>
            <w:tcW w:w="567"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48,0%</w:t>
            </w:r>
          </w:p>
        </w:tc>
        <w:tc>
          <w:tcPr>
            <w:tcW w:w="567"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44,0%</w:t>
            </w:r>
          </w:p>
        </w:tc>
        <w:tc>
          <w:tcPr>
            <w:tcW w:w="567"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30,0%</w:t>
            </w:r>
          </w:p>
        </w:tc>
      </w:tr>
      <w:tr w:rsidR="00A64028" w:rsidRPr="00F34DD1" w:rsidTr="00A64028">
        <w:trPr>
          <w:gridAfter w:val="1"/>
          <w:wAfter w:w="9" w:type="dxa"/>
        </w:trPr>
        <w:tc>
          <w:tcPr>
            <w:tcW w:w="721" w:type="dxa"/>
            <w:tcBorders>
              <w:top w:val="nil"/>
              <w:left w:val="single" w:sz="4" w:space="0" w:color="auto"/>
              <w:bottom w:val="single" w:sz="4" w:space="0" w:color="auto"/>
              <w:right w:val="single" w:sz="4" w:space="0" w:color="auto"/>
            </w:tcBorders>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4.3.1.5.</w:t>
            </w:r>
          </w:p>
        </w:tc>
        <w:tc>
          <w:tcPr>
            <w:tcW w:w="1547" w:type="dxa"/>
            <w:tcBorders>
              <w:top w:val="nil"/>
              <w:left w:val="nil"/>
              <w:bottom w:val="single" w:sz="4" w:space="0" w:color="auto"/>
              <w:right w:val="single" w:sz="4" w:space="0" w:color="auto"/>
            </w:tcBorders>
            <w:vAlign w:val="center"/>
            <w:hideMark/>
          </w:tcPr>
          <w:p w:rsidR="00A64028" w:rsidRPr="00F34DD1" w:rsidRDefault="00A64028" w:rsidP="00272625">
            <w:pPr>
              <w:spacing w:after="0" w:line="240" w:lineRule="auto"/>
              <w:ind w:left="153" w:right="132"/>
              <w:jc w:val="both"/>
              <w:rPr>
                <w:rFonts w:ascii="Arial Narrow" w:hAnsi="Arial Narrow"/>
                <w:sz w:val="18"/>
                <w:szCs w:val="18"/>
              </w:rPr>
            </w:pPr>
            <w:r w:rsidRPr="00F34DD1">
              <w:rPr>
                <w:rFonts w:ascii="Arial Narrow" w:hAnsi="Arial Narrow"/>
                <w:sz w:val="18"/>
                <w:szCs w:val="18"/>
              </w:rPr>
              <w:t>Удовлетворены качеством предоставляемых услуг, %</w:t>
            </w:r>
          </w:p>
        </w:tc>
        <w:tc>
          <w:tcPr>
            <w:tcW w:w="641"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62,6%</w:t>
            </w:r>
          </w:p>
        </w:tc>
        <w:tc>
          <w:tcPr>
            <w:tcW w:w="495"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70,0%</w:t>
            </w:r>
          </w:p>
        </w:tc>
        <w:tc>
          <w:tcPr>
            <w:tcW w:w="568"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60,0%</w:t>
            </w:r>
          </w:p>
        </w:tc>
        <w:tc>
          <w:tcPr>
            <w:tcW w:w="567"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76,0%</w:t>
            </w:r>
          </w:p>
        </w:tc>
        <w:tc>
          <w:tcPr>
            <w:tcW w:w="431"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80,0%</w:t>
            </w:r>
          </w:p>
        </w:tc>
        <w:tc>
          <w:tcPr>
            <w:tcW w:w="562"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76,0%</w:t>
            </w:r>
          </w:p>
        </w:tc>
        <w:tc>
          <w:tcPr>
            <w:tcW w:w="566"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64,0%</w:t>
            </w:r>
          </w:p>
        </w:tc>
        <w:tc>
          <w:tcPr>
            <w:tcW w:w="567"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64,3%</w:t>
            </w:r>
          </w:p>
        </w:tc>
        <w:tc>
          <w:tcPr>
            <w:tcW w:w="491"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57,8%</w:t>
            </w:r>
          </w:p>
        </w:tc>
        <w:tc>
          <w:tcPr>
            <w:tcW w:w="446"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33,3%</w:t>
            </w:r>
          </w:p>
        </w:tc>
        <w:tc>
          <w:tcPr>
            <w:tcW w:w="546"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72,0%</w:t>
            </w:r>
          </w:p>
        </w:tc>
        <w:tc>
          <w:tcPr>
            <w:tcW w:w="567"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76,0%</w:t>
            </w:r>
          </w:p>
        </w:tc>
        <w:tc>
          <w:tcPr>
            <w:tcW w:w="567"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61,0%</w:t>
            </w:r>
          </w:p>
        </w:tc>
        <w:tc>
          <w:tcPr>
            <w:tcW w:w="567"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40,0%</w:t>
            </w:r>
          </w:p>
        </w:tc>
      </w:tr>
      <w:tr w:rsidR="00A64028" w:rsidRPr="00F34DD1" w:rsidTr="00A64028">
        <w:tc>
          <w:tcPr>
            <w:tcW w:w="721" w:type="dxa"/>
            <w:tcBorders>
              <w:top w:val="nil"/>
              <w:left w:val="single" w:sz="4" w:space="0" w:color="auto"/>
              <w:bottom w:val="single" w:sz="4" w:space="0" w:color="auto"/>
              <w:right w:val="single" w:sz="4" w:space="0" w:color="auto"/>
            </w:tcBorders>
            <w:vAlign w:val="center"/>
            <w:hideMark/>
          </w:tcPr>
          <w:p w:rsidR="00A64028" w:rsidRPr="00F34DD1" w:rsidRDefault="00A64028" w:rsidP="00272625">
            <w:pPr>
              <w:spacing w:after="0" w:line="240" w:lineRule="auto"/>
              <w:jc w:val="center"/>
              <w:rPr>
                <w:rFonts w:ascii="Arial Narrow" w:hAnsi="Arial Narrow"/>
                <w:b/>
                <w:bCs/>
                <w:sz w:val="18"/>
                <w:szCs w:val="18"/>
              </w:rPr>
            </w:pPr>
            <w:r w:rsidRPr="00F34DD1">
              <w:rPr>
                <w:rFonts w:ascii="Arial Narrow" w:hAnsi="Arial Narrow"/>
                <w:b/>
                <w:bCs/>
                <w:sz w:val="18"/>
                <w:szCs w:val="18"/>
              </w:rPr>
              <w:t>4.3.2.</w:t>
            </w:r>
          </w:p>
        </w:tc>
        <w:tc>
          <w:tcPr>
            <w:tcW w:w="9137" w:type="dxa"/>
            <w:gridSpan w:val="16"/>
            <w:tcBorders>
              <w:top w:val="nil"/>
              <w:left w:val="nil"/>
              <w:bottom w:val="single" w:sz="4" w:space="0" w:color="auto"/>
              <w:right w:val="single" w:sz="4" w:space="0" w:color="auto"/>
            </w:tcBorders>
            <w:vAlign w:val="center"/>
            <w:hideMark/>
          </w:tcPr>
          <w:p w:rsidR="00A64028" w:rsidRPr="00F34DD1" w:rsidRDefault="00A64028" w:rsidP="00272625">
            <w:pPr>
              <w:spacing w:after="0" w:line="240" w:lineRule="auto"/>
              <w:ind w:left="153" w:right="132"/>
              <w:jc w:val="center"/>
              <w:rPr>
                <w:rFonts w:ascii="Arial Narrow" w:hAnsi="Arial Narrow"/>
                <w:b/>
                <w:bCs/>
                <w:sz w:val="18"/>
                <w:szCs w:val="18"/>
              </w:rPr>
            </w:pPr>
            <w:r w:rsidRPr="00F34DD1">
              <w:rPr>
                <w:rFonts w:ascii="Arial Narrow" w:hAnsi="Arial Narrow"/>
                <w:b/>
                <w:bCs/>
                <w:sz w:val="18"/>
                <w:szCs w:val="18"/>
              </w:rPr>
              <w:t>Газоснабжение:</w:t>
            </w:r>
          </w:p>
        </w:tc>
      </w:tr>
      <w:tr w:rsidR="00A64028" w:rsidRPr="00F34DD1" w:rsidTr="00A64028">
        <w:trPr>
          <w:gridAfter w:val="1"/>
          <w:wAfter w:w="9" w:type="dxa"/>
        </w:trPr>
        <w:tc>
          <w:tcPr>
            <w:tcW w:w="721" w:type="dxa"/>
            <w:tcBorders>
              <w:top w:val="nil"/>
              <w:left w:val="single" w:sz="4" w:space="0" w:color="auto"/>
              <w:bottom w:val="single" w:sz="4" w:space="0" w:color="auto"/>
              <w:right w:val="single" w:sz="4" w:space="0" w:color="auto"/>
            </w:tcBorders>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4.3.2.1.</w:t>
            </w:r>
          </w:p>
        </w:tc>
        <w:tc>
          <w:tcPr>
            <w:tcW w:w="1547" w:type="dxa"/>
            <w:tcBorders>
              <w:top w:val="nil"/>
              <w:left w:val="nil"/>
              <w:bottom w:val="single" w:sz="4" w:space="0" w:color="auto"/>
              <w:right w:val="single" w:sz="4" w:space="0" w:color="auto"/>
            </w:tcBorders>
            <w:vAlign w:val="center"/>
            <w:hideMark/>
          </w:tcPr>
          <w:p w:rsidR="00A64028" w:rsidRPr="00F34DD1" w:rsidRDefault="00A64028" w:rsidP="00272625">
            <w:pPr>
              <w:spacing w:after="0" w:line="240" w:lineRule="auto"/>
              <w:ind w:left="153" w:right="132"/>
              <w:jc w:val="both"/>
              <w:rPr>
                <w:rFonts w:ascii="Arial Narrow" w:hAnsi="Arial Narrow"/>
                <w:sz w:val="18"/>
                <w:szCs w:val="18"/>
              </w:rPr>
            </w:pPr>
            <w:r w:rsidRPr="00F34DD1">
              <w:rPr>
                <w:rFonts w:ascii="Arial Narrow" w:hAnsi="Arial Narrow"/>
                <w:sz w:val="18"/>
                <w:szCs w:val="18"/>
              </w:rPr>
              <w:t>Удовлетворены сроками получения доступа к услугам, %</w:t>
            </w:r>
          </w:p>
        </w:tc>
        <w:tc>
          <w:tcPr>
            <w:tcW w:w="641"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29,3%</w:t>
            </w:r>
          </w:p>
        </w:tc>
        <w:tc>
          <w:tcPr>
            <w:tcW w:w="495"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0,0%</w:t>
            </w:r>
          </w:p>
        </w:tc>
        <w:tc>
          <w:tcPr>
            <w:tcW w:w="568"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0,0%</w:t>
            </w:r>
          </w:p>
        </w:tc>
        <w:tc>
          <w:tcPr>
            <w:tcW w:w="567"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20,0%</w:t>
            </w:r>
          </w:p>
        </w:tc>
        <w:tc>
          <w:tcPr>
            <w:tcW w:w="431"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27,1%</w:t>
            </w:r>
          </w:p>
        </w:tc>
        <w:tc>
          <w:tcPr>
            <w:tcW w:w="562"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16,0%</w:t>
            </w:r>
          </w:p>
        </w:tc>
        <w:tc>
          <w:tcPr>
            <w:tcW w:w="566"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24,0%</w:t>
            </w:r>
          </w:p>
        </w:tc>
        <w:tc>
          <w:tcPr>
            <w:tcW w:w="567"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38,6%</w:t>
            </w:r>
          </w:p>
        </w:tc>
        <w:tc>
          <w:tcPr>
            <w:tcW w:w="491"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32,8%</w:t>
            </w:r>
          </w:p>
        </w:tc>
        <w:tc>
          <w:tcPr>
            <w:tcW w:w="446"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3,3%</w:t>
            </w:r>
          </w:p>
        </w:tc>
        <w:tc>
          <w:tcPr>
            <w:tcW w:w="546"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16,0%</w:t>
            </w:r>
          </w:p>
        </w:tc>
        <w:tc>
          <w:tcPr>
            <w:tcW w:w="567" w:type="dxa"/>
            <w:tcBorders>
              <w:top w:val="nil"/>
              <w:left w:val="nil"/>
              <w:bottom w:val="single" w:sz="4" w:space="0" w:color="auto"/>
              <w:right w:val="single" w:sz="4" w:space="0" w:color="auto"/>
            </w:tcBorders>
            <w:shd w:val="clear" w:color="auto" w:fill="FFFFFF"/>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20,0%</w:t>
            </w:r>
          </w:p>
        </w:tc>
        <w:tc>
          <w:tcPr>
            <w:tcW w:w="567" w:type="dxa"/>
            <w:tcBorders>
              <w:top w:val="nil"/>
              <w:left w:val="nil"/>
              <w:bottom w:val="single" w:sz="4" w:space="0" w:color="auto"/>
              <w:right w:val="single" w:sz="4" w:space="0" w:color="auto"/>
            </w:tcBorders>
            <w:shd w:val="clear" w:color="auto" w:fill="FFFFFF"/>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30,0%</w:t>
            </w:r>
          </w:p>
        </w:tc>
        <w:tc>
          <w:tcPr>
            <w:tcW w:w="567" w:type="dxa"/>
            <w:tcBorders>
              <w:top w:val="nil"/>
              <w:left w:val="nil"/>
              <w:bottom w:val="single" w:sz="4" w:space="0" w:color="auto"/>
              <w:right w:val="single" w:sz="4" w:space="0" w:color="auto"/>
            </w:tcBorders>
            <w:shd w:val="clear" w:color="auto" w:fill="FFFFFF"/>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20,0%</w:t>
            </w:r>
          </w:p>
        </w:tc>
      </w:tr>
      <w:tr w:rsidR="00A64028" w:rsidRPr="00F34DD1" w:rsidTr="00A64028">
        <w:trPr>
          <w:gridAfter w:val="1"/>
          <w:wAfter w:w="9" w:type="dxa"/>
        </w:trPr>
        <w:tc>
          <w:tcPr>
            <w:tcW w:w="721" w:type="dxa"/>
            <w:tcBorders>
              <w:top w:val="nil"/>
              <w:left w:val="single" w:sz="4" w:space="0" w:color="auto"/>
              <w:bottom w:val="single" w:sz="4" w:space="0" w:color="auto"/>
              <w:right w:val="single" w:sz="4" w:space="0" w:color="auto"/>
            </w:tcBorders>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4.3.2.2.</w:t>
            </w:r>
          </w:p>
        </w:tc>
        <w:tc>
          <w:tcPr>
            <w:tcW w:w="1547" w:type="dxa"/>
            <w:tcBorders>
              <w:top w:val="nil"/>
              <w:left w:val="nil"/>
              <w:bottom w:val="single" w:sz="4" w:space="0" w:color="auto"/>
              <w:right w:val="single" w:sz="4" w:space="0" w:color="auto"/>
            </w:tcBorders>
            <w:vAlign w:val="center"/>
            <w:hideMark/>
          </w:tcPr>
          <w:p w:rsidR="00A64028" w:rsidRPr="00F34DD1" w:rsidRDefault="00A64028" w:rsidP="00272625">
            <w:pPr>
              <w:spacing w:after="0" w:line="240" w:lineRule="auto"/>
              <w:ind w:left="153" w:right="132"/>
              <w:jc w:val="both"/>
              <w:rPr>
                <w:rFonts w:ascii="Arial Narrow" w:hAnsi="Arial Narrow"/>
                <w:sz w:val="18"/>
                <w:szCs w:val="18"/>
              </w:rPr>
            </w:pPr>
            <w:r w:rsidRPr="00F34DD1">
              <w:rPr>
                <w:rFonts w:ascii="Arial Narrow" w:hAnsi="Arial Narrow"/>
                <w:sz w:val="18"/>
                <w:szCs w:val="18"/>
              </w:rPr>
              <w:t>Удовлетворены сложностью (количеством) процедур подключения, %</w:t>
            </w:r>
          </w:p>
        </w:tc>
        <w:tc>
          <w:tcPr>
            <w:tcW w:w="641"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23,4%</w:t>
            </w:r>
          </w:p>
        </w:tc>
        <w:tc>
          <w:tcPr>
            <w:tcW w:w="495"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0,0%</w:t>
            </w:r>
          </w:p>
        </w:tc>
        <w:tc>
          <w:tcPr>
            <w:tcW w:w="568"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0,0%</w:t>
            </w:r>
          </w:p>
        </w:tc>
        <w:tc>
          <w:tcPr>
            <w:tcW w:w="567"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24,0%</w:t>
            </w:r>
          </w:p>
        </w:tc>
        <w:tc>
          <w:tcPr>
            <w:tcW w:w="431"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22,9%</w:t>
            </w:r>
          </w:p>
        </w:tc>
        <w:tc>
          <w:tcPr>
            <w:tcW w:w="562"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16,0%</w:t>
            </w:r>
          </w:p>
        </w:tc>
        <w:tc>
          <w:tcPr>
            <w:tcW w:w="566"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12,0%</w:t>
            </w:r>
          </w:p>
        </w:tc>
        <w:tc>
          <w:tcPr>
            <w:tcW w:w="567"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27,1%</w:t>
            </w:r>
          </w:p>
        </w:tc>
        <w:tc>
          <w:tcPr>
            <w:tcW w:w="491"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22,8%</w:t>
            </w:r>
          </w:p>
        </w:tc>
        <w:tc>
          <w:tcPr>
            <w:tcW w:w="446"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6,7%</w:t>
            </w:r>
          </w:p>
        </w:tc>
        <w:tc>
          <w:tcPr>
            <w:tcW w:w="546"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8,0%</w:t>
            </w:r>
          </w:p>
        </w:tc>
        <w:tc>
          <w:tcPr>
            <w:tcW w:w="567"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8,0%</w:t>
            </w:r>
          </w:p>
        </w:tc>
        <w:tc>
          <w:tcPr>
            <w:tcW w:w="567"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29,0%</w:t>
            </w:r>
          </w:p>
        </w:tc>
        <w:tc>
          <w:tcPr>
            <w:tcW w:w="567" w:type="dxa"/>
            <w:tcBorders>
              <w:top w:val="nil"/>
              <w:left w:val="nil"/>
              <w:bottom w:val="single" w:sz="4" w:space="0" w:color="auto"/>
              <w:right w:val="single" w:sz="4" w:space="0" w:color="auto"/>
            </w:tcBorders>
            <w:noWrap/>
            <w:vAlign w:val="center"/>
            <w:hideMark/>
          </w:tcPr>
          <w:p w:rsidR="00A64028" w:rsidRPr="00F34DD1" w:rsidRDefault="00A64028" w:rsidP="00272625">
            <w:pPr>
              <w:spacing w:after="0" w:line="240" w:lineRule="auto"/>
              <w:jc w:val="center"/>
              <w:rPr>
                <w:rFonts w:ascii="Arial Narrow" w:hAnsi="Arial Narrow"/>
                <w:sz w:val="18"/>
                <w:szCs w:val="18"/>
              </w:rPr>
            </w:pPr>
            <w:r w:rsidRPr="00F34DD1">
              <w:rPr>
                <w:rFonts w:ascii="Arial Narrow" w:hAnsi="Arial Narrow"/>
                <w:sz w:val="18"/>
                <w:szCs w:val="18"/>
              </w:rPr>
              <w:t>20,0%</w:t>
            </w:r>
          </w:p>
        </w:tc>
      </w:tr>
    </w:tbl>
    <w:p w:rsidR="00272625" w:rsidRDefault="00272625"/>
    <w:p w:rsidR="00272625" w:rsidRPr="00272625" w:rsidRDefault="00272625" w:rsidP="00272625">
      <w:pPr>
        <w:spacing w:after="0" w:line="240" w:lineRule="auto"/>
        <w:jc w:val="right"/>
        <w:rPr>
          <w:rFonts w:ascii="Arial Narrow" w:hAnsi="Arial Narrow"/>
          <w:sz w:val="24"/>
          <w:szCs w:val="24"/>
        </w:rPr>
      </w:pPr>
      <w:r w:rsidRPr="00BF6DC4">
        <w:rPr>
          <w:rFonts w:ascii="Arial Narrow" w:hAnsi="Arial Narrow"/>
          <w:sz w:val="24"/>
          <w:szCs w:val="24"/>
        </w:rPr>
        <w:lastRenderedPageBreak/>
        <w:t xml:space="preserve">Продолжение Таблицы </w:t>
      </w:r>
      <w:r>
        <w:rPr>
          <w:rFonts w:ascii="Arial Narrow" w:hAnsi="Arial Narrow"/>
          <w:sz w:val="24"/>
          <w:szCs w:val="24"/>
        </w:rPr>
        <w:t>7.52</w:t>
      </w:r>
    </w:p>
    <w:tbl>
      <w:tblPr>
        <w:tblW w:w="9858" w:type="dxa"/>
        <w:tblInd w:w="5" w:type="dxa"/>
        <w:tblLayout w:type="fixed"/>
        <w:tblCellMar>
          <w:left w:w="0" w:type="dxa"/>
          <w:right w:w="0" w:type="dxa"/>
        </w:tblCellMar>
        <w:tblLook w:val="04A0"/>
      </w:tblPr>
      <w:tblGrid>
        <w:gridCol w:w="721"/>
        <w:gridCol w:w="1547"/>
        <w:gridCol w:w="641"/>
        <w:gridCol w:w="495"/>
        <w:gridCol w:w="568"/>
        <w:gridCol w:w="567"/>
        <w:gridCol w:w="431"/>
        <w:gridCol w:w="562"/>
        <w:gridCol w:w="566"/>
        <w:gridCol w:w="567"/>
        <w:gridCol w:w="491"/>
        <w:gridCol w:w="446"/>
        <w:gridCol w:w="546"/>
        <w:gridCol w:w="567"/>
        <w:gridCol w:w="567"/>
        <w:gridCol w:w="567"/>
        <w:gridCol w:w="9"/>
      </w:tblGrid>
      <w:tr w:rsidR="00A64028" w:rsidRPr="00272625" w:rsidTr="00754B4E">
        <w:trPr>
          <w:gridAfter w:val="1"/>
          <w:wAfter w:w="9" w:type="dxa"/>
        </w:trPr>
        <w:tc>
          <w:tcPr>
            <w:tcW w:w="721" w:type="dxa"/>
            <w:tcBorders>
              <w:top w:val="single" w:sz="4" w:space="0" w:color="auto"/>
              <w:left w:val="single" w:sz="4" w:space="0" w:color="auto"/>
              <w:bottom w:val="single" w:sz="4" w:space="0" w:color="auto"/>
              <w:right w:val="single" w:sz="4" w:space="0" w:color="auto"/>
            </w:tcBorders>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4.3.2.3.</w:t>
            </w:r>
          </w:p>
        </w:tc>
        <w:tc>
          <w:tcPr>
            <w:tcW w:w="1547" w:type="dxa"/>
            <w:tcBorders>
              <w:top w:val="single" w:sz="4" w:space="0" w:color="auto"/>
              <w:left w:val="nil"/>
              <w:bottom w:val="single" w:sz="4" w:space="0" w:color="auto"/>
              <w:right w:val="single" w:sz="4" w:space="0" w:color="auto"/>
            </w:tcBorders>
            <w:vAlign w:val="center"/>
            <w:hideMark/>
          </w:tcPr>
          <w:p w:rsidR="00A64028" w:rsidRPr="00272625" w:rsidRDefault="00A64028" w:rsidP="00272625">
            <w:pPr>
              <w:spacing w:after="0" w:line="240" w:lineRule="auto"/>
              <w:ind w:left="153" w:right="132"/>
              <w:jc w:val="both"/>
              <w:rPr>
                <w:rFonts w:ascii="Arial Narrow" w:hAnsi="Arial Narrow"/>
                <w:sz w:val="18"/>
                <w:szCs w:val="18"/>
              </w:rPr>
            </w:pPr>
            <w:r w:rsidRPr="00272625">
              <w:rPr>
                <w:rFonts w:ascii="Arial Narrow" w:hAnsi="Arial Narrow"/>
                <w:sz w:val="18"/>
                <w:szCs w:val="18"/>
              </w:rPr>
              <w:t>Удовлетворены стоимостью подключения, %</w:t>
            </w:r>
          </w:p>
        </w:tc>
        <w:tc>
          <w:tcPr>
            <w:tcW w:w="641" w:type="dxa"/>
            <w:tcBorders>
              <w:top w:val="single" w:sz="4" w:space="0" w:color="auto"/>
              <w:left w:val="nil"/>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16,7%</w:t>
            </w:r>
          </w:p>
        </w:tc>
        <w:tc>
          <w:tcPr>
            <w:tcW w:w="495" w:type="dxa"/>
            <w:tcBorders>
              <w:top w:val="single" w:sz="4" w:space="0" w:color="auto"/>
              <w:left w:val="nil"/>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0,0%</w:t>
            </w:r>
          </w:p>
        </w:tc>
        <w:tc>
          <w:tcPr>
            <w:tcW w:w="568" w:type="dxa"/>
            <w:tcBorders>
              <w:top w:val="single" w:sz="4" w:space="0" w:color="auto"/>
              <w:left w:val="nil"/>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0,0%</w:t>
            </w:r>
          </w:p>
        </w:tc>
        <w:tc>
          <w:tcPr>
            <w:tcW w:w="567" w:type="dxa"/>
            <w:tcBorders>
              <w:top w:val="single" w:sz="4" w:space="0" w:color="auto"/>
              <w:left w:val="nil"/>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12,0%</w:t>
            </w:r>
          </w:p>
        </w:tc>
        <w:tc>
          <w:tcPr>
            <w:tcW w:w="431" w:type="dxa"/>
            <w:tcBorders>
              <w:top w:val="single" w:sz="4" w:space="0" w:color="auto"/>
              <w:left w:val="nil"/>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11,4%</w:t>
            </w:r>
          </w:p>
        </w:tc>
        <w:tc>
          <w:tcPr>
            <w:tcW w:w="562" w:type="dxa"/>
            <w:tcBorders>
              <w:top w:val="single" w:sz="4" w:space="0" w:color="auto"/>
              <w:left w:val="nil"/>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12,0%</w:t>
            </w:r>
          </w:p>
        </w:tc>
        <w:tc>
          <w:tcPr>
            <w:tcW w:w="566" w:type="dxa"/>
            <w:tcBorders>
              <w:top w:val="single" w:sz="4" w:space="0" w:color="auto"/>
              <w:left w:val="nil"/>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12,0%</w:t>
            </w:r>
          </w:p>
        </w:tc>
        <w:tc>
          <w:tcPr>
            <w:tcW w:w="567" w:type="dxa"/>
            <w:tcBorders>
              <w:top w:val="single" w:sz="4" w:space="0" w:color="auto"/>
              <w:left w:val="nil"/>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20,0%</w:t>
            </w:r>
          </w:p>
        </w:tc>
        <w:tc>
          <w:tcPr>
            <w:tcW w:w="491" w:type="dxa"/>
            <w:tcBorders>
              <w:top w:val="single" w:sz="4" w:space="0" w:color="auto"/>
              <w:left w:val="nil"/>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13,9%</w:t>
            </w:r>
          </w:p>
        </w:tc>
        <w:tc>
          <w:tcPr>
            <w:tcW w:w="446" w:type="dxa"/>
            <w:tcBorders>
              <w:top w:val="single" w:sz="4" w:space="0" w:color="auto"/>
              <w:left w:val="nil"/>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0,0%</w:t>
            </w:r>
          </w:p>
        </w:tc>
        <w:tc>
          <w:tcPr>
            <w:tcW w:w="546" w:type="dxa"/>
            <w:tcBorders>
              <w:top w:val="single" w:sz="4" w:space="0" w:color="auto"/>
              <w:left w:val="nil"/>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8,0%</w:t>
            </w:r>
          </w:p>
        </w:tc>
        <w:tc>
          <w:tcPr>
            <w:tcW w:w="567" w:type="dxa"/>
            <w:tcBorders>
              <w:top w:val="single" w:sz="4" w:space="0" w:color="auto"/>
              <w:left w:val="nil"/>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8,0%</w:t>
            </w:r>
          </w:p>
        </w:tc>
        <w:tc>
          <w:tcPr>
            <w:tcW w:w="567" w:type="dxa"/>
            <w:tcBorders>
              <w:top w:val="single" w:sz="4" w:space="0" w:color="auto"/>
              <w:left w:val="nil"/>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18,0%</w:t>
            </w:r>
          </w:p>
        </w:tc>
        <w:tc>
          <w:tcPr>
            <w:tcW w:w="567" w:type="dxa"/>
            <w:tcBorders>
              <w:top w:val="single" w:sz="4" w:space="0" w:color="auto"/>
              <w:left w:val="nil"/>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10,0%</w:t>
            </w:r>
          </w:p>
        </w:tc>
      </w:tr>
      <w:tr w:rsidR="00A64028" w:rsidRPr="00272625" w:rsidTr="00A64028">
        <w:trPr>
          <w:gridAfter w:val="1"/>
          <w:wAfter w:w="9" w:type="dxa"/>
        </w:trPr>
        <w:tc>
          <w:tcPr>
            <w:tcW w:w="721" w:type="dxa"/>
            <w:tcBorders>
              <w:top w:val="nil"/>
              <w:left w:val="single" w:sz="4" w:space="0" w:color="auto"/>
              <w:bottom w:val="single" w:sz="4" w:space="0" w:color="auto"/>
              <w:right w:val="single" w:sz="4" w:space="0" w:color="auto"/>
            </w:tcBorders>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4.3.2.4.</w:t>
            </w:r>
          </w:p>
        </w:tc>
        <w:tc>
          <w:tcPr>
            <w:tcW w:w="1547" w:type="dxa"/>
            <w:tcBorders>
              <w:top w:val="nil"/>
              <w:left w:val="nil"/>
              <w:bottom w:val="single" w:sz="4" w:space="0" w:color="auto"/>
              <w:right w:val="single" w:sz="4" w:space="0" w:color="auto"/>
            </w:tcBorders>
            <w:vAlign w:val="center"/>
            <w:hideMark/>
          </w:tcPr>
          <w:p w:rsidR="00A64028" w:rsidRPr="00272625" w:rsidRDefault="00A64028" w:rsidP="00272625">
            <w:pPr>
              <w:spacing w:after="0" w:line="240" w:lineRule="auto"/>
              <w:ind w:left="153" w:right="132"/>
              <w:jc w:val="both"/>
              <w:rPr>
                <w:rFonts w:ascii="Arial Narrow" w:hAnsi="Arial Narrow"/>
                <w:sz w:val="18"/>
                <w:szCs w:val="18"/>
              </w:rPr>
            </w:pPr>
            <w:r w:rsidRPr="00272625">
              <w:rPr>
                <w:rFonts w:ascii="Arial Narrow" w:hAnsi="Arial Narrow"/>
                <w:sz w:val="18"/>
                <w:szCs w:val="18"/>
              </w:rPr>
              <w:t>Удовлетворены стоимостью предоставляемых услуг, %</w:t>
            </w:r>
          </w:p>
        </w:tc>
        <w:tc>
          <w:tcPr>
            <w:tcW w:w="641" w:type="dxa"/>
            <w:tcBorders>
              <w:top w:val="nil"/>
              <w:left w:val="nil"/>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29,5%</w:t>
            </w:r>
          </w:p>
        </w:tc>
        <w:tc>
          <w:tcPr>
            <w:tcW w:w="495" w:type="dxa"/>
            <w:tcBorders>
              <w:top w:val="nil"/>
              <w:left w:val="nil"/>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70,0%</w:t>
            </w:r>
          </w:p>
        </w:tc>
        <w:tc>
          <w:tcPr>
            <w:tcW w:w="568" w:type="dxa"/>
            <w:tcBorders>
              <w:top w:val="nil"/>
              <w:left w:val="nil"/>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60,0%</w:t>
            </w:r>
          </w:p>
        </w:tc>
        <w:tc>
          <w:tcPr>
            <w:tcW w:w="567" w:type="dxa"/>
            <w:tcBorders>
              <w:top w:val="nil"/>
              <w:left w:val="nil"/>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40,0%</w:t>
            </w:r>
          </w:p>
        </w:tc>
        <w:tc>
          <w:tcPr>
            <w:tcW w:w="431" w:type="dxa"/>
            <w:tcBorders>
              <w:top w:val="nil"/>
              <w:left w:val="nil"/>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28,6%</w:t>
            </w:r>
          </w:p>
        </w:tc>
        <w:tc>
          <w:tcPr>
            <w:tcW w:w="562" w:type="dxa"/>
            <w:tcBorders>
              <w:top w:val="nil"/>
              <w:left w:val="nil"/>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36,0%</w:t>
            </w:r>
          </w:p>
        </w:tc>
        <w:tc>
          <w:tcPr>
            <w:tcW w:w="566" w:type="dxa"/>
            <w:tcBorders>
              <w:top w:val="nil"/>
              <w:left w:val="nil"/>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16,0%</w:t>
            </w:r>
          </w:p>
        </w:tc>
        <w:tc>
          <w:tcPr>
            <w:tcW w:w="567" w:type="dxa"/>
            <w:tcBorders>
              <w:top w:val="nil"/>
              <w:left w:val="nil"/>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40,0%</w:t>
            </w:r>
          </w:p>
        </w:tc>
        <w:tc>
          <w:tcPr>
            <w:tcW w:w="491" w:type="dxa"/>
            <w:tcBorders>
              <w:top w:val="nil"/>
              <w:left w:val="nil"/>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24,4%</w:t>
            </w:r>
          </w:p>
        </w:tc>
        <w:tc>
          <w:tcPr>
            <w:tcW w:w="446" w:type="dxa"/>
            <w:tcBorders>
              <w:top w:val="nil"/>
              <w:left w:val="nil"/>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3,3%</w:t>
            </w:r>
          </w:p>
        </w:tc>
        <w:tc>
          <w:tcPr>
            <w:tcW w:w="546" w:type="dxa"/>
            <w:tcBorders>
              <w:top w:val="nil"/>
              <w:left w:val="nil"/>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40,0%</w:t>
            </w:r>
          </w:p>
        </w:tc>
        <w:tc>
          <w:tcPr>
            <w:tcW w:w="567" w:type="dxa"/>
            <w:tcBorders>
              <w:top w:val="nil"/>
              <w:left w:val="nil"/>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48,0%</w:t>
            </w:r>
          </w:p>
        </w:tc>
        <w:tc>
          <w:tcPr>
            <w:tcW w:w="567" w:type="dxa"/>
            <w:tcBorders>
              <w:top w:val="nil"/>
              <w:left w:val="nil"/>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15,0%</w:t>
            </w:r>
          </w:p>
        </w:tc>
        <w:tc>
          <w:tcPr>
            <w:tcW w:w="567" w:type="dxa"/>
            <w:tcBorders>
              <w:top w:val="nil"/>
              <w:left w:val="nil"/>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30,0%</w:t>
            </w:r>
          </w:p>
        </w:tc>
      </w:tr>
      <w:tr w:rsidR="00A64028" w:rsidRPr="00272625" w:rsidTr="00A6402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9" w:type="dxa"/>
        </w:trPr>
        <w:tc>
          <w:tcPr>
            <w:tcW w:w="721" w:type="dxa"/>
            <w:tcBorders>
              <w:top w:val="single" w:sz="4" w:space="0" w:color="auto"/>
              <w:left w:val="single" w:sz="4" w:space="0" w:color="auto"/>
              <w:bottom w:val="single" w:sz="4" w:space="0" w:color="auto"/>
              <w:right w:val="single" w:sz="4" w:space="0" w:color="auto"/>
            </w:tcBorders>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4.3.2.5.</w:t>
            </w:r>
          </w:p>
        </w:tc>
        <w:tc>
          <w:tcPr>
            <w:tcW w:w="1547" w:type="dxa"/>
            <w:tcBorders>
              <w:top w:val="single" w:sz="4" w:space="0" w:color="auto"/>
              <w:left w:val="single" w:sz="4" w:space="0" w:color="auto"/>
              <w:bottom w:val="single" w:sz="4" w:space="0" w:color="auto"/>
              <w:right w:val="single" w:sz="4" w:space="0" w:color="auto"/>
            </w:tcBorders>
            <w:vAlign w:val="center"/>
            <w:hideMark/>
          </w:tcPr>
          <w:p w:rsidR="00A64028" w:rsidRPr="00272625" w:rsidRDefault="00A64028" w:rsidP="00272625">
            <w:pPr>
              <w:spacing w:after="0" w:line="240" w:lineRule="auto"/>
              <w:ind w:left="153" w:right="132"/>
              <w:jc w:val="both"/>
              <w:rPr>
                <w:rFonts w:ascii="Arial Narrow" w:hAnsi="Arial Narrow"/>
                <w:sz w:val="18"/>
                <w:szCs w:val="18"/>
              </w:rPr>
            </w:pPr>
            <w:r w:rsidRPr="00272625">
              <w:rPr>
                <w:rFonts w:ascii="Arial Narrow" w:hAnsi="Arial Narrow"/>
                <w:sz w:val="18"/>
                <w:szCs w:val="18"/>
              </w:rPr>
              <w:t xml:space="preserve">Удовлетворены качеством предоставляемых услуг, % </w:t>
            </w:r>
          </w:p>
        </w:tc>
        <w:tc>
          <w:tcPr>
            <w:tcW w:w="641"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52,4%</w:t>
            </w:r>
          </w:p>
        </w:tc>
        <w:tc>
          <w:tcPr>
            <w:tcW w:w="495"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70,0%</w:t>
            </w:r>
          </w:p>
        </w:tc>
        <w:tc>
          <w:tcPr>
            <w:tcW w:w="568"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40,0%</w:t>
            </w: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76,0%</w:t>
            </w:r>
          </w:p>
        </w:tc>
        <w:tc>
          <w:tcPr>
            <w:tcW w:w="431"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57,1%</w:t>
            </w:r>
          </w:p>
        </w:tc>
        <w:tc>
          <w:tcPr>
            <w:tcW w:w="562"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76,0%</w:t>
            </w:r>
          </w:p>
        </w:tc>
        <w:tc>
          <w:tcPr>
            <w:tcW w:w="566"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52,0%</w:t>
            </w: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65,7%</w:t>
            </w:r>
          </w:p>
        </w:tc>
        <w:tc>
          <w:tcPr>
            <w:tcW w:w="491"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41,1%</w:t>
            </w:r>
          </w:p>
        </w:tc>
        <w:tc>
          <w:tcPr>
            <w:tcW w:w="446"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26,7%</w:t>
            </w:r>
          </w:p>
        </w:tc>
        <w:tc>
          <w:tcPr>
            <w:tcW w:w="546"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56,0%</w:t>
            </w: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76,0%</w:t>
            </w: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34,0%</w:t>
            </w: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40,0%</w:t>
            </w:r>
          </w:p>
        </w:tc>
      </w:tr>
      <w:tr w:rsidR="00A64028" w:rsidRPr="00272625" w:rsidTr="00A6402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721" w:type="dxa"/>
            <w:tcBorders>
              <w:top w:val="single" w:sz="4" w:space="0" w:color="auto"/>
              <w:left w:val="single" w:sz="4" w:space="0" w:color="auto"/>
              <w:bottom w:val="single" w:sz="4" w:space="0" w:color="auto"/>
              <w:right w:val="single" w:sz="4" w:space="0" w:color="auto"/>
            </w:tcBorders>
            <w:vAlign w:val="center"/>
            <w:hideMark/>
          </w:tcPr>
          <w:p w:rsidR="00A64028" w:rsidRPr="00272625" w:rsidRDefault="00A64028" w:rsidP="00272625">
            <w:pPr>
              <w:spacing w:after="0" w:line="240" w:lineRule="auto"/>
              <w:jc w:val="center"/>
              <w:rPr>
                <w:rFonts w:ascii="Arial Narrow" w:hAnsi="Arial Narrow"/>
                <w:b/>
                <w:bCs/>
                <w:sz w:val="18"/>
                <w:szCs w:val="18"/>
              </w:rPr>
            </w:pPr>
            <w:r w:rsidRPr="00272625">
              <w:rPr>
                <w:rFonts w:ascii="Arial Narrow" w:hAnsi="Arial Narrow"/>
                <w:b/>
                <w:bCs/>
                <w:sz w:val="18"/>
                <w:szCs w:val="18"/>
              </w:rPr>
              <w:t>4.3.3.</w:t>
            </w:r>
          </w:p>
        </w:tc>
        <w:tc>
          <w:tcPr>
            <w:tcW w:w="9137" w:type="dxa"/>
            <w:gridSpan w:val="16"/>
            <w:tcBorders>
              <w:top w:val="single" w:sz="4" w:space="0" w:color="auto"/>
              <w:left w:val="single" w:sz="4" w:space="0" w:color="auto"/>
              <w:bottom w:val="single" w:sz="4" w:space="0" w:color="auto"/>
              <w:right w:val="single" w:sz="4" w:space="0" w:color="auto"/>
            </w:tcBorders>
            <w:vAlign w:val="center"/>
            <w:hideMark/>
          </w:tcPr>
          <w:p w:rsidR="00A64028" w:rsidRPr="00272625" w:rsidRDefault="00A64028" w:rsidP="00272625">
            <w:pPr>
              <w:spacing w:after="0" w:line="240" w:lineRule="auto"/>
              <w:ind w:left="153" w:right="132"/>
              <w:jc w:val="center"/>
              <w:rPr>
                <w:rFonts w:ascii="Arial Narrow" w:hAnsi="Arial Narrow"/>
                <w:b/>
                <w:bCs/>
                <w:sz w:val="18"/>
                <w:szCs w:val="18"/>
              </w:rPr>
            </w:pPr>
            <w:r w:rsidRPr="00272625">
              <w:rPr>
                <w:rFonts w:ascii="Arial Narrow" w:hAnsi="Arial Narrow"/>
                <w:b/>
                <w:bCs/>
                <w:sz w:val="18"/>
                <w:szCs w:val="18"/>
              </w:rPr>
              <w:t>Электроснабжение:</w:t>
            </w:r>
          </w:p>
        </w:tc>
      </w:tr>
      <w:tr w:rsidR="00A64028" w:rsidRPr="00272625" w:rsidTr="00A6402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9" w:type="dxa"/>
        </w:trPr>
        <w:tc>
          <w:tcPr>
            <w:tcW w:w="721" w:type="dxa"/>
            <w:tcBorders>
              <w:top w:val="single" w:sz="4" w:space="0" w:color="auto"/>
              <w:left w:val="single" w:sz="4" w:space="0" w:color="auto"/>
              <w:bottom w:val="single" w:sz="4" w:space="0" w:color="auto"/>
              <w:right w:val="single" w:sz="4" w:space="0" w:color="auto"/>
            </w:tcBorders>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4.3.3.1</w:t>
            </w:r>
          </w:p>
        </w:tc>
        <w:tc>
          <w:tcPr>
            <w:tcW w:w="1547" w:type="dxa"/>
            <w:tcBorders>
              <w:top w:val="single" w:sz="4" w:space="0" w:color="auto"/>
              <w:left w:val="single" w:sz="4" w:space="0" w:color="auto"/>
              <w:bottom w:val="single" w:sz="4" w:space="0" w:color="auto"/>
              <w:right w:val="single" w:sz="4" w:space="0" w:color="auto"/>
            </w:tcBorders>
            <w:vAlign w:val="center"/>
            <w:hideMark/>
          </w:tcPr>
          <w:p w:rsidR="00A64028" w:rsidRPr="00272625" w:rsidRDefault="00A64028" w:rsidP="00272625">
            <w:pPr>
              <w:spacing w:after="0" w:line="240" w:lineRule="auto"/>
              <w:ind w:left="153" w:right="132"/>
              <w:jc w:val="both"/>
              <w:rPr>
                <w:rFonts w:ascii="Arial Narrow" w:hAnsi="Arial Narrow"/>
                <w:sz w:val="18"/>
                <w:szCs w:val="18"/>
              </w:rPr>
            </w:pPr>
            <w:r w:rsidRPr="00272625">
              <w:rPr>
                <w:rFonts w:ascii="Arial Narrow" w:hAnsi="Arial Narrow"/>
                <w:sz w:val="18"/>
                <w:szCs w:val="18"/>
              </w:rPr>
              <w:t>Удовлетворены сроками получения доступа к услугам, %</w:t>
            </w:r>
          </w:p>
        </w:tc>
        <w:tc>
          <w:tcPr>
            <w:tcW w:w="641"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36,8%</w:t>
            </w:r>
          </w:p>
        </w:tc>
        <w:tc>
          <w:tcPr>
            <w:tcW w:w="495"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0,0%</w:t>
            </w:r>
          </w:p>
        </w:tc>
        <w:tc>
          <w:tcPr>
            <w:tcW w:w="568"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20,0%</w:t>
            </w: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24,0%</w:t>
            </w:r>
          </w:p>
        </w:tc>
        <w:tc>
          <w:tcPr>
            <w:tcW w:w="431"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32,9%</w:t>
            </w:r>
          </w:p>
        </w:tc>
        <w:tc>
          <w:tcPr>
            <w:tcW w:w="562"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16,0%</w:t>
            </w:r>
          </w:p>
        </w:tc>
        <w:tc>
          <w:tcPr>
            <w:tcW w:w="566"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24,0%</w:t>
            </w: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45,7%</w:t>
            </w:r>
          </w:p>
        </w:tc>
        <w:tc>
          <w:tcPr>
            <w:tcW w:w="491"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40,6%</w:t>
            </w:r>
          </w:p>
        </w:tc>
        <w:tc>
          <w:tcPr>
            <w:tcW w:w="446"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3,3%</w:t>
            </w:r>
          </w:p>
        </w:tc>
        <w:tc>
          <w:tcPr>
            <w:tcW w:w="546"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24,0%</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24,0%</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51,0%</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20,0%</w:t>
            </w:r>
          </w:p>
        </w:tc>
      </w:tr>
      <w:tr w:rsidR="00A64028" w:rsidRPr="00272625" w:rsidTr="00A6402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9" w:type="dxa"/>
        </w:trPr>
        <w:tc>
          <w:tcPr>
            <w:tcW w:w="721" w:type="dxa"/>
            <w:tcBorders>
              <w:top w:val="single" w:sz="4" w:space="0" w:color="auto"/>
              <w:left w:val="single" w:sz="4" w:space="0" w:color="auto"/>
              <w:bottom w:val="single" w:sz="4" w:space="0" w:color="auto"/>
              <w:right w:val="single" w:sz="4" w:space="0" w:color="auto"/>
            </w:tcBorders>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4.3.3.2.</w:t>
            </w:r>
          </w:p>
        </w:tc>
        <w:tc>
          <w:tcPr>
            <w:tcW w:w="1547" w:type="dxa"/>
            <w:tcBorders>
              <w:top w:val="single" w:sz="4" w:space="0" w:color="auto"/>
              <w:left w:val="single" w:sz="4" w:space="0" w:color="auto"/>
              <w:bottom w:val="single" w:sz="4" w:space="0" w:color="auto"/>
              <w:right w:val="single" w:sz="4" w:space="0" w:color="auto"/>
            </w:tcBorders>
            <w:vAlign w:val="center"/>
            <w:hideMark/>
          </w:tcPr>
          <w:p w:rsidR="00A64028" w:rsidRPr="00272625" w:rsidRDefault="00A64028" w:rsidP="00272625">
            <w:pPr>
              <w:spacing w:after="0" w:line="240" w:lineRule="auto"/>
              <w:ind w:left="153" w:right="132"/>
              <w:jc w:val="both"/>
              <w:rPr>
                <w:rFonts w:ascii="Arial Narrow" w:hAnsi="Arial Narrow"/>
                <w:sz w:val="18"/>
                <w:szCs w:val="18"/>
              </w:rPr>
            </w:pPr>
            <w:r w:rsidRPr="00272625">
              <w:rPr>
                <w:rFonts w:ascii="Arial Narrow" w:hAnsi="Arial Narrow"/>
                <w:sz w:val="18"/>
                <w:szCs w:val="18"/>
              </w:rPr>
              <w:t>Удовлетворены сложностью (количеством) процедур подключения, %</w:t>
            </w:r>
          </w:p>
        </w:tc>
        <w:tc>
          <w:tcPr>
            <w:tcW w:w="641"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29,0%</w:t>
            </w:r>
          </w:p>
        </w:tc>
        <w:tc>
          <w:tcPr>
            <w:tcW w:w="495"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0,0%</w:t>
            </w:r>
          </w:p>
        </w:tc>
        <w:tc>
          <w:tcPr>
            <w:tcW w:w="568"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0,0%</w:t>
            </w: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28,0%</w:t>
            </w:r>
          </w:p>
        </w:tc>
        <w:tc>
          <w:tcPr>
            <w:tcW w:w="431"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28,6%</w:t>
            </w:r>
          </w:p>
        </w:tc>
        <w:tc>
          <w:tcPr>
            <w:tcW w:w="562"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16,0%</w:t>
            </w:r>
          </w:p>
        </w:tc>
        <w:tc>
          <w:tcPr>
            <w:tcW w:w="566"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12,0%</w:t>
            </w: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30,0%</w:t>
            </w:r>
          </w:p>
        </w:tc>
        <w:tc>
          <w:tcPr>
            <w:tcW w:w="491"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27,8%</w:t>
            </w:r>
          </w:p>
        </w:tc>
        <w:tc>
          <w:tcPr>
            <w:tcW w:w="446"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6,7%</w:t>
            </w:r>
          </w:p>
        </w:tc>
        <w:tc>
          <w:tcPr>
            <w:tcW w:w="546"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16,0%</w:t>
            </w: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12,0%</w:t>
            </w: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48,0%</w:t>
            </w: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20,0%</w:t>
            </w:r>
          </w:p>
        </w:tc>
      </w:tr>
      <w:tr w:rsidR="00A64028" w:rsidRPr="00272625" w:rsidTr="00A6402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9" w:type="dxa"/>
        </w:trPr>
        <w:tc>
          <w:tcPr>
            <w:tcW w:w="721" w:type="dxa"/>
            <w:tcBorders>
              <w:top w:val="single" w:sz="4" w:space="0" w:color="auto"/>
              <w:left w:val="single" w:sz="4" w:space="0" w:color="auto"/>
              <w:bottom w:val="single" w:sz="4" w:space="0" w:color="auto"/>
              <w:right w:val="single" w:sz="4" w:space="0" w:color="auto"/>
            </w:tcBorders>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4.3.3.3.</w:t>
            </w:r>
          </w:p>
        </w:tc>
        <w:tc>
          <w:tcPr>
            <w:tcW w:w="1547" w:type="dxa"/>
            <w:tcBorders>
              <w:top w:val="single" w:sz="4" w:space="0" w:color="auto"/>
              <w:left w:val="single" w:sz="4" w:space="0" w:color="auto"/>
              <w:bottom w:val="single" w:sz="4" w:space="0" w:color="auto"/>
              <w:right w:val="single" w:sz="4" w:space="0" w:color="auto"/>
            </w:tcBorders>
            <w:vAlign w:val="center"/>
            <w:hideMark/>
          </w:tcPr>
          <w:p w:rsidR="00A64028" w:rsidRPr="00272625" w:rsidRDefault="00A64028" w:rsidP="00272625">
            <w:pPr>
              <w:spacing w:after="0" w:line="240" w:lineRule="auto"/>
              <w:ind w:left="153" w:right="132"/>
              <w:jc w:val="both"/>
              <w:rPr>
                <w:rFonts w:ascii="Arial Narrow" w:hAnsi="Arial Narrow"/>
                <w:sz w:val="18"/>
                <w:szCs w:val="18"/>
              </w:rPr>
            </w:pPr>
            <w:r w:rsidRPr="00272625">
              <w:rPr>
                <w:rFonts w:ascii="Arial Narrow" w:hAnsi="Arial Narrow"/>
                <w:sz w:val="18"/>
                <w:szCs w:val="18"/>
              </w:rPr>
              <w:t>Удовлетворены стоимостью подключения, %</w:t>
            </w:r>
          </w:p>
        </w:tc>
        <w:tc>
          <w:tcPr>
            <w:tcW w:w="641"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21,6%</w:t>
            </w:r>
          </w:p>
        </w:tc>
        <w:tc>
          <w:tcPr>
            <w:tcW w:w="495"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0,0%</w:t>
            </w:r>
          </w:p>
        </w:tc>
        <w:tc>
          <w:tcPr>
            <w:tcW w:w="568"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0,0%</w:t>
            </w: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16,0%</w:t>
            </w:r>
          </w:p>
        </w:tc>
        <w:tc>
          <w:tcPr>
            <w:tcW w:w="431"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24,3%</w:t>
            </w:r>
          </w:p>
        </w:tc>
        <w:tc>
          <w:tcPr>
            <w:tcW w:w="562"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12,0%</w:t>
            </w:r>
          </w:p>
        </w:tc>
        <w:tc>
          <w:tcPr>
            <w:tcW w:w="566"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12,0%</w:t>
            </w: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22,9%</w:t>
            </w:r>
          </w:p>
        </w:tc>
        <w:tc>
          <w:tcPr>
            <w:tcW w:w="491"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18,9%</w:t>
            </w:r>
          </w:p>
        </w:tc>
        <w:tc>
          <w:tcPr>
            <w:tcW w:w="446"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5,0%</w:t>
            </w:r>
          </w:p>
        </w:tc>
        <w:tc>
          <w:tcPr>
            <w:tcW w:w="546"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16,0%</w:t>
            </w: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12,0%</w:t>
            </w: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29,0%</w:t>
            </w: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10,0%</w:t>
            </w:r>
          </w:p>
        </w:tc>
      </w:tr>
      <w:tr w:rsidR="00A64028" w:rsidRPr="00272625" w:rsidTr="00A6402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9" w:type="dxa"/>
        </w:trPr>
        <w:tc>
          <w:tcPr>
            <w:tcW w:w="721" w:type="dxa"/>
            <w:tcBorders>
              <w:top w:val="single" w:sz="4" w:space="0" w:color="auto"/>
              <w:left w:val="single" w:sz="4" w:space="0" w:color="auto"/>
              <w:bottom w:val="single" w:sz="4" w:space="0" w:color="auto"/>
              <w:right w:val="single" w:sz="4" w:space="0" w:color="auto"/>
            </w:tcBorders>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4.3.3.4.</w:t>
            </w:r>
          </w:p>
        </w:tc>
        <w:tc>
          <w:tcPr>
            <w:tcW w:w="1547" w:type="dxa"/>
            <w:tcBorders>
              <w:top w:val="single" w:sz="4" w:space="0" w:color="auto"/>
              <w:left w:val="single" w:sz="4" w:space="0" w:color="auto"/>
              <w:bottom w:val="single" w:sz="4" w:space="0" w:color="auto"/>
              <w:right w:val="single" w:sz="4" w:space="0" w:color="auto"/>
            </w:tcBorders>
            <w:vAlign w:val="center"/>
            <w:hideMark/>
          </w:tcPr>
          <w:p w:rsidR="00A64028" w:rsidRPr="00272625" w:rsidRDefault="00A64028" w:rsidP="00272625">
            <w:pPr>
              <w:spacing w:after="0" w:line="240" w:lineRule="auto"/>
              <w:ind w:left="153" w:right="132"/>
              <w:jc w:val="both"/>
              <w:rPr>
                <w:rFonts w:ascii="Arial Narrow" w:hAnsi="Arial Narrow"/>
                <w:sz w:val="18"/>
                <w:szCs w:val="18"/>
              </w:rPr>
            </w:pPr>
            <w:r w:rsidRPr="00272625">
              <w:rPr>
                <w:rFonts w:ascii="Arial Narrow" w:hAnsi="Arial Narrow"/>
                <w:sz w:val="18"/>
                <w:szCs w:val="18"/>
              </w:rPr>
              <w:t>Удовлетворены стоимостью предоставляемых услуг, %</w:t>
            </w:r>
          </w:p>
        </w:tc>
        <w:tc>
          <w:tcPr>
            <w:tcW w:w="641"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34,5%</w:t>
            </w:r>
          </w:p>
        </w:tc>
        <w:tc>
          <w:tcPr>
            <w:tcW w:w="495"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70,0%</w:t>
            </w:r>
          </w:p>
        </w:tc>
        <w:tc>
          <w:tcPr>
            <w:tcW w:w="568"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60,0%</w:t>
            </w: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40,0%</w:t>
            </w:r>
          </w:p>
        </w:tc>
        <w:tc>
          <w:tcPr>
            <w:tcW w:w="431"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45,7%</w:t>
            </w:r>
          </w:p>
        </w:tc>
        <w:tc>
          <w:tcPr>
            <w:tcW w:w="562"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36,0%</w:t>
            </w:r>
          </w:p>
        </w:tc>
        <w:tc>
          <w:tcPr>
            <w:tcW w:w="566"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20,0%</w:t>
            </w: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40,0%</w:t>
            </w:r>
          </w:p>
        </w:tc>
        <w:tc>
          <w:tcPr>
            <w:tcW w:w="491"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29,4%</w:t>
            </w:r>
          </w:p>
        </w:tc>
        <w:tc>
          <w:tcPr>
            <w:tcW w:w="446"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15,0%</w:t>
            </w:r>
          </w:p>
        </w:tc>
        <w:tc>
          <w:tcPr>
            <w:tcW w:w="546"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40,0%</w:t>
            </w: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48,0%</w:t>
            </w: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29,0%</w:t>
            </w: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30,0%</w:t>
            </w:r>
          </w:p>
        </w:tc>
      </w:tr>
      <w:tr w:rsidR="00A64028" w:rsidRPr="00272625" w:rsidTr="00A6402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9" w:type="dxa"/>
        </w:trPr>
        <w:tc>
          <w:tcPr>
            <w:tcW w:w="721" w:type="dxa"/>
            <w:tcBorders>
              <w:top w:val="single" w:sz="4" w:space="0" w:color="auto"/>
              <w:left w:val="single" w:sz="4" w:space="0" w:color="auto"/>
              <w:bottom w:val="single" w:sz="4" w:space="0" w:color="auto"/>
              <w:right w:val="single" w:sz="4" w:space="0" w:color="auto"/>
            </w:tcBorders>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4.3.3.5.</w:t>
            </w:r>
          </w:p>
        </w:tc>
        <w:tc>
          <w:tcPr>
            <w:tcW w:w="1547" w:type="dxa"/>
            <w:tcBorders>
              <w:top w:val="single" w:sz="4" w:space="0" w:color="auto"/>
              <w:left w:val="single" w:sz="4" w:space="0" w:color="auto"/>
              <w:bottom w:val="single" w:sz="4" w:space="0" w:color="auto"/>
              <w:right w:val="single" w:sz="4" w:space="0" w:color="auto"/>
            </w:tcBorders>
            <w:vAlign w:val="center"/>
            <w:hideMark/>
          </w:tcPr>
          <w:p w:rsidR="00A64028" w:rsidRPr="00272625" w:rsidRDefault="00A64028" w:rsidP="00272625">
            <w:pPr>
              <w:spacing w:after="0" w:line="240" w:lineRule="auto"/>
              <w:ind w:left="153" w:right="132"/>
              <w:jc w:val="both"/>
              <w:rPr>
                <w:rFonts w:ascii="Arial Narrow" w:hAnsi="Arial Narrow"/>
                <w:sz w:val="18"/>
                <w:szCs w:val="18"/>
              </w:rPr>
            </w:pPr>
            <w:r w:rsidRPr="00272625">
              <w:rPr>
                <w:rFonts w:ascii="Arial Narrow" w:hAnsi="Arial Narrow"/>
                <w:sz w:val="18"/>
                <w:szCs w:val="18"/>
              </w:rPr>
              <w:t>Удовлетворены качеством предоставляемых услуг, %</w:t>
            </w:r>
          </w:p>
        </w:tc>
        <w:tc>
          <w:tcPr>
            <w:tcW w:w="641"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65,6%</w:t>
            </w:r>
          </w:p>
        </w:tc>
        <w:tc>
          <w:tcPr>
            <w:tcW w:w="495"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70,0%</w:t>
            </w:r>
          </w:p>
        </w:tc>
        <w:tc>
          <w:tcPr>
            <w:tcW w:w="568"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80,0%</w:t>
            </w: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76,0%</w:t>
            </w:r>
          </w:p>
        </w:tc>
        <w:tc>
          <w:tcPr>
            <w:tcW w:w="431"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81,4%</w:t>
            </w:r>
          </w:p>
        </w:tc>
        <w:tc>
          <w:tcPr>
            <w:tcW w:w="562"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72,0%</w:t>
            </w:r>
          </w:p>
        </w:tc>
        <w:tc>
          <w:tcPr>
            <w:tcW w:w="566"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64,0%</w:t>
            </w: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71,4%</w:t>
            </w:r>
          </w:p>
        </w:tc>
        <w:tc>
          <w:tcPr>
            <w:tcW w:w="491"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62,2%</w:t>
            </w:r>
          </w:p>
        </w:tc>
        <w:tc>
          <w:tcPr>
            <w:tcW w:w="446"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45,0%</w:t>
            </w:r>
          </w:p>
        </w:tc>
        <w:tc>
          <w:tcPr>
            <w:tcW w:w="546"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72,0%</w:t>
            </w: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76,0%</w:t>
            </w: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67,0%</w:t>
            </w: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60,0%</w:t>
            </w:r>
          </w:p>
        </w:tc>
      </w:tr>
      <w:tr w:rsidR="00A64028" w:rsidRPr="00272625" w:rsidTr="00A6402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721" w:type="dxa"/>
            <w:tcBorders>
              <w:top w:val="single" w:sz="4" w:space="0" w:color="auto"/>
              <w:left w:val="single" w:sz="4" w:space="0" w:color="auto"/>
              <w:bottom w:val="single" w:sz="4" w:space="0" w:color="auto"/>
              <w:right w:val="single" w:sz="4" w:space="0" w:color="auto"/>
            </w:tcBorders>
            <w:vAlign w:val="center"/>
            <w:hideMark/>
          </w:tcPr>
          <w:p w:rsidR="00A64028" w:rsidRPr="00272625" w:rsidRDefault="00A64028" w:rsidP="00272625">
            <w:pPr>
              <w:spacing w:after="0" w:line="240" w:lineRule="auto"/>
              <w:jc w:val="center"/>
              <w:rPr>
                <w:rFonts w:ascii="Arial Narrow" w:hAnsi="Arial Narrow"/>
                <w:b/>
                <w:bCs/>
                <w:sz w:val="18"/>
                <w:szCs w:val="18"/>
              </w:rPr>
            </w:pPr>
            <w:r w:rsidRPr="00272625">
              <w:rPr>
                <w:rFonts w:ascii="Arial Narrow" w:hAnsi="Arial Narrow"/>
                <w:b/>
                <w:bCs/>
                <w:sz w:val="18"/>
                <w:szCs w:val="18"/>
              </w:rPr>
              <w:t>4.3.4.</w:t>
            </w:r>
          </w:p>
        </w:tc>
        <w:tc>
          <w:tcPr>
            <w:tcW w:w="9137" w:type="dxa"/>
            <w:gridSpan w:val="16"/>
            <w:tcBorders>
              <w:top w:val="single" w:sz="4" w:space="0" w:color="auto"/>
              <w:left w:val="single" w:sz="4" w:space="0" w:color="auto"/>
              <w:bottom w:val="single" w:sz="4" w:space="0" w:color="auto"/>
              <w:right w:val="single" w:sz="4" w:space="0" w:color="auto"/>
            </w:tcBorders>
            <w:vAlign w:val="center"/>
            <w:hideMark/>
          </w:tcPr>
          <w:p w:rsidR="00A64028" w:rsidRPr="00272625" w:rsidRDefault="00A64028" w:rsidP="00272625">
            <w:pPr>
              <w:spacing w:after="0" w:line="240" w:lineRule="auto"/>
              <w:ind w:left="153" w:right="132"/>
              <w:jc w:val="center"/>
              <w:rPr>
                <w:rFonts w:ascii="Arial Narrow" w:hAnsi="Arial Narrow"/>
                <w:b/>
                <w:bCs/>
                <w:sz w:val="18"/>
                <w:szCs w:val="18"/>
              </w:rPr>
            </w:pPr>
            <w:r w:rsidRPr="00272625">
              <w:rPr>
                <w:rFonts w:ascii="Arial Narrow" w:hAnsi="Arial Narrow"/>
                <w:b/>
                <w:bCs/>
                <w:sz w:val="18"/>
                <w:szCs w:val="18"/>
              </w:rPr>
              <w:t>Теплоснабжение:</w:t>
            </w:r>
          </w:p>
        </w:tc>
      </w:tr>
      <w:tr w:rsidR="00A64028" w:rsidRPr="00272625" w:rsidTr="00A6402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9" w:type="dxa"/>
        </w:trPr>
        <w:tc>
          <w:tcPr>
            <w:tcW w:w="721" w:type="dxa"/>
            <w:tcBorders>
              <w:top w:val="single" w:sz="4" w:space="0" w:color="auto"/>
              <w:left w:val="single" w:sz="4" w:space="0" w:color="auto"/>
              <w:bottom w:val="single" w:sz="4" w:space="0" w:color="auto"/>
              <w:right w:val="single" w:sz="4" w:space="0" w:color="auto"/>
            </w:tcBorders>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4.3.4.1.</w:t>
            </w:r>
          </w:p>
        </w:tc>
        <w:tc>
          <w:tcPr>
            <w:tcW w:w="1547" w:type="dxa"/>
            <w:tcBorders>
              <w:top w:val="single" w:sz="4" w:space="0" w:color="auto"/>
              <w:left w:val="single" w:sz="4" w:space="0" w:color="auto"/>
              <w:bottom w:val="single" w:sz="4" w:space="0" w:color="auto"/>
              <w:right w:val="single" w:sz="4" w:space="0" w:color="auto"/>
            </w:tcBorders>
            <w:vAlign w:val="center"/>
            <w:hideMark/>
          </w:tcPr>
          <w:p w:rsidR="00A64028" w:rsidRPr="00272625" w:rsidRDefault="00A64028" w:rsidP="00272625">
            <w:pPr>
              <w:spacing w:after="0" w:line="240" w:lineRule="auto"/>
              <w:ind w:left="153" w:right="132"/>
              <w:jc w:val="both"/>
              <w:rPr>
                <w:rFonts w:ascii="Arial Narrow" w:hAnsi="Arial Narrow"/>
                <w:sz w:val="18"/>
                <w:szCs w:val="18"/>
              </w:rPr>
            </w:pPr>
            <w:r w:rsidRPr="00272625">
              <w:rPr>
                <w:rFonts w:ascii="Arial Narrow" w:hAnsi="Arial Narrow"/>
                <w:sz w:val="18"/>
                <w:szCs w:val="18"/>
              </w:rPr>
              <w:t>Удовлетворены сроками получения доступа к услугам, %</w:t>
            </w:r>
          </w:p>
        </w:tc>
        <w:tc>
          <w:tcPr>
            <w:tcW w:w="641"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35,3%</w:t>
            </w:r>
          </w:p>
        </w:tc>
        <w:tc>
          <w:tcPr>
            <w:tcW w:w="495"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0,0%</w:t>
            </w:r>
          </w:p>
        </w:tc>
        <w:tc>
          <w:tcPr>
            <w:tcW w:w="568"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20,0%</w:t>
            </w: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20,0%</w:t>
            </w:r>
          </w:p>
        </w:tc>
        <w:tc>
          <w:tcPr>
            <w:tcW w:w="431"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32,9%</w:t>
            </w:r>
          </w:p>
        </w:tc>
        <w:tc>
          <w:tcPr>
            <w:tcW w:w="562"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16,0%</w:t>
            </w:r>
          </w:p>
        </w:tc>
        <w:tc>
          <w:tcPr>
            <w:tcW w:w="566"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24,0%</w:t>
            </w: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40,0%</w:t>
            </w:r>
          </w:p>
        </w:tc>
        <w:tc>
          <w:tcPr>
            <w:tcW w:w="491"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41,1%</w:t>
            </w:r>
          </w:p>
        </w:tc>
        <w:tc>
          <w:tcPr>
            <w:tcW w:w="446"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3,3%</w:t>
            </w:r>
          </w:p>
        </w:tc>
        <w:tc>
          <w:tcPr>
            <w:tcW w:w="546"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16,0%</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24,0%</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37,0%</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30,0%</w:t>
            </w:r>
          </w:p>
        </w:tc>
      </w:tr>
      <w:tr w:rsidR="00A64028" w:rsidRPr="00272625" w:rsidTr="00A6402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9" w:type="dxa"/>
        </w:trPr>
        <w:tc>
          <w:tcPr>
            <w:tcW w:w="721" w:type="dxa"/>
            <w:tcBorders>
              <w:top w:val="single" w:sz="4" w:space="0" w:color="auto"/>
              <w:left w:val="single" w:sz="4" w:space="0" w:color="auto"/>
              <w:bottom w:val="single" w:sz="4" w:space="0" w:color="auto"/>
              <w:right w:val="single" w:sz="4" w:space="0" w:color="auto"/>
            </w:tcBorders>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4.3.4.2.</w:t>
            </w:r>
          </w:p>
        </w:tc>
        <w:tc>
          <w:tcPr>
            <w:tcW w:w="1547" w:type="dxa"/>
            <w:tcBorders>
              <w:top w:val="single" w:sz="4" w:space="0" w:color="auto"/>
              <w:left w:val="single" w:sz="4" w:space="0" w:color="auto"/>
              <w:bottom w:val="single" w:sz="4" w:space="0" w:color="auto"/>
              <w:right w:val="single" w:sz="4" w:space="0" w:color="auto"/>
            </w:tcBorders>
            <w:vAlign w:val="center"/>
            <w:hideMark/>
          </w:tcPr>
          <w:p w:rsidR="00A64028" w:rsidRPr="00272625" w:rsidRDefault="00A64028" w:rsidP="00272625">
            <w:pPr>
              <w:spacing w:after="0" w:line="240" w:lineRule="auto"/>
              <w:ind w:left="153" w:right="132"/>
              <w:jc w:val="both"/>
              <w:rPr>
                <w:rFonts w:ascii="Arial Narrow" w:hAnsi="Arial Narrow"/>
                <w:sz w:val="18"/>
                <w:szCs w:val="18"/>
              </w:rPr>
            </w:pPr>
            <w:r w:rsidRPr="00272625">
              <w:rPr>
                <w:rFonts w:ascii="Arial Narrow" w:hAnsi="Arial Narrow"/>
                <w:sz w:val="18"/>
                <w:szCs w:val="18"/>
              </w:rPr>
              <w:t>Удовлетворены сложностью (количеством) процедур подключения, %</w:t>
            </w:r>
          </w:p>
        </w:tc>
        <w:tc>
          <w:tcPr>
            <w:tcW w:w="641"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28,0%</w:t>
            </w:r>
          </w:p>
        </w:tc>
        <w:tc>
          <w:tcPr>
            <w:tcW w:w="495"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0,0%</w:t>
            </w:r>
          </w:p>
        </w:tc>
        <w:tc>
          <w:tcPr>
            <w:tcW w:w="568"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0,0%</w:t>
            </w: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24,0%</w:t>
            </w:r>
          </w:p>
        </w:tc>
        <w:tc>
          <w:tcPr>
            <w:tcW w:w="431"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27,1%</w:t>
            </w:r>
          </w:p>
        </w:tc>
        <w:tc>
          <w:tcPr>
            <w:tcW w:w="562"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16,0%</w:t>
            </w:r>
          </w:p>
        </w:tc>
        <w:tc>
          <w:tcPr>
            <w:tcW w:w="566"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12,0%</w:t>
            </w: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28,6%</w:t>
            </w:r>
          </w:p>
        </w:tc>
        <w:tc>
          <w:tcPr>
            <w:tcW w:w="491"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28,9%</w:t>
            </w:r>
          </w:p>
        </w:tc>
        <w:tc>
          <w:tcPr>
            <w:tcW w:w="446"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6,7%</w:t>
            </w:r>
          </w:p>
        </w:tc>
        <w:tc>
          <w:tcPr>
            <w:tcW w:w="546"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8,0%</w:t>
            </w: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12,0%</w:t>
            </w: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35,0%</w:t>
            </w: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20,0%</w:t>
            </w:r>
          </w:p>
        </w:tc>
      </w:tr>
      <w:tr w:rsidR="00A64028" w:rsidRPr="00272625" w:rsidTr="00A6402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9" w:type="dxa"/>
        </w:trPr>
        <w:tc>
          <w:tcPr>
            <w:tcW w:w="721" w:type="dxa"/>
            <w:tcBorders>
              <w:top w:val="single" w:sz="4" w:space="0" w:color="auto"/>
              <w:left w:val="single" w:sz="4" w:space="0" w:color="auto"/>
              <w:bottom w:val="single" w:sz="4" w:space="0" w:color="auto"/>
              <w:right w:val="single" w:sz="4" w:space="0" w:color="auto"/>
            </w:tcBorders>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4.3.4.3.</w:t>
            </w:r>
          </w:p>
        </w:tc>
        <w:tc>
          <w:tcPr>
            <w:tcW w:w="1547" w:type="dxa"/>
            <w:tcBorders>
              <w:top w:val="single" w:sz="4" w:space="0" w:color="auto"/>
              <w:left w:val="single" w:sz="4" w:space="0" w:color="auto"/>
              <w:bottom w:val="single" w:sz="4" w:space="0" w:color="auto"/>
              <w:right w:val="single" w:sz="4" w:space="0" w:color="auto"/>
            </w:tcBorders>
            <w:vAlign w:val="center"/>
            <w:hideMark/>
          </w:tcPr>
          <w:p w:rsidR="00A64028" w:rsidRPr="00272625" w:rsidRDefault="00A64028" w:rsidP="00272625">
            <w:pPr>
              <w:spacing w:after="0" w:line="240" w:lineRule="auto"/>
              <w:ind w:left="153" w:right="132"/>
              <w:jc w:val="both"/>
              <w:rPr>
                <w:rFonts w:ascii="Arial Narrow" w:hAnsi="Arial Narrow"/>
                <w:sz w:val="18"/>
                <w:szCs w:val="18"/>
              </w:rPr>
            </w:pPr>
            <w:r w:rsidRPr="00272625">
              <w:rPr>
                <w:rFonts w:ascii="Arial Narrow" w:hAnsi="Arial Narrow"/>
                <w:sz w:val="18"/>
                <w:szCs w:val="18"/>
              </w:rPr>
              <w:t>Удовлетворены стоимостью подключения, %</w:t>
            </w:r>
          </w:p>
        </w:tc>
        <w:tc>
          <w:tcPr>
            <w:tcW w:w="641"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20,3%</w:t>
            </w:r>
          </w:p>
        </w:tc>
        <w:tc>
          <w:tcPr>
            <w:tcW w:w="495"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0,0%</w:t>
            </w:r>
          </w:p>
        </w:tc>
        <w:tc>
          <w:tcPr>
            <w:tcW w:w="568"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0,0%</w:t>
            </w: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12,0%</w:t>
            </w:r>
          </w:p>
        </w:tc>
        <w:tc>
          <w:tcPr>
            <w:tcW w:w="431"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21,4%</w:t>
            </w:r>
          </w:p>
        </w:tc>
        <w:tc>
          <w:tcPr>
            <w:tcW w:w="562"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12,0%</w:t>
            </w:r>
          </w:p>
        </w:tc>
        <w:tc>
          <w:tcPr>
            <w:tcW w:w="566"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12,0%</w:t>
            </w: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21,4%</w:t>
            </w:r>
          </w:p>
        </w:tc>
        <w:tc>
          <w:tcPr>
            <w:tcW w:w="491"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17,2%</w:t>
            </w:r>
          </w:p>
        </w:tc>
        <w:tc>
          <w:tcPr>
            <w:tcW w:w="446"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0,0%</w:t>
            </w:r>
          </w:p>
        </w:tc>
        <w:tc>
          <w:tcPr>
            <w:tcW w:w="546"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8,0%</w:t>
            </w: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8,0%</w:t>
            </w: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24,0%</w:t>
            </w: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10,0%</w:t>
            </w:r>
          </w:p>
        </w:tc>
      </w:tr>
      <w:tr w:rsidR="00A64028" w:rsidRPr="00272625" w:rsidTr="00A6402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9" w:type="dxa"/>
        </w:trPr>
        <w:tc>
          <w:tcPr>
            <w:tcW w:w="721" w:type="dxa"/>
            <w:tcBorders>
              <w:top w:val="single" w:sz="4" w:space="0" w:color="auto"/>
              <w:left w:val="single" w:sz="4" w:space="0" w:color="auto"/>
              <w:bottom w:val="single" w:sz="4" w:space="0" w:color="auto"/>
              <w:right w:val="single" w:sz="4" w:space="0" w:color="auto"/>
            </w:tcBorders>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4.3.4.4.</w:t>
            </w:r>
          </w:p>
        </w:tc>
        <w:tc>
          <w:tcPr>
            <w:tcW w:w="1547" w:type="dxa"/>
            <w:tcBorders>
              <w:top w:val="single" w:sz="4" w:space="0" w:color="auto"/>
              <w:left w:val="single" w:sz="4" w:space="0" w:color="auto"/>
              <w:bottom w:val="single" w:sz="4" w:space="0" w:color="auto"/>
              <w:right w:val="single" w:sz="4" w:space="0" w:color="auto"/>
            </w:tcBorders>
            <w:vAlign w:val="center"/>
            <w:hideMark/>
          </w:tcPr>
          <w:p w:rsidR="00A64028" w:rsidRPr="00272625" w:rsidRDefault="00A64028" w:rsidP="00272625">
            <w:pPr>
              <w:spacing w:after="0" w:line="240" w:lineRule="auto"/>
              <w:ind w:left="153" w:right="132"/>
              <w:jc w:val="both"/>
              <w:rPr>
                <w:rFonts w:ascii="Arial Narrow" w:hAnsi="Arial Narrow"/>
                <w:sz w:val="18"/>
                <w:szCs w:val="18"/>
              </w:rPr>
            </w:pPr>
            <w:r w:rsidRPr="00272625">
              <w:rPr>
                <w:rFonts w:ascii="Arial Narrow" w:hAnsi="Arial Narrow"/>
                <w:sz w:val="18"/>
                <w:szCs w:val="18"/>
              </w:rPr>
              <w:t>Удовлетворены стоимостью предоставляемых услуг, %</w:t>
            </w:r>
          </w:p>
        </w:tc>
        <w:tc>
          <w:tcPr>
            <w:tcW w:w="641"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33,4%</w:t>
            </w:r>
          </w:p>
        </w:tc>
        <w:tc>
          <w:tcPr>
            <w:tcW w:w="495"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70,0%</w:t>
            </w:r>
          </w:p>
        </w:tc>
        <w:tc>
          <w:tcPr>
            <w:tcW w:w="568"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60,0%</w:t>
            </w: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40,0%</w:t>
            </w:r>
          </w:p>
        </w:tc>
        <w:tc>
          <w:tcPr>
            <w:tcW w:w="431"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41,4%</w:t>
            </w:r>
          </w:p>
        </w:tc>
        <w:tc>
          <w:tcPr>
            <w:tcW w:w="562"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36,0%</w:t>
            </w:r>
          </w:p>
        </w:tc>
        <w:tc>
          <w:tcPr>
            <w:tcW w:w="566"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24,0%</w:t>
            </w: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35,7%</w:t>
            </w:r>
          </w:p>
        </w:tc>
        <w:tc>
          <w:tcPr>
            <w:tcW w:w="491"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30,6%</w:t>
            </w:r>
          </w:p>
        </w:tc>
        <w:tc>
          <w:tcPr>
            <w:tcW w:w="446"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15,0%</w:t>
            </w:r>
          </w:p>
        </w:tc>
        <w:tc>
          <w:tcPr>
            <w:tcW w:w="546"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32,0%</w:t>
            </w: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48,0%</w:t>
            </w: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27,0%</w:t>
            </w: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30,0%</w:t>
            </w:r>
          </w:p>
        </w:tc>
      </w:tr>
      <w:tr w:rsidR="00A64028" w:rsidRPr="00272625" w:rsidTr="00A6402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9" w:type="dxa"/>
        </w:trPr>
        <w:tc>
          <w:tcPr>
            <w:tcW w:w="721" w:type="dxa"/>
            <w:tcBorders>
              <w:top w:val="single" w:sz="4" w:space="0" w:color="auto"/>
              <w:left w:val="single" w:sz="4" w:space="0" w:color="auto"/>
              <w:bottom w:val="single" w:sz="4" w:space="0" w:color="auto"/>
              <w:right w:val="single" w:sz="4" w:space="0" w:color="auto"/>
            </w:tcBorders>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4.3.4.5.</w:t>
            </w:r>
          </w:p>
        </w:tc>
        <w:tc>
          <w:tcPr>
            <w:tcW w:w="1547" w:type="dxa"/>
            <w:tcBorders>
              <w:top w:val="single" w:sz="4" w:space="0" w:color="auto"/>
              <w:left w:val="single" w:sz="4" w:space="0" w:color="auto"/>
              <w:bottom w:val="single" w:sz="4" w:space="0" w:color="auto"/>
              <w:right w:val="single" w:sz="4" w:space="0" w:color="auto"/>
            </w:tcBorders>
            <w:vAlign w:val="center"/>
            <w:hideMark/>
          </w:tcPr>
          <w:p w:rsidR="00A64028" w:rsidRPr="00272625" w:rsidRDefault="00A64028" w:rsidP="00272625">
            <w:pPr>
              <w:spacing w:after="0" w:line="240" w:lineRule="auto"/>
              <w:ind w:left="153" w:right="132"/>
              <w:jc w:val="both"/>
              <w:rPr>
                <w:rFonts w:ascii="Arial Narrow" w:hAnsi="Arial Narrow"/>
                <w:sz w:val="18"/>
                <w:szCs w:val="18"/>
              </w:rPr>
            </w:pPr>
            <w:r w:rsidRPr="00272625">
              <w:rPr>
                <w:rFonts w:ascii="Arial Narrow" w:hAnsi="Arial Narrow"/>
                <w:sz w:val="18"/>
                <w:szCs w:val="18"/>
              </w:rPr>
              <w:t>Удовлетворены качеством предоставляемых услуг, %</w:t>
            </w:r>
          </w:p>
        </w:tc>
        <w:tc>
          <w:tcPr>
            <w:tcW w:w="641"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61,5%</w:t>
            </w:r>
          </w:p>
        </w:tc>
        <w:tc>
          <w:tcPr>
            <w:tcW w:w="495"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70,0%</w:t>
            </w:r>
          </w:p>
        </w:tc>
        <w:tc>
          <w:tcPr>
            <w:tcW w:w="568"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60,0%</w:t>
            </w: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72,0%</w:t>
            </w:r>
          </w:p>
        </w:tc>
        <w:tc>
          <w:tcPr>
            <w:tcW w:w="431"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77,1%</w:t>
            </w:r>
          </w:p>
        </w:tc>
        <w:tc>
          <w:tcPr>
            <w:tcW w:w="562"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76,0%</w:t>
            </w:r>
          </w:p>
        </w:tc>
        <w:tc>
          <w:tcPr>
            <w:tcW w:w="566"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60,0%</w:t>
            </w: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72,9%</w:t>
            </w:r>
          </w:p>
        </w:tc>
        <w:tc>
          <w:tcPr>
            <w:tcW w:w="491"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60,0%</w:t>
            </w:r>
          </w:p>
        </w:tc>
        <w:tc>
          <w:tcPr>
            <w:tcW w:w="446"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50,0%</w:t>
            </w:r>
          </w:p>
        </w:tc>
        <w:tc>
          <w:tcPr>
            <w:tcW w:w="546"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64,0%</w:t>
            </w: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72,0%</w:t>
            </w: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50,0%</w:t>
            </w: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A64028" w:rsidRPr="00272625" w:rsidRDefault="00A64028" w:rsidP="00272625">
            <w:pPr>
              <w:spacing w:after="0" w:line="240" w:lineRule="auto"/>
              <w:jc w:val="center"/>
              <w:rPr>
                <w:rFonts w:ascii="Arial Narrow" w:hAnsi="Arial Narrow"/>
                <w:sz w:val="18"/>
                <w:szCs w:val="18"/>
              </w:rPr>
            </w:pPr>
            <w:r w:rsidRPr="00272625">
              <w:rPr>
                <w:rFonts w:ascii="Arial Narrow" w:hAnsi="Arial Narrow"/>
                <w:sz w:val="18"/>
                <w:szCs w:val="18"/>
              </w:rPr>
              <w:t>40,0%</w:t>
            </w:r>
          </w:p>
        </w:tc>
      </w:tr>
    </w:tbl>
    <w:p w:rsidR="00A64028" w:rsidRDefault="00A64028" w:rsidP="00103148">
      <w:pPr>
        <w:spacing w:after="0" w:line="360" w:lineRule="auto"/>
        <w:ind w:firstLine="284"/>
        <w:jc w:val="both"/>
        <w:rPr>
          <w:rFonts w:ascii="Arial Narrow" w:hAnsi="Arial Narrow"/>
          <w:sz w:val="24"/>
          <w:szCs w:val="24"/>
        </w:rPr>
      </w:pPr>
    </w:p>
    <w:p w:rsidR="00A64028" w:rsidRPr="00B07AB8" w:rsidRDefault="00A64028" w:rsidP="00103148">
      <w:pPr>
        <w:spacing w:after="0" w:line="360" w:lineRule="auto"/>
        <w:ind w:firstLine="284"/>
        <w:jc w:val="both"/>
        <w:rPr>
          <w:rFonts w:ascii="Arial Narrow" w:hAnsi="Arial Narrow" w:cs="Arial"/>
          <w:b/>
          <w:sz w:val="24"/>
          <w:szCs w:val="24"/>
        </w:rPr>
      </w:pPr>
      <w:r w:rsidRPr="00B07AB8">
        <w:rPr>
          <w:rFonts w:ascii="Arial Narrow" w:hAnsi="Arial Narrow" w:cs="Arial"/>
          <w:b/>
          <w:sz w:val="24"/>
          <w:szCs w:val="24"/>
        </w:rPr>
        <w:t xml:space="preserve">Значения показателя 4.3. Доля субъектов предпринимательской деятельности, взаимодействующих прямо или косвенно в экономической деятельности с субъектами естественных монополий, удовлетворенных сроками получения доступа к услугам естественных монополий, сложностью процедур подключения, стоимостью подключения, </w:t>
      </w:r>
      <w:r w:rsidRPr="00B07AB8">
        <w:rPr>
          <w:rFonts w:ascii="Arial Narrow" w:hAnsi="Arial Narrow" w:cs="Arial"/>
          <w:b/>
          <w:sz w:val="24"/>
          <w:szCs w:val="24"/>
        </w:rPr>
        <w:lastRenderedPageBreak/>
        <w:t>качеством предоставляемых товаров/услуг субъектами естественных монополий, стоимостью предоставляемых услуг, % от числа опрошенных</w:t>
      </w:r>
    </w:p>
    <w:p w:rsidR="00A64028" w:rsidRPr="00B07AB8" w:rsidRDefault="00A64028" w:rsidP="00103148">
      <w:pPr>
        <w:spacing w:after="0" w:line="360" w:lineRule="auto"/>
        <w:ind w:firstLine="284"/>
        <w:jc w:val="both"/>
        <w:rPr>
          <w:rFonts w:ascii="Arial Narrow" w:hAnsi="Arial Narrow"/>
          <w:sz w:val="24"/>
          <w:szCs w:val="24"/>
        </w:rPr>
      </w:pPr>
      <w:r w:rsidRPr="00B07AB8">
        <w:rPr>
          <w:rFonts w:ascii="Arial Narrow" w:hAnsi="Arial Narrow"/>
          <w:b/>
          <w:sz w:val="24"/>
          <w:szCs w:val="24"/>
        </w:rPr>
        <w:t>Удовлетворенность параметрами качества услуг водоснабжения.</w:t>
      </w:r>
      <w:r w:rsidRPr="00B07AB8">
        <w:rPr>
          <w:rFonts w:ascii="Arial Narrow" w:hAnsi="Arial Narrow"/>
          <w:sz w:val="24"/>
          <w:szCs w:val="24"/>
        </w:rPr>
        <w:t xml:space="preserve"> Среди всех показателей удовлетворенности услугами водоснабжения/водоотведения субъекты предпринимательства в наибольшей мере удовлетворены качеством предоставляемых услуг (62,6 %). Остальными показателями удовлетворены менее 50 % опрошенных (в порядке снижения удовлетворенности): стоимостью предоставляемых услуг удовлетворены 38,7 % респондентов, сроками получения доступа к услугам – 36,9 %, сложностью (количеством) процедур подключения – 29,1 %, стоимостью подключения – 22,3 %.</w:t>
      </w:r>
    </w:p>
    <w:p w:rsidR="00A64028" w:rsidRPr="00B07AB8" w:rsidRDefault="00A64028" w:rsidP="00103148">
      <w:pPr>
        <w:spacing w:after="0" w:line="360" w:lineRule="auto"/>
        <w:ind w:firstLine="284"/>
        <w:jc w:val="both"/>
        <w:rPr>
          <w:rFonts w:ascii="Arial Narrow" w:hAnsi="Arial Narrow"/>
          <w:sz w:val="24"/>
          <w:szCs w:val="24"/>
        </w:rPr>
      </w:pPr>
      <w:r w:rsidRPr="00B07AB8">
        <w:rPr>
          <w:rFonts w:ascii="Arial Narrow" w:hAnsi="Arial Narrow"/>
          <w:b/>
          <w:sz w:val="24"/>
          <w:szCs w:val="24"/>
        </w:rPr>
        <w:t>Удовлетворенность параметрами качества услуг газоснабжения.</w:t>
      </w:r>
      <w:r w:rsidRPr="00B07AB8">
        <w:rPr>
          <w:rFonts w:ascii="Arial Narrow" w:hAnsi="Arial Narrow"/>
          <w:sz w:val="24"/>
          <w:szCs w:val="24"/>
        </w:rPr>
        <w:t xml:space="preserve"> Среди всех показателей удовлетворенности услугами газоснабжения субъекты предпринимательства в наибольшей мере удовлетворены качеством предоставляемых услуг (52,4 %). Остальными показателями удовлетворены менее 50 % опрошенных (в порядке снижения удовлетворенности): стоимостью предоставляемых услуг удовлетворены 29,5 % респондентов, сроками получения доступа к услугам – 29,3 %, сложностью (количеством) процедур подключения – 23,4 %, стоимостью подключения – 16,7 %.</w:t>
      </w:r>
    </w:p>
    <w:p w:rsidR="00A64028" w:rsidRPr="00B07AB8" w:rsidRDefault="00A64028" w:rsidP="00103148">
      <w:pPr>
        <w:spacing w:after="0" w:line="360" w:lineRule="auto"/>
        <w:ind w:firstLine="284"/>
        <w:jc w:val="both"/>
        <w:rPr>
          <w:rFonts w:ascii="Arial Narrow" w:hAnsi="Arial Narrow"/>
          <w:sz w:val="24"/>
          <w:szCs w:val="24"/>
        </w:rPr>
      </w:pPr>
      <w:r w:rsidRPr="00B07AB8">
        <w:rPr>
          <w:rFonts w:ascii="Arial Narrow" w:hAnsi="Arial Narrow"/>
          <w:b/>
          <w:sz w:val="24"/>
          <w:szCs w:val="24"/>
        </w:rPr>
        <w:t>Удовлетворенность параметрами качества услуг электроснабжения.</w:t>
      </w:r>
      <w:r w:rsidRPr="00B07AB8">
        <w:rPr>
          <w:rFonts w:ascii="Arial Narrow" w:hAnsi="Arial Narrow"/>
          <w:sz w:val="24"/>
          <w:szCs w:val="24"/>
        </w:rPr>
        <w:t xml:space="preserve"> Среди всех показателей удовлетворенности услугами электроснабжения субъекты предпринимательства в наибольшей мере удовлетворены качеством предоставляемых услуг (65,6 %). Остальными показателями удовлетворены менее 50 % опрошенных (в порядке снижения удовлетворенности): стоимостью предоставляемых услуг удовлетворены 34,5 % респондентов, сроками получения доступа к услугам – 36,8 %, сложностью (количеством) процедур подключения – 29,0 %, стоимостью подключения – 21,6 %.</w:t>
      </w:r>
    </w:p>
    <w:p w:rsidR="00A64028" w:rsidRPr="00B07AB8" w:rsidRDefault="00A64028" w:rsidP="00103148">
      <w:pPr>
        <w:spacing w:after="0" w:line="360" w:lineRule="auto"/>
        <w:ind w:firstLine="284"/>
        <w:jc w:val="both"/>
        <w:rPr>
          <w:rFonts w:ascii="Arial Narrow" w:hAnsi="Arial Narrow"/>
          <w:sz w:val="24"/>
          <w:szCs w:val="24"/>
        </w:rPr>
      </w:pPr>
      <w:r w:rsidRPr="00B07AB8">
        <w:rPr>
          <w:rFonts w:ascii="Arial Narrow" w:hAnsi="Arial Narrow"/>
          <w:b/>
          <w:sz w:val="24"/>
          <w:szCs w:val="24"/>
        </w:rPr>
        <w:t>Удовлетворенность параметрами качества услуг теплоснабжения.</w:t>
      </w:r>
      <w:r w:rsidRPr="00B07AB8">
        <w:rPr>
          <w:rFonts w:ascii="Arial Narrow" w:hAnsi="Arial Narrow"/>
          <w:sz w:val="24"/>
          <w:szCs w:val="24"/>
        </w:rPr>
        <w:t xml:space="preserve"> Среди всех показателей удовлетворенности услугами теплоснабжения субъекты предпринимательства в наибольшей мере удовлетворены качеством предоставляемых услуг (61,5 %). Остальными показателями удовлетворены менее 50 % опрошенных (в порядке снижения удовлетворенности): стоимостью предоставляемых услуг удовлетворены 33,4 % респондентов, сроками получения доступа к услугам – 35,3 %, сложностью (количеством) процедур подключения – 28,0 %, стоимостью подключения – 20,3 %.</w:t>
      </w:r>
    </w:p>
    <w:p w:rsidR="00A64028" w:rsidRPr="00B07AB8" w:rsidRDefault="00A64028" w:rsidP="00103148">
      <w:pPr>
        <w:spacing w:after="0" w:line="360" w:lineRule="auto"/>
        <w:ind w:firstLine="284"/>
        <w:jc w:val="both"/>
        <w:rPr>
          <w:rFonts w:ascii="Arial Narrow" w:hAnsi="Arial Narrow"/>
          <w:sz w:val="24"/>
          <w:szCs w:val="24"/>
        </w:rPr>
      </w:pPr>
      <w:r w:rsidRPr="00B07AB8">
        <w:rPr>
          <w:rFonts w:ascii="Arial Narrow" w:hAnsi="Arial Narrow"/>
          <w:sz w:val="24"/>
          <w:szCs w:val="24"/>
        </w:rPr>
        <w:t xml:space="preserve">Таким образом, субъекты предпринимательства в наименьшей мере удовлетворены параметрами услуг, связанными с их подключением, и в особенности – стоимостью подключения (от 16,7 до 22,3 % для различных естественных монополий). Наибольшая удовлетворенность высказана в отношении качества услуг (от 52,4 до 65,6 % для различных естественных монополий). Стоимостью предоставляемых услуг удовлетворены от 29,5% до 38,7% опрошенных субъектов предпринимательства. Различия в оценках основаны на отдельных параметрах качества всех услуг (стоимость, качество и т.д.), а не на отдельных услугах. Отдельные услуги, предоставляемые </w:t>
      </w:r>
      <w:r w:rsidRPr="00B07AB8">
        <w:rPr>
          <w:rFonts w:ascii="Arial Narrow" w:hAnsi="Arial Narrow"/>
          <w:sz w:val="24"/>
          <w:szCs w:val="24"/>
        </w:rPr>
        <w:lastRenderedPageBreak/>
        <w:t xml:space="preserve">естественными монополиями (электроснабжение, газоснабжение и т.д.), не имеют существенных отличий в оценках от остальных услуг. </w:t>
      </w:r>
    </w:p>
    <w:p w:rsidR="00272625" w:rsidRDefault="00272625" w:rsidP="00103148">
      <w:pPr>
        <w:spacing w:after="0"/>
        <w:rPr>
          <w:rFonts w:ascii="Arial Narrow" w:hAnsi="Arial Narrow"/>
          <w:sz w:val="24"/>
          <w:szCs w:val="24"/>
        </w:rPr>
      </w:pPr>
    </w:p>
    <w:p w:rsidR="00A64028" w:rsidRPr="00B07AB8" w:rsidRDefault="00F170CC" w:rsidP="00272625">
      <w:pPr>
        <w:spacing w:after="0" w:line="240" w:lineRule="auto"/>
        <w:rPr>
          <w:rFonts w:ascii="Arial Narrow" w:hAnsi="Arial Narrow"/>
          <w:sz w:val="24"/>
          <w:szCs w:val="24"/>
        </w:rPr>
      </w:pPr>
      <w:r>
        <w:rPr>
          <w:rFonts w:ascii="Arial Narrow" w:hAnsi="Arial Narrow"/>
          <w:sz w:val="24"/>
          <w:szCs w:val="24"/>
        </w:rPr>
        <w:t>Таблица 7.53</w:t>
      </w:r>
      <w:r w:rsidR="00262F71">
        <w:rPr>
          <w:rFonts w:ascii="Arial Narrow" w:hAnsi="Arial Narrow"/>
          <w:sz w:val="24"/>
          <w:szCs w:val="24"/>
        </w:rPr>
        <w:t>.</w:t>
      </w:r>
      <w:r w:rsidR="00A64028" w:rsidRPr="00B07AB8">
        <w:rPr>
          <w:rFonts w:ascii="Arial Narrow" w:hAnsi="Arial Narrow"/>
          <w:sz w:val="24"/>
          <w:szCs w:val="24"/>
        </w:rPr>
        <w:t xml:space="preserve"> – </w:t>
      </w:r>
      <w:r w:rsidR="00A64028" w:rsidRPr="00B07AB8">
        <w:rPr>
          <w:rFonts w:ascii="Arial Narrow" w:hAnsi="Arial Narrow" w:cs="Arial"/>
          <w:b/>
          <w:sz w:val="24"/>
          <w:szCs w:val="24"/>
        </w:rPr>
        <w:t>Значения показателя 4.3. Доля субъектов предпринимательской деятельности, взаимодействующих прямо или косвенно в экономической деятельности с субъектами естественных монополий, удовлетворенных сроками получения доступа к услугам естественных монополий, сложностью процедур подключения, стоимостью подключения, качеством предоставляемых товаров/услуг субъектами естественных монополий, стоимостью предоставляемых услуг, % от числа опрошенных</w:t>
      </w:r>
    </w:p>
    <w:tbl>
      <w:tblPr>
        <w:tblW w:w="9711" w:type="dxa"/>
        <w:tblInd w:w="5" w:type="dxa"/>
        <w:tblLayout w:type="fixed"/>
        <w:tblCellMar>
          <w:left w:w="0" w:type="dxa"/>
          <w:right w:w="0" w:type="dxa"/>
        </w:tblCellMar>
        <w:tblLook w:val="04A0"/>
      </w:tblPr>
      <w:tblGrid>
        <w:gridCol w:w="720"/>
        <w:gridCol w:w="1407"/>
        <w:gridCol w:w="640"/>
        <w:gridCol w:w="494"/>
        <w:gridCol w:w="567"/>
        <w:gridCol w:w="567"/>
        <w:gridCol w:w="431"/>
        <w:gridCol w:w="562"/>
        <w:gridCol w:w="566"/>
        <w:gridCol w:w="567"/>
        <w:gridCol w:w="491"/>
        <w:gridCol w:w="446"/>
        <w:gridCol w:w="546"/>
        <w:gridCol w:w="567"/>
        <w:gridCol w:w="567"/>
        <w:gridCol w:w="567"/>
        <w:gridCol w:w="6"/>
      </w:tblGrid>
      <w:tr w:rsidR="00A64028" w:rsidRPr="00507E3F" w:rsidTr="006A7039">
        <w:trPr>
          <w:gridAfter w:val="1"/>
          <w:wAfter w:w="6" w:type="dxa"/>
          <w:cantSplit/>
          <w:trHeight w:val="4027"/>
        </w:trPr>
        <w:tc>
          <w:tcPr>
            <w:tcW w:w="7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w:t>
            </w:r>
          </w:p>
        </w:tc>
        <w:tc>
          <w:tcPr>
            <w:tcW w:w="1407" w:type="dxa"/>
            <w:tcBorders>
              <w:top w:val="single" w:sz="4" w:space="0" w:color="auto"/>
              <w:left w:val="nil"/>
              <w:bottom w:val="single" w:sz="4" w:space="0" w:color="auto"/>
              <w:right w:val="single" w:sz="4" w:space="0" w:color="auto"/>
            </w:tcBorders>
            <w:shd w:val="clear" w:color="auto" w:fill="auto"/>
            <w:vAlign w:val="center"/>
            <w:hideMark/>
          </w:tcPr>
          <w:p w:rsidR="00A64028" w:rsidRPr="00507E3F" w:rsidRDefault="00A64028" w:rsidP="006A7039">
            <w:pPr>
              <w:spacing w:after="0" w:line="240" w:lineRule="auto"/>
              <w:jc w:val="center"/>
              <w:rPr>
                <w:rFonts w:ascii="Arial Narrow" w:hAnsi="Arial Narrow"/>
                <w:sz w:val="18"/>
                <w:szCs w:val="18"/>
              </w:rPr>
            </w:pPr>
            <w:r w:rsidRPr="00507E3F">
              <w:rPr>
                <w:rFonts w:ascii="Arial Narrow" w:hAnsi="Arial Narrow"/>
                <w:sz w:val="18"/>
                <w:szCs w:val="18"/>
              </w:rPr>
              <w:t>Наименование показателя, единица измерения</w:t>
            </w:r>
          </w:p>
        </w:tc>
        <w:tc>
          <w:tcPr>
            <w:tcW w:w="640" w:type="dxa"/>
            <w:tcBorders>
              <w:top w:val="single" w:sz="4" w:space="0" w:color="auto"/>
              <w:left w:val="nil"/>
              <w:bottom w:val="single" w:sz="4" w:space="0" w:color="auto"/>
              <w:right w:val="single" w:sz="4" w:space="0" w:color="auto"/>
            </w:tcBorders>
            <w:shd w:val="clear" w:color="auto" w:fill="auto"/>
            <w:textDirection w:val="btLr"/>
            <w:vAlign w:val="center"/>
            <w:hideMark/>
          </w:tcPr>
          <w:p w:rsidR="00A64028" w:rsidRPr="00507E3F" w:rsidRDefault="00A64028" w:rsidP="006A7039">
            <w:pPr>
              <w:spacing w:after="0" w:line="240" w:lineRule="auto"/>
              <w:ind w:left="113" w:right="113"/>
              <w:jc w:val="center"/>
              <w:rPr>
                <w:rFonts w:ascii="Arial Narrow" w:hAnsi="Arial Narrow"/>
                <w:sz w:val="18"/>
                <w:szCs w:val="18"/>
              </w:rPr>
            </w:pPr>
            <w:r w:rsidRPr="00507E3F">
              <w:rPr>
                <w:rFonts w:ascii="Arial Narrow" w:hAnsi="Arial Narrow"/>
                <w:sz w:val="18"/>
                <w:szCs w:val="18"/>
              </w:rPr>
              <w:t>Общий по Новосибирской области</w:t>
            </w:r>
          </w:p>
        </w:tc>
        <w:tc>
          <w:tcPr>
            <w:tcW w:w="494" w:type="dxa"/>
            <w:tcBorders>
              <w:top w:val="single" w:sz="4" w:space="0" w:color="auto"/>
              <w:left w:val="nil"/>
              <w:bottom w:val="single" w:sz="4" w:space="0" w:color="auto"/>
              <w:right w:val="single" w:sz="4" w:space="0" w:color="auto"/>
            </w:tcBorders>
            <w:shd w:val="clear" w:color="auto" w:fill="auto"/>
            <w:noWrap/>
            <w:textDirection w:val="btLr"/>
            <w:vAlign w:val="center"/>
            <w:hideMark/>
          </w:tcPr>
          <w:p w:rsidR="00A64028" w:rsidRPr="00507E3F" w:rsidRDefault="00A64028" w:rsidP="006A7039">
            <w:pPr>
              <w:spacing w:after="0" w:line="240" w:lineRule="auto"/>
              <w:ind w:left="113" w:right="113"/>
              <w:jc w:val="center"/>
              <w:rPr>
                <w:rFonts w:ascii="Arial Narrow" w:hAnsi="Arial Narrow"/>
                <w:sz w:val="18"/>
                <w:szCs w:val="18"/>
              </w:rPr>
            </w:pPr>
            <w:r w:rsidRPr="00507E3F">
              <w:rPr>
                <w:rFonts w:ascii="Arial Narrow" w:hAnsi="Arial Narrow"/>
                <w:sz w:val="18"/>
                <w:szCs w:val="18"/>
              </w:rPr>
              <w:t>Рынок услуг дошкольного образования (коммерческие детские сады и учреждения пребывания неполного дня)</w:t>
            </w:r>
          </w:p>
        </w:tc>
        <w:tc>
          <w:tcPr>
            <w:tcW w:w="567" w:type="dxa"/>
            <w:tcBorders>
              <w:top w:val="single" w:sz="4" w:space="0" w:color="auto"/>
              <w:left w:val="nil"/>
              <w:bottom w:val="single" w:sz="4" w:space="0" w:color="auto"/>
              <w:right w:val="single" w:sz="4" w:space="0" w:color="auto"/>
            </w:tcBorders>
            <w:shd w:val="clear" w:color="auto" w:fill="auto"/>
            <w:noWrap/>
            <w:textDirection w:val="btLr"/>
            <w:vAlign w:val="center"/>
            <w:hideMark/>
          </w:tcPr>
          <w:p w:rsidR="00A64028" w:rsidRPr="00507E3F" w:rsidRDefault="00A64028" w:rsidP="006A7039">
            <w:pPr>
              <w:spacing w:after="0" w:line="240" w:lineRule="auto"/>
              <w:ind w:left="113" w:right="113"/>
              <w:jc w:val="center"/>
              <w:rPr>
                <w:rFonts w:ascii="Arial Narrow" w:hAnsi="Arial Narrow"/>
                <w:sz w:val="18"/>
                <w:szCs w:val="18"/>
              </w:rPr>
            </w:pPr>
            <w:r w:rsidRPr="00507E3F">
              <w:rPr>
                <w:rFonts w:ascii="Arial Narrow" w:hAnsi="Arial Narrow"/>
                <w:sz w:val="18"/>
                <w:szCs w:val="18"/>
              </w:rPr>
              <w:t>Рынок услуг детского отдыха и оздоровления</w:t>
            </w:r>
          </w:p>
        </w:tc>
        <w:tc>
          <w:tcPr>
            <w:tcW w:w="567" w:type="dxa"/>
            <w:tcBorders>
              <w:top w:val="single" w:sz="4" w:space="0" w:color="auto"/>
              <w:left w:val="nil"/>
              <w:bottom w:val="single" w:sz="4" w:space="0" w:color="auto"/>
              <w:right w:val="single" w:sz="4" w:space="0" w:color="auto"/>
            </w:tcBorders>
            <w:shd w:val="clear" w:color="auto" w:fill="auto"/>
            <w:noWrap/>
            <w:textDirection w:val="btLr"/>
            <w:vAlign w:val="center"/>
            <w:hideMark/>
          </w:tcPr>
          <w:p w:rsidR="00A64028" w:rsidRPr="00507E3F" w:rsidRDefault="00A64028" w:rsidP="006A7039">
            <w:pPr>
              <w:spacing w:after="0" w:line="240" w:lineRule="auto"/>
              <w:ind w:left="113" w:right="113"/>
              <w:jc w:val="center"/>
              <w:rPr>
                <w:rFonts w:ascii="Arial Narrow" w:hAnsi="Arial Narrow"/>
                <w:sz w:val="18"/>
                <w:szCs w:val="18"/>
              </w:rPr>
            </w:pPr>
            <w:r w:rsidRPr="00507E3F">
              <w:rPr>
                <w:rFonts w:ascii="Arial Narrow" w:hAnsi="Arial Narrow"/>
                <w:sz w:val="18"/>
                <w:szCs w:val="18"/>
              </w:rPr>
              <w:t>Рынок услуг дополнительного образования детей</w:t>
            </w:r>
          </w:p>
        </w:tc>
        <w:tc>
          <w:tcPr>
            <w:tcW w:w="431" w:type="dxa"/>
            <w:tcBorders>
              <w:top w:val="single" w:sz="4" w:space="0" w:color="auto"/>
              <w:left w:val="nil"/>
              <w:bottom w:val="single" w:sz="4" w:space="0" w:color="auto"/>
              <w:right w:val="single" w:sz="4" w:space="0" w:color="auto"/>
            </w:tcBorders>
            <w:shd w:val="clear" w:color="auto" w:fill="auto"/>
            <w:noWrap/>
            <w:textDirection w:val="btLr"/>
            <w:vAlign w:val="center"/>
            <w:hideMark/>
          </w:tcPr>
          <w:p w:rsidR="00A64028" w:rsidRPr="00507E3F" w:rsidRDefault="00A64028" w:rsidP="006A7039">
            <w:pPr>
              <w:spacing w:after="0" w:line="240" w:lineRule="auto"/>
              <w:ind w:left="113" w:right="113"/>
              <w:jc w:val="center"/>
              <w:rPr>
                <w:rFonts w:ascii="Arial Narrow" w:hAnsi="Arial Narrow"/>
                <w:sz w:val="18"/>
                <w:szCs w:val="18"/>
              </w:rPr>
            </w:pPr>
            <w:r w:rsidRPr="00507E3F">
              <w:rPr>
                <w:rFonts w:ascii="Arial Narrow" w:hAnsi="Arial Narrow"/>
                <w:sz w:val="18"/>
                <w:szCs w:val="18"/>
              </w:rPr>
              <w:t>Рынок медицинских услуг</w:t>
            </w:r>
          </w:p>
        </w:tc>
        <w:tc>
          <w:tcPr>
            <w:tcW w:w="562" w:type="dxa"/>
            <w:tcBorders>
              <w:top w:val="single" w:sz="4" w:space="0" w:color="auto"/>
              <w:left w:val="nil"/>
              <w:bottom w:val="single" w:sz="4" w:space="0" w:color="auto"/>
              <w:right w:val="single" w:sz="4" w:space="0" w:color="auto"/>
            </w:tcBorders>
            <w:shd w:val="clear" w:color="auto" w:fill="auto"/>
            <w:noWrap/>
            <w:textDirection w:val="btLr"/>
            <w:vAlign w:val="center"/>
            <w:hideMark/>
          </w:tcPr>
          <w:p w:rsidR="00A64028" w:rsidRPr="00507E3F" w:rsidRDefault="00A64028" w:rsidP="006A7039">
            <w:pPr>
              <w:spacing w:after="0" w:line="240" w:lineRule="auto"/>
              <w:ind w:left="113" w:right="113"/>
              <w:jc w:val="center"/>
              <w:rPr>
                <w:rFonts w:ascii="Arial Narrow" w:hAnsi="Arial Narrow"/>
                <w:sz w:val="18"/>
                <w:szCs w:val="18"/>
              </w:rPr>
            </w:pPr>
            <w:r w:rsidRPr="00507E3F">
              <w:rPr>
                <w:rFonts w:ascii="Arial Narrow" w:hAnsi="Arial Narrow"/>
                <w:sz w:val="18"/>
                <w:szCs w:val="18"/>
              </w:rPr>
              <w:t>Рынок услуг психолого-педагогического сопровождения детей с ограниченными возможностями здоровья</w:t>
            </w:r>
          </w:p>
        </w:tc>
        <w:tc>
          <w:tcPr>
            <w:tcW w:w="566" w:type="dxa"/>
            <w:tcBorders>
              <w:top w:val="single" w:sz="4" w:space="0" w:color="auto"/>
              <w:left w:val="nil"/>
              <w:bottom w:val="single" w:sz="4" w:space="0" w:color="auto"/>
              <w:right w:val="single" w:sz="4" w:space="0" w:color="auto"/>
            </w:tcBorders>
            <w:shd w:val="clear" w:color="auto" w:fill="auto"/>
            <w:noWrap/>
            <w:textDirection w:val="btLr"/>
            <w:vAlign w:val="center"/>
            <w:hideMark/>
          </w:tcPr>
          <w:p w:rsidR="00A64028" w:rsidRPr="00507E3F" w:rsidRDefault="00A64028" w:rsidP="006A7039">
            <w:pPr>
              <w:spacing w:after="0" w:line="240" w:lineRule="auto"/>
              <w:ind w:left="113" w:right="113"/>
              <w:jc w:val="center"/>
              <w:rPr>
                <w:rFonts w:ascii="Arial Narrow" w:hAnsi="Arial Narrow"/>
                <w:sz w:val="18"/>
                <w:szCs w:val="18"/>
              </w:rPr>
            </w:pPr>
            <w:r w:rsidRPr="00507E3F">
              <w:rPr>
                <w:rFonts w:ascii="Arial Narrow" w:hAnsi="Arial Narrow"/>
                <w:sz w:val="18"/>
                <w:szCs w:val="18"/>
              </w:rPr>
              <w:t>Рынок услуг в сфере культуры</w:t>
            </w:r>
          </w:p>
        </w:tc>
        <w:tc>
          <w:tcPr>
            <w:tcW w:w="567" w:type="dxa"/>
            <w:tcBorders>
              <w:top w:val="single" w:sz="4" w:space="0" w:color="auto"/>
              <w:left w:val="nil"/>
              <w:bottom w:val="single" w:sz="4" w:space="0" w:color="auto"/>
              <w:right w:val="single" w:sz="4" w:space="0" w:color="auto"/>
            </w:tcBorders>
            <w:shd w:val="clear" w:color="auto" w:fill="auto"/>
            <w:noWrap/>
            <w:textDirection w:val="btLr"/>
            <w:vAlign w:val="center"/>
            <w:hideMark/>
          </w:tcPr>
          <w:p w:rsidR="00A64028" w:rsidRPr="00507E3F" w:rsidRDefault="00A64028" w:rsidP="006A7039">
            <w:pPr>
              <w:spacing w:after="0" w:line="240" w:lineRule="auto"/>
              <w:ind w:left="113" w:right="113"/>
              <w:jc w:val="center"/>
              <w:rPr>
                <w:rFonts w:ascii="Arial Narrow" w:hAnsi="Arial Narrow"/>
                <w:sz w:val="18"/>
                <w:szCs w:val="18"/>
              </w:rPr>
            </w:pPr>
            <w:r w:rsidRPr="00507E3F">
              <w:rPr>
                <w:rFonts w:ascii="Arial Narrow" w:hAnsi="Arial Narrow"/>
                <w:sz w:val="18"/>
                <w:szCs w:val="18"/>
              </w:rPr>
              <w:t>Рынок услуг ЖКХ (управляющие компании)</w:t>
            </w:r>
          </w:p>
        </w:tc>
        <w:tc>
          <w:tcPr>
            <w:tcW w:w="491" w:type="dxa"/>
            <w:tcBorders>
              <w:top w:val="single" w:sz="4" w:space="0" w:color="auto"/>
              <w:left w:val="nil"/>
              <w:bottom w:val="single" w:sz="4" w:space="0" w:color="auto"/>
              <w:right w:val="single" w:sz="4" w:space="0" w:color="auto"/>
            </w:tcBorders>
            <w:shd w:val="clear" w:color="auto" w:fill="auto"/>
            <w:noWrap/>
            <w:textDirection w:val="btLr"/>
            <w:vAlign w:val="center"/>
            <w:hideMark/>
          </w:tcPr>
          <w:p w:rsidR="00A64028" w:rsidRPr="00507E3F" w:rsidRDefault="00A64028" w:rsidP="006A7039">
            <w:pPr>
              <w:spacing w:after="0" w:line="240" w:lineRule="auto"/>
              <w:ind w:left="113" w:right="113"/>
              <w:jc w:val="center"/>
              <w:rPr>
                <w:rFonts w:ascii="Arial Narrow" w:hAnsi="Arial Narrow"/>
                <w:sz w:val="18"/>
                <w:szCs w:val="18"/>
              </w:rPr>
            </w:pPr>
            <w:r w:rsidRPr="00507E3F">
              <w:rPr>
                <w:rFonts w:ascii="Arial Narrow" w:hAnsi="Arial Narrow"/>
                <w:sz w:val="18"/>
                <w:szCs w:val="18"/>
              </w:rPr>
              <w:t>Розничная торговля (продажа продуктов питания и непродовольственных товаров)</w:t>
            </w:r>
          </w:p>
        </w:tc>
        <w:tc>
          <w:tcPr>
            <w:tcW w:w="446" w:type="dxa"/>
            <w:tcBorders>
              <w:top w:val="single" w:sz="4" w:space="0" w:color="auto"/>
              <w:left w:val="nil"/>
              <w:bottom w:val="single" w:sz="4" w:space="0" w:color="auto"/>
              <w:right w:val="single" w:sz="4" w:space="0" w:color="auto"/>
            </w:tcBorders>
            <w:shd w:val="clear" w:color="auto" w:fill="auto"/>
            <w:noWrap/>
            <w:textDirection w:val="btLr"/>
            <w:vAlign w:val="center"/>
            <w:hideMark/>
          </w:tcPr>
          <w:p w:rsidR="00A64028" w:rsidRPr="00507E3F" w:rsidRDefault="00A64028" w:rsidP="006A7039">
            <w:pPr>
              <w:spacing w:after="0" w:line="240" w:lineRule="auto"/>
              <w:ind w:left="113" w:right="113"/>
              <w:jc w:val="center"/>
              <w:rPr>
                <w:rFonts w:ascii="Arial Narrow" w:hAnsi="Arial Narrow"/>
                <w:sz w:val="18"/>
                <w:szCs w:val="18"/>
              </w:rPr>
            </w:pPr>
            <w:r w:rsidRPr="00507E3F">
              <w:rPr>
                <w:rFonts w:ascii="Arial Narrow" w:hAnsi="Arial Narrow"/>
                <w:sz w:val="18"/>
                <w:szCs w:val="18"/>
              </w:rPr>
              <w:t>Рынок услуг перевозок пассажиров наземным транспортом (автобусные перевозки и такси)</w:t>
            </w:r>
          </w:p>
        </w:tc>
        <w:tc>
          <w:tcPr>
            <w:tcW w:w="546" w:type="dxa"/>
            <w:tcBorders>
              <w:top w:val="single" w:sz="4" w:space="0" w:color="auto"/>
              <w:left w:val="nil"/>
              <w:bottom w:val="single" w:sz="4" w:space="0" w:color="auto"/>
              <w:right w:val="single" w:sz="4" w:space="0" w:color="auto"/>
            </w:tcBorders>
            <w:shd w:val="clear" w:color="auto" w:fill="auto"/>
            <w:noWrap/>
            <w:textDirection w:val="btLr"/>
            <w:vAlign w:val="center"/>
            <w:hideMark/>
          </w:tcPr>
          <w:p w:rsidR="00A64028" w:rsidRPr="00507E3F" w:rsidRDefault="00A64028" w:rsidP="006A7039">
            <w:pPr>
              <w:spacing w:after="0" w:line="240" w:lineRule="auto"/>
              <w:ind w:left="113" w:right="113"/>
              <w:jc w:val="center"/>
              <w:rPr>
                <w:rFonts w:ascii="Arial Narrow" w:hAnsi="Arial Narrow"/>
                <w:sz w:val="18"/>
                <w:szCs w:val="18"/>
              </w:rPr>
            </w:pPr>
            <w:r w:rsidRPr="00507E3F">
              <w:rPr>
                <w:rFonts w:ascii="Arial Narrow" w:hAnsi="Arial Narrow"/>
                <w:sz w:val="18"/>
                <w:szCs w:val="18"/>
              </w:rPr>
              <w:t>Рынок услуг связи</w:t>
            </w:r>
          </w:p>
        </w:tc>
        <w:tc>
          <w:tcPr>
            <w:tcW w:w="567" w:type="dxa"/>
            <w:tcBorders>
              <w:top w:val="single" w:sz="4" w:space="0" w:color="auto"/>
              <w:left w:val="nil"/>
              <w:bottom w:val="single" w:sz="4" w:space="0" w:color="auto"/>
              <w:right w:val="single" w:sz="4" w:space="0" w:color="auto"/>
            </w:tcBorders>
            <w:shd w:val="clear" w:color="auto" w:fill="auto"/>
            <w:noWrap/>
            <w:textDirection w:val="btLr"/>
            <w:vAlign w:val="center"/>
            <w:hideMark/>
          </w:tcPr>
          <w:p w:rsidR="00A64028" w:rsidRPr="00507E3F" w:rsidRDefault="00A64028" w:rsidP="006A7039">
            <w:pPr>
              <w:spacing w:after="0" w:line="240" w:lineRule="auto"/>
              <w:ind w:left="113" w:right="113"/>
              <w:jc w:val="center"/>
              <w:rPr>
                <w:rFonts w:ascii="Arial Narrow" w:hAnsi="Arial Narrow"/>
                <w:sz w:val="18"/>
                <w:szCs w:val="18"/>
              </w:rPr>
            </w:pPr>
            <w:r w:rsidRPr="00507E3F">
              <w:rPr>
                <w:rFonts w:ascii="Arial Narrow" w:hAnsi="Arial Narrow"/>
                <w:sz w:val="18"/>
                <w:szCs w:val="18"/>
              </w:rPr>
              <w:t>Рынок услуг социального обслуживания населения</w:t>
            </w:r>
          </w:p>
        </w:tc>
        <w:tc>
          <w:tcPr>
            <w:tcW w:w="567" w:type="dxa"/>
            <w:tcBorders>
              <w:top w:val="single" w:sz="4" w:space="0" w:color="auto"/>
              <w:left w:val="nil"/>
              <w:bottom w:val="single" w:sz="4" w:space="0" w:color="auto"/>
              <w:right w:val="single" w:sz="4" w:space="0" w:color="auto"/>
            </w:tcBorders>
            <w:shd w:val="clear" w:color="auto" w:fill="auto"/>
            <w:noWrap/>
            <w:textDirection w:val="btLr"/>
            <w:vAlign w:val="center"/>
            <w:hideMark/>
          </w:tcPr>
          <w:p w:rsidR="00A64028" w:rsidRPr="00507E3F" w:rsidRDefault="00A64028" w:rsidP="006A7039">
            <w:pPr>
              <w:spacing w:after="0" w:line="240" w:lineRule="auto"/>
              <w:ind w:left="113" w:right="113"/>
              <w:jc w:val="center"/>
              <w:rPr>
                <w:rFonts w:ascii="Arial Narrow" w:hAnsi="Arial Narrow"/>
                <w:sz w:val="18"/>
                <w:szCs w:val="18"/>
              </w:rPr>
            </w:pPr>
            <w:r w:rsidRPr="00507E3F">
              <w:rPr>
                <w:rFonts w:ascii="Arial Narrow" w:hAnsi="Arial Narrow"/>
                <w:sz w:val="18"/>
                <w:szCs w:val="18"/>
              </w:rPr>
              <w:t>Рынок развития, производства, переработки и хранения сельскохозяйственной продукции</w:t>
            </w:r>
          </w:p>
        </w:tc>
        <w:tc>
          <w:tcPr>
            <w:tcW w:w="567" w:type="dxa"/>
            <w:tcBorders>
              <w:top w:val="single" w:sz="4" w:space="0" w:color="auto"/>
              <w:left w:val="nil"/>
              <w:bottom w:val="single" w:sz="4" w:space="0" w:color="auto"/>
              <w:right w:val="single" w:sz="4" w:space="0" w:color="auto"/>
            </w:tcBorders>
            <w:shd w:val="clear" w:color="auto" w:fill="auto"/>
            <w:noWrap/>
            <w:textDirection w:val="btLr"/>
            <w:vAlign w:val="center"/>
            <w:hideMark/>
          </w:tcPr>
          <w:p w:rsidR="00A64028" w:rsidRPr="00507E3F" w:rsidRDefault="00A64028" w:rsidP="006A7039">
            <w:pPr>
              <w:spacing w:after="0" w:line="240" w:lineRule="auto"/>
              <w:ind w:left="113" w:right="113"/>
              <w:jc w:val="center"/>
              <w:rPr>
                <w:rFonts w:ascii="Arial Narrow" w:hAnsi="Arial Narrow"/>
                <w:sz w:val="18"/>
                <w:szCs w:val="18"/>
              </w:rPr>
            </w:pPr>
            <w:r w:rsidRPr="00507E3F">
              <w:rPr>
                <w:rFonts w:ascii="Arial Narrow" w:hAnsi="Arial Narrow"/>
                <w:sz w:val="18"/>
                <w:szCs w:val="18"/>
              </w:rPr>
              <w:t>Рынок услуг по сбору, сортировке и переработке твердых коммунальных (бытовых) отходов</w:t>
            </w:r>
          </w:p>
        </w:tc>
      </w:tr>
      <w:tr w:rsidR="00A64028" w:rsidRPr="00507E3F" w:rsidTr="00A64028">
        <w:tc>
          <w:tcPr>
            <w:tcW w:w="720" w:type="dxa"/>
            <w:tcBorders>
              <w:top w:val="nil"/>
              <w:left w:val="single" w:sz="4" w:space="0" w:color="auto"/>
              <w:bottom w:val="single" w:sz="4" w:space="0" w:color="auto"/>
              <w:right w:val="single" w:sz="4" w:space="0" w:color="auto"/>
            </w:tcBorders>
            <w:shd w:val="clear" w:color="auto" w:fill="auto"/>
            <w:vAlign w:val="center"/>
            <w:hideMark/>
          </w:tcPr>
          <w:p w:rsidR="00A64028" w:rsidRPr="00507E3F" w:rsidRDefault="00A64028" w:rsidP="00103148">
            <w:pPr>
              <w:spacing w:after="0"/>
              <w:jc w:val="center"/>
              <w:rPr>
                <w:rFonts w:ascii="Arial Narrow" w:hAnsi="Arial Narrow"/>
                <w:b/>
                <w:sz w:val="18"/>
                <w:szCs w:val="18"/>
              </w:rPr>
            </w:pPr>
            <w:r w:rsidRPr="00507E3F">
              <w:rPr>
                <w:rFonts w:ascii="Arial Narrow" w:hAnsi="Arial Narrow"/>
                <w:b/>
                <w:sz w:val="18"/>
                <w:szCs w:val="18"/>
              </w:rPr>
              <w:t>4.3.</w:t>
            </w:r>
          </w:p>
        </w:tc>
        <w:tc>
          <w:tcPr>
            <w:tcW w:w="8991" w:type="dxa"/>
            <w:gridSpan w:val="16"/>
            <w:tcBorders>
              <w:top w:val="single" w:sz="4" w:space="0" w:color="auto"/>
              <w:left w:val="nil"/>
              <w:bottom w:val="single" w:sz="4" w:space="0" w:color="auto"/>
              <w:right w:val="single" w:sz="4" w:space="0" w:color="000000"/>
            </w:tcBorders>
            <w:shd w:val="clear" w:color="auto" w:fill="auto"/>
            <w:vAlign w:val="center"/>
            <w:hideMark/>
          </w:tcPr>
          <w:p w:rsidR="00A64028" w:rsidRPr="00507E3F" w:rsidRDefault="00A64028" w:rsidP="00103148">
            <w:pPr>
              <w:spacing w:after="0"/>
              <w:ind w:left="153"/>
              <w:rPr>
                <w:rFonts w:ascii="Arial Narrow" w:hAnsi="Arial Narrow"/>
                <w:b/>
                <w:sz w:val="18"/>
                <w:szCs w:val="18"/>
              </w:rPr>
            </w:pPr>
            <w:r w:rsidRPr="00507E3F">
              <w:rPr>
                <w:rFonts w:ascii="Arial Narrow" w:hAnsi="Arial Narrow"/>
                <w:b/>
                <w:sz w:val="18"/>
                <w:szCs w:val="18"/>
              </w:rPr>
              <w:t>Доля субъектов предпринимательской деятельности, взаимодействующих прямо или косвенно в экономической деятельности с субъектами естественных монополий, удовлетворенных сроками получения доступа к услугам естественных монополий, сложностью процедур подключения, стоимостью подключения, качеством предоставляемых товаров/услуг субъектами естественных монополий, стоимостью предоставляемых услуг, % от числа опрошенных</w:t>
            </w:r>
          </w:p>
        </w:tc>
      </w:tr>
      <w:tr w:rsidR="00A64028" w:rsidRPr="00507E3F" w:rsidTr="00A64028">
        <w:tc>
          <w:tcPr>
            <w:tcW w:w="720" w:type="dxa"/>
            <w:tcBorders>
              <w:top w:val="nil"/>
              <w:left w:val="single" w:sz="4" w:space="0" w:color="auto"/>
              <w:bottom w:val="single" w:sz="4" w:space="0" w:color="auto"/>
              <w:right w:val="single" w:sz="4" w:space="0" w:color="auto"/>
            </w:tcBorders>
            <w:shd w:val="clear" w:color="auto" w:fill="auto"/>
            <w:vAlign w:val="center"/>
            <w:hideMark/>
          </w:tcPr>
          <w:p w:rsidR="00A64028" w:rsidRPr="00507E3F" w:rsidRDefault="00A64028" w:rsidP="00103148">
            <w:pPr>
              <w:spacing w:after="0"/>
              <w:jc w:val="center"/>
              <w:rPr>
                <w:rFonts w:ascii="Arial Narrow" w:hAnsi="Arial Narrow"/>
                <w:b/>
                <w:bCs/>
                <w:sz w:val="18"/>
                <w:szCs w:val="18"/>
              </w:rPr>
            </w:pPr>
            <w:r w:rsidRPr="00507E3F">
              <w:rPr>
                <w:rFonts w:ascii="Arial Narrow" w:hAnsi="Arial Narrow"/>
                <w:b/>
                <w:bCs/>
                <w:sz w:val="18"/>
                <w:szCs w:val="18"/>
              </w:rPr>
              <w:t>4.3.1.</w:t>
            </w:r>
          </w:p>
        </w:tc>
        <w:tc>
          <w:tcPr>
            <w:tcW w:w="8991" w:type="dxa"/>
            <w:gridSpan w:val="16"/>
            <w:tcBorders>
              <w:top w:val="nil"/>
              <w:left w:val="nil"/>
              <w:bottom w:val="single" w:sz="4" w:space="0" w:color="auto"/>
              <w:right w:val="single" w:sz="4" w:space="0" w:color="auto"/>
            </w:tcBorders>
            <w:shd w:val="clear" w:color="auto" w:fill="auto"/>
            <w:vAlign w:val="center"/>
            <w:hideMark/>
          </w:tcPr>
          <w:p w:rsidR="00A64028" w:rsidRPr="00507E3F" w:rsidRDefault="00A64028" w:rsidP="00103148">
            <w:pPr>
              <w:spacing w:after="0"/>
              <w:ind w:left="153"/>
              <w:jc w:val="both"/>
              <w:rPr>
                <w:rFonts w:ascii="Arial Narrow" w:hAnsi="Arial Narrow"/>
                <w:b/>
                <w:bCs/>
                <w:sz w:val="18"/>
                <w:szCs w:val="18"/>
              </w:rPr>
            </w:pPr>
            <w:r w:rsidRPr="00507E3F">
              <w:rPr>
                <w:rFonts w:ascii="Arial Narrow" w:hAnsi="Arial Narrow"/>
                <w:b/>
                <w:bCs/>
                <w:sz w:val="18"/>
                <w:szCs w:val="18"/>
              </w:rPr>
              <w:t>Водоснабжение, водоотведение:</w:t>
            </w:r>
          </w:p>
        </w:tc>
      </w:tr>
      <w:tr w:rsidR="00A64028" w:rsidRPr="00507E3F" w:rsidTr="00A64028">
        <w:trPr>
          <w:gridAfter w:val="1"/>
          <w:wAfter w:w="6" w:type="dxa"/>
        </w:trPr>
        <w:tc>
          <w:tcPr>
            <w:tcW w:w="720" w:type="dxa"/>
            <w:tcBorders>
              <w:top w:val="nil"/>
              <w:left w:val="single" w:sz="4" w:space="0" w:color="auto"/>
              <w:bottom w:val="single" w:sz="4" w:space="0" w:color="auto"/>
              <w:right w:val="single" w:sz="4" w:space="0" w:color="auto"/>
            </w:tcBorders>
            <w:shd w:val="clear" w:color="auto" w:fill="auto"/>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4.3.1.1.</w:t>
            </w:r>
          </w:p>
        </w:tc>
        <w:tc>
          <w:tcPr>
            <w:tcW w:w="1407" w:type="dxa"/>
            <w:tcBorders>
              <w:top w:val="nil"/>
              <w:left w:val="nil"/>
              <w:bottom w:val="single" w:sz="4" w:space="0" w:color="auto"/>
              <w:right w:val="single" w:sz="4" w:space="0" w:color="auto"/>
            </w:tcBorders>
            <w:shd w:val="clear" w:color="auto" w:fill="auto"/>
            <w:vAlign w:val="center"/>
            <w:hideMark/>
          </w:tcPr>
          <w:p w:rsidR="00A64028" w:rsidRPr="00507E3F" w:rsidRDefault="00A64028" w:rsidP="00103148">
            <w:pPr>
              <w:spacing w:after="0"/>
              <w:ind w:left="153" w:right="132"/>
              <w:jc w:val="both"/>
              <w:rPr>
                <w:rFonts w:ascii="Arial Narrow" w:hAnsi="Arial Narrow"/>
                <w:sz w:val="18"/>
                <w:szCs w:val="18"/>
              </w:rPr>
            </w:pPr>
            <w:r w:rsidRPr="00507E3F">
              <w:rPr>
                <w:rFonts w:ascii="Arial Narrow" w:hAnsi="Arial Narrow"/>
                <w:sz w:val="18"/>
                <w:szCs w:val="18"/>
              </w:rPr>
              <w:t>Удовлетворены сроками получения доступа к услугам, %</w:t>
            </w:r>
          </w:p>
        </w:tc>
        <w:tc>
          <w:tcPr>
            <w:tcW w:w="640"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36,9%</w:t>
            </w:r>
          </w:p>
        </w:tc>
        <w:tc>
          <w:tcPr>
            <w:tcW w:w="494"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0,0%</w:t>
            </w:r>
          </w:p>
        </w:tc>
        <w:tc>
          <w:tcPr>
            <w:tcW w:w="567"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20,0%</w:t>
            </w:r>
          </w:p>
        </w:tc>
        <w:tc>
          <w:tcPr>
            <w:tcW w:w="567"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20,0%</w:t>
            </w:r>
          </w:p>
        </w:tc>
        <w:tc>
          <w:tcPr>
            <w:tcW w:w="431"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37,1%</w:t>
            </w:r>
          </w:p>
        </w:tc>
        <w:tc>
          <w:tcPr>
            <w:tcW w:w="562"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16,0%</w:t>
            </w:r>
          </w:p>
        </w:tc>
        <w:tc>
          <w:tcPr>
            <w:tcW w:w="566"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24,0%</w:t>
            </w:r>
          </w:p>
        </w:tc>
        <w:tc>
          <w:tcPr>
            <w:tcW w:w="567"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44,3%</w:t>
            </w:r>
          </w:p>
        </w:tc>
        <w:tc>
          <w:tcPr>
            <w:tcW w:w="491"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43,3%</w:t>
            </w:r>
          </w:p>
        </w:tc>
        <w:tc>
          <w:tcPr>
            <w:tcW w:w="446"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3,3%</w:t>
            </w:r>
          </w:p>
        </w:tc>
        <w:tc>
          <w:tcPr>
            <w:tcW w:w="546"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24,0%</w:t>
            </w:r>
          </w:p>
        </w:tc>
        <w:tc>
          <w:tcPr>
            <w:tcW w:w="567" w:type="dxa"/>
            <w:tcBorders>
              <w:top w:val="nil"/>
              <w:left w:val="nil"/>
              <w:bottom w:val="single" w:sz="4" w:space="0" w:color="auto"/>
              <w:right w:val="single" w:sz="4" w:space="0" w:color="auto"/>
            </w:tcBorders>
            <w:shd w:val="clear" w:color="000000" w:fill="FFFFFF"/>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20,0%</w:t>
            </w:r>
          </w:p>
        </w:tc>
        <w:tc>
          <w:tcPr>
            <w:tcW w:w="567" w:type="dxa"/>
            <w:tcBorders>
              <w:top w:val="nil"/>
              <w:left w:val="nil"/>
              <w:bottom w:val="single" w:sz="4" w:space="0" w:color="auto"/>
              <w:right w:val="single" w:sz="4" w:space="0" w:color="auto"/>
            </w:tcBorders>
            <w:shd w:val="clear" w:color="000000" w:fill="FFFFFF"/>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47,0%</w:t>
            </w:r>
          </w:p>
        </w:tc>
        <w:tc>
          <w:tcPr>
            <w:tcW w:w="567" w:type="dxa"/>
            <w:tcBorders>
              <w:top w:val="nil"/>
              <w:left w:val="nil"/>
              <w:bottom w:val="single" w:sz="4" w:space="0" w:color="auto"/>
              <w:right w:val="single" w:sz="4" w:space="0" w:color="auto"/>
            </w:tcBorders>
            <w:shd w:val="clear" w:color="000000" w:fill="FFFFFF"/>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20,0%</w:t>
            </w:r>
          </w:p>
        </w:tc>
      </w:tr>
      <w:tr w:rsidR="00A64028" w:rsidRPr="00507E3F" w:rsidTr="00A64028">
        <w:trPr>
          <w:gridAfter w:val="1"/>
          <w:wAfter w:w="6" w:type="dxa"/>
        </w:trPr>
        <w:tc>
          <w:tcPr>
            <w:tcW w:w="720" w:type="dxa"/>
            <w:tcBorders>
              <w:top w:val="nil"/>
              <w:left w:val="single" w:sz="4" w:space="0" w:color="auto"/>
              <w:bottom w:val="single" w:sz="4" w:space="0" w:color="auto"/>
              <w:right w:val="single" w:sz="4" w:space="0" w:color="auto"/>
            </w:tcBorders>
            <w:shd w:val="clear" w:color="auto" w:fill="auto"/>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4.3.1.2.</w:t>
            </w:r>
          </w:p>
        </w:tc>
        <w:tc>
          <w:tcPr>
            <w:tcW w:w="1407" w:type="dxa"/>
            <w:tcBorders>
              <w:top w:val="nil"/>
              <w:left w:val="nil"/>
              <w:bottom w:val="single" w:sz="4" w:space="0" w:color="auto"/>
              <w:right w:val="single" w:sz="4" w:space="0" w:color="auto"/>
            </w:tcBorders>
            <w:shd w:val="clear" w:color="auto" w:fill="auto"/>
            <w:vAlign w:val="center"/>
            <w:hideMark/>
          </w:tcPr>
          <w:p w:rsidR="00A64028" w:rsidRPr="00507E3F" w:rsidRDefault="00A64028" w:rsidP="00103148">
            <w:pPr>
              <w:spacing w:after="0"/>
              <w:ind w:left="153" w:right="132"/>
              <w:jc w:val="both"/>
              <w:rPr>
                <w:rFonts w:ascii="Arial Narrow" w:hAnsi="Arial Narrow"/>
                <w:sz w:val="18"/>
                <w:szCs w:val="18"/>
              </w:rPr>
            </w:pPr>
            <w:r w:rsidRPr="00507E3F">
              <w:rPr>
                <w:rFonts w:ascii="Arial Narrow" w:hAnsi="Arial Narrow"/>
                <w:sz w:val="18"/>
                <w:szCs w:val="18"/>
              </w:rPr>
              <w:t>Удовлетворены сложностью (количеством) процедур подключения, %</w:t>
            </w:r>
          </w:p>
        </w:tc>
        <w:tc>
          <w:tcPr>
            <w:tcW w:w="640"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29,1%</w:t>
            </w:r>
          </w:p>
        </w:tc>
        <w:tc>
          <w:tcPr>
            <w:tcW w:w="494"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0,0%</w:t>
            </w:r>
          </w:p>
        </w:tc>
        <w:tc>
          <w:tcPr>
            <w:tcW w:w="567"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0,0%</w:t>
            </w:r>
          </w:p>
        </w:tc>
        <w:tc>
          <w:tcPr>
            <w:tcW w:w="567"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24,0%</w:t>
            </w:r>
          </w:p>
        </w:tc>
        <w:tc>
          <w:tcPr>
            <w:tcW w:w="431"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25,7%</w:t>
            </w:r>
          </w:p>
        </w:tc>
        <w:tc>
          <w:tcPr>
            <w:tcW w:w="562"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16,0%</w:t>
            </w:r>
          </w:p>
        </w:tc>
        <w:tc>
          <w:tcPr>
            <w:tcW w:w="566"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12,0%</w:t>
            </w:r>
          </w:p>
        </w:tc>
        <w:tc>
          <w:tcPr>
            <w:tcW w:w="567"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35,7%</w:t>
            </w:r>
          </w:p>
        </w:tc>
        <w:tc>
          <w:tcPr>
            <w:tcW w:w="491"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31,1%</w:t>
            </w:r>
          </w:p>
        </w:tc>
        <w:tc>
          <w:tcPr>
            <w:tcW w:w="446"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3,3%</w:t>
            </w:r>
          </w:p>
        </w:tc>
        <w:tc>
          <w:tcPr>
            <w:tcW w:w="546"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8,0%</w:t>
            </w:r>
          </w:p>
        </w:tc>
        <w:tc>
          <w:tcPr>
            <w:tcW w:w="567"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12,0%</w:t>
            </w:r>
          </w:p>
        </w:tc>
        <w:tc>
          <w:tcPr>
            <w:tcW w:w="567"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44,0%</w:t>
            </w:r>
          </w:p>
        </w:tc>
        <w:tc>
          <w:tcPr>
            <w:tcW w:w="567"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20,0%</w:t>
            </w:r>
          </w:p>
        </w:tc>
      </w:tr>
      <w:tr w:rsidR="00A64028" w:rsidRPr="00507E3F" w:rsidTr="00A64028">
        <w:trPr>
          <w:gridAfter w:val="1"/>
          <w:wAfter w:w="6" w:type="dxa"/>
        </w:trPr>
        <w:tc>
          <w:tcPr>
            <w:tcW w:w="720" w:type="dxa"/>
            <w:tcBorders>
              <w:top w:val="nil"/>
              <w:left w:val="single" w:sz="4" w:space="0" w:color="auto"/>
              <w:bottom w:val="single" w:sz="4" w:space="0" w:color="auto"/>
              <w:right w:val="single" w:sz="4" w:space="0" w:color="auto"/>
            </w:tcBorders>
            <w:shd w:val="clear" w:color="auto" w:fill="auto"/>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4.3.1.3.</w:t>
            </w:r>
          </w:p>
        </w:tc>
        <w:tc>
          <w:tcPr>
            <w:tcW w:w="1407" w:type="dxa"/>
            <w:tcBorders>
              <w:top w:val="nil"/>
              <w:left w:val="nil"/>
              <w:bottom w:val="single" w:sz="4" w:space="0" w:color="auto"/>
              <w:right w:val="single" w:sz="4" w:space="0" w:color="auto"/>
            </w:tcBorders>
            <w:shd w:val="clear" w:color="auto" w:fill="auto"/>
            <w:vAlign w:val="center"/>
            <w:hideMark/>
          </w:tcPr>
          <w:p w:rsidR="00A64028" w:rsidRPr="00507E3F" w:rsidRDefault="00A64028" w:rsidP="00103148">
            <w:pPr>
              <w:spacing w:after="0"/>
              <w:ind w:left="153" w:right="132"/>
              <w:jc w:val="both"/>
              <w:rPr>
                <w:rFonts w:ascii="Arial Narrow" w:hAnsi="Arial Narrow"/>
                <w:sz w:val="18"/>
                <w:szCs w:val="18"/>
              </w:rPr>
            </w:pPr>
            <w:r w:rsidRPr="00507E3F">
              <w:rPr>
                <w:rFonts w:ascii="Arial Narrow" w:hAnsi="Arial Narrow"/>
                <w:sz w:val="18"/>
                <w:szCs w:val="18"/>
              </w:rPr>
              <w:t>Удовлетворены стоимостью подключения, %</w:t>
            </w:r>
          </w:p>
        </w:tc>
        <w:tc>
          <w:tcPr>
            <w:tcW w:w="640"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22,3%</w:t>
            </w:r>
          </w:p>
        </w:tc>
        <w:tc>
          <w:tcPr>
            <w:tcW w:w="494"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0,0%</w:t>
            </w:r>
          </w:p>
        </w:tc>
        <w:tc>
          <w:tcPr>
            <w:tcW w:w="567"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0,0%</w:t>
            </w:r>
          </w:p>
        </w:tc>
        <w:tc>
          <w:tcPr>
            <w:tcW w:w="567"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16,0%</w:t>
            </w:r>
          </w:p>
        </w:tc>
        <w:tc>
          <w:tcPr>
            <w:tcW w:w="431"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22,9%</w:t>
            </w:r>
          </w:p>
        </w:tc>
        <w:tc>
          <w:tcPr>
            <w:tcW w:w="562"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12,0%</w:t>
            </w:r>
          </w:p>
        </w:tc>
        <w:tc>
          <w:tcPr>
            <w:tcW w:w="566"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12,0%</w:t>
            </w:r>
          </w:p>
        </w:tc>
        <w:tc>
          <w:tcPr>
            <w:tcW w:w="567"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25,7%</w:t>
            </w:r>
          </w:p>
        </w:tc>
        <w:tc>
          <w:tcPr>
            <w:tcW w:w="491"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23,3%</w:t>
            </w:r>
          </w:p>
        </w:tc>
        <w:tc>
          <w:tcPr>
            <w:tcW w:w="446"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0,0%</w:t>
            </w:r>
          </w:p>
        </w:tc>
        <w:tc>
          <w:tcPr>
            <w:tcW w:w="546"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8,0%</w:t>
            </w:r>
          </w:p>
        </w:tc>
        <w:tc>
          <w:tcPr>
            <w:tcW w:w="567"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12,0%</w:t>
            </w:r>
          </w:p>
        </w:tc>
        <w:tc>
          <w:tcPr>
            <w:tcW w:w="567"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31,0%</w:t>
            </w:r>
          </w:p>
        </w:tc>
        <w:tc>
          <w:tcPr>
            <w:tcW w:w="567"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10,0%</w:t>
            </w:r>
          </w:p>
        </w:tc>
      </w:tr>
      <w:tr w:rsidR="00A64028" w:rsidRPr="00507E3F" w:rsidTr="00A64028">
        <w:trPr>
          <w:gridAfter w:val="1"/>
          <w:wAfter w:w="6" w:type="dxa"/>
        </w:trPr>
        <w:tc>
          <w:tcPr>
            <w:tcW w:w="720" w:type="dxa"/>
            <w:tcBorders>
              <w:top w:val="nil"/>
              <w:left w:val="single" w:sz="4" w:space="0" w:color="auto"/>
              <w:bottom w:val="single" w:sz="4" w:space="0" w:color="auto"/>
              <w:right w:val="single" w:sz="4" w:space="0" w:color="auto"/>
            </w:tcBorders>
            <w:shd w:val="clear" w:color="auto" w:fill="auto"/>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4.3.1.4.</w:t>
            </w:r>
          </w:p>
        </w:tc>
        <w:tc>
          <w:tcPr>
            <w:tcW w:w="1407" w:type="dxa"/>
            <w:tcBorders>
              <w:top w:val="nil"/>
              <w:left w:val="nil"/>
              <w:bottom w:val="single" w:sz="4" w:space="0" w:color="auto"/>
              <w:right w:val="single" w:sz="4" w:space="0" w:color="auto"/>
            </w:tcBorders>
            <w:shd w:val="clear" w:color="auto" w:fill="auto"/>
            <w:vAlign w:val="center"/>
            <w:hideMark/>
          </w:tcPr>
          <w:p w:rsidR="00A64028" w:rsidRPr="00507E3F" w:rsidRDefault="00A64028" w:rsidP="00103148">
            <w:pPr>
              <w:spacing w:after="0"/>
              <w:ind w:left="153" w:right="132"/>
              <w:jc w:val="both"/>
              <w:rPr>
                <w:rFonts w:ascii="Arial Narrow" w:hAnsi="Arial Narrow"/>
                <w:sz w:val="18"/>
                <w:szCs w:val="18"/>
              </w:rPr>
            </w:pPr>
            <w:r w:rsidRPr="00507E3F">
              <w:rPr>
                <w:rFonts w:ascii="Arial Narrow" w:hAnsi="Arial Narrow"/>
                <w:sz w:val="18"/>
                <w:szCs w:val="18"/>
              </w:rPr>
              <w:t>Удовлетворены стоимостью предоставляемых услуг, %</w:t>
            </w:r>
          </w:p>
        </w:tc>
        <w:tc>
          <w:tcPr>
            <w:tcW w:w="640"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38,7%</w:t>
            </w:r>
          </w:p>
        </w:tc>
        <w:tc>
          <w:tcPr>
            <w:tcW w:w="494"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70,0%</w:t>
            </w:r>
          </w:p>
        </w:tc>
        <w:tc>
          <w:tcPr>
            <w:tcW w:w="567"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60,0%</w:t>
            </w:r>
          </w:p>
        </w:tc>
        <w:tc>
          <w:tcPr>
            <w:tcW w:w="567"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40,0%</w:t>
            </w:r>
          </w:p>
        </w:tc>
        <w:tc>
          <w:tcPr>
            <w:tcW w:w="431"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45,7%</w:t>
            </w:r>
          </w:p>
        </w:tc>
        <w:tc>
          <w:tcPr>
            <w:tcW w:w="562"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36,0%</w:t>
            </w:r>
          </w:p>
        </w:tc>
        <w:tc>
          <w:tcPr>
            <w:tcW w:w="566"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24,0%</w:t>
            </w:r>
          </w:p>
        </w:tc>
        <w:tc>
          <w:tcPr>
            <w:tcW w:w="567"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48,6%</w:t>
            </w:r>
          </w:p>
        </w:tc>
        <w:tc>
          <w:tcPr>
            <w:tcW w:w="491"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37,8%</w:t>
            </w:r>
          </w:p>
        </w:tc>
        <w:tc>
          <w:tcPr>
            <w:tcW w:w="446"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15,0%</w:t>
            </w:r>
          </w:p>
        </w:tc>
        <w:tc>
          <w:tcPr>
            <w:tcW w:w="546"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48,0%</w:t>
            </w:r>
          </w:p>
        </w:tc>
        <w:tc>
          <w:tcPr>
            <w:tcW w:w="567"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48,0%</w:t>
            </w:r>
          </w:p>
        </w:tc>
        <w:tc>
          <w:tcPr>
            <w:tcW w:w="567"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44,0%</w:t>
            </w:r>
          </w:p>
        </w:tc>
        <w:tc>
          <w:tcPr>
            <w:tcW w:w="567"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30,0%</w:t>
            </w:r>
          </w:p>
        </w:tc>
      </w:tr>
      <w:tr w:rsidR="00A64028" w:rsidRPr="00507E3F" w:rsidTr="00A64028">
        <w:trPr>
          <w:gridAfter w:val="1"/>
          <w:wAfter w:w="6" w:type="dxa"/>
        </w:trPr>
        <w:tc>
          <w:tcPr>
            <w:tcW w:w="720" w:type="dxa"/>
            <w:tcBorders>
              <w:top w:val="nil"/>
              <w:left w:val="single" w:sz="4" w:space="0" w:color="auto"/>
              <w:bottom w:val="single" w:sz="4" w:space="0" w:color="auto"/>
              <w:right w:val="single" w:sz="4" w:space="0" w:color="auto"/>
            </w:tcBorders>
            <w:shd w:val="clear" w:color="auto" w:fill="auto"/>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4.3.1.5.</w:t>
            </w:r>
          </w:p>
        </w:tc>
        <w:tc>
          <w:tcPr>
            <w:tcW w:w="1407" w:type="dxa"/>
            <w:tcBorders>
              <w:top w:val="nil"/>
              <w:left w:val="nil"/>
              <w:bottom w:val="single" w:sz="4" w:space="0" w:color="auto"/>
              <w:right w:val="single" w:sz="4" w:space="0" w:color="auto"/>
            </w:tcBorders>
            <w:shd w:val="clear" w:color="auto" w:fill="auto"/>
            <w:vAlign w:val="center"/>
            <w:hideMark/>
          </w:tcPr>
          <w:p w:rsidR="00A64028" w:rsidRPr="00507E3F" w:rsidRDefault="00A64028" w:rsidP="00103148">
            <w:pPr>
              <w:spacing w:after="0"/>
              <w:ind w:left="153" w:right="132"/>
              <w:jc w:val="both"/>
              <w:rPr>
                <w:rFonts w:ascii="Arial Narrow" w:hAnsi="Arial Narrow"/>
                <w:sz w:val="18"/>
                <w:szCs w:val="18"/>
              </w:rPr>
            </w:pPr>
            <w:r w:rsidRPr="00507E3F">
              <w:rPr>
                <w:rFonts w:ascii="Arial Narrow" w:hAnsi="Arial Narrow"/>
                <w:sz w:val="18"/>
                <w:szCs w:val="18"/>
              </w:rPr>
              <w:t>Удовлетворены качеством предоставляемых услуг, %</w:t>
            </w:r>
          </w:p>
        </w:tc>
        <w:tc>
          <w:tcPr>
            <w:tcW w:w="640"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62,6%</w:t>
            </w:r>
          </w:p>
        </w:tc>
        <w:tc>
          <w:tcPr>
            <w:tcW w:w="494"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70,0%</w:t>
            </w:r>
          </w:p>
        </w:tc>
        <w:tc>
          <w:tcPr>
            <w:tcW w:w="567"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60,0%</w:t>
            </w:r>
          </w:p>
        </w:tc>
        <w:tc>
          <w:tcPr>
            <w:tcW w:w="567"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76,0%</w:t>
            </w:r>
          </w:p>
        </w:tc>
        <w:tc>
          <w:tcPr>
            <w:tcW w:w="431"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80,0%</w:t>
            </w:r>
          </w:p>
        </w:tc>
        <w:tc>
          <w:tcPr>
            <w:tcW w:w="562"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76,0%</w:t>
            </w:r>
          </w:p>
        </w:tc>
        <w:tc>
          <w:tcPr>
            <w:tcW w:w="566"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64,0%</w:t>
            </w:r>
          </w:p>
        </w:tc>
        <w:tc>
          <w:tcPr>
            <w:tcW w:w="567"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64,3%</w:t>
            </w:r>
          </w:p>
        </w:tc>
        <w:tc>
          <w:tcPr>
            <w:tcW w:w="491"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57,8%</w:t>
            </w:r>
          </w:p>
        </w:tc>
        <w:tc>
          <w:tcPr>
            <w:tcW w:w="446"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33,3%</w:t>
            </w:r>
          </w:p>
        </w:tc>
        <w:tc>
          <w:tcPr>
            <w:tcW w:w="546"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72,0%</w:t>
            </w:r>
          </w:p>
        </w:tc>
        <w:tc>
          <w:tcPr>
            <w:tcW w:w="567"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76,0%</w:t>
            </w:r>
          </w:p>
        </w:tc>
        <w:tc>
          <w:tcPr>
            <w:tcW w:w="567"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61,0%</w:t>
            </w:r>
          </w:p>
        </w:tc>
        <w:tc>
          <w:tcPr>
            <w:tcW w:w="567"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40,0%</w:t>
            </w:r>
          </w:p>
        </w:tc>
      </w:tr>
    </w:tbl>
    <w:p w:rsidR="00F170CC" w:rsidRDefault="00F170CC"/>
    <w:p w:rsidR="00F170CC" w:rsidRDefault="00F170CC"/>
    <w:p w:rsidR="00F170CC" w:rsidRPr="00F170CC" w:rsidRDefault="00F170CC" w:rsidP="00F170CC">
      <w:pPr>
        <w:spacing w:after="0" w:line="240" w:lineRule="auto"/>
        <w:jc w:val="right"/>
        <w:rPr>
          <w:rFonts w:ascii="Arial Narrow" w:hAnsi="Arial Narrow"/>
          <w:sz w:val="24"/>
          <w:szCs w:val="24"/>
        </w:rPr>
      </w:pPr>
      <w:r w:rsidRPr="00BF6DC4">
        <w:rPr>
          <w:rFonts w:ascii="Arial Narrow" w:hAnsi="Arial Narrow"/>
          <w:sz w:val="24"/>
          <w:szCs w:val="24"/>
        </w:rPr>
        <w:lastRenderedPageBreak/>
        <w:t xml:space="preserve">Продолжение Таблицы </w:t>
      </w:r>
      <w:r>
        <w:rPr>
          <w:rFonts w:ascii="Arial Narrow" w:hAnsi="Arial Narrow"/>
          <w:sz w:val="24"/>
          <w:szCs w:val="24"/>
        </w:rPr>
        <w:t>7.53</w:t>
      </w:r>
    </w:p>
    <w:tbl>
      <w:tblPr>
        <w:tblW w:w="9711" w:type="dxa"/>
        <w:tblInd w:w="5" w:type="dxa"/>
        <w:tblLayout w:type="fixed"/>
        <w:tblCellMar>
          <w:left w:w="0" w:type="dxa"/>
          <w:right w:w="0" w:type="dxa"/>
        </w:tblCellMar>
        <w:tblLook w:val="04A0"/>
      </w:tblPr>
      <w:tblGrid>
        <w:gridCol w:w="720"/>
        <w:gridCol w:w="1407"/>
        <w:gridCol w:w="640"/>
        <w:gridCol w:w="494"/>
        <w:gridCol w:w="567"/>
        <w:gridCol w:w="567"/>
        <w:gridCol w:w="431"/>
        <w:gridCol w:w="562"/>
        <w:gridCol w:w="566"/>
        <w:gridCol w:w="567"/>
        <w:gridCol w:w="491"/>
        <w:gridCol w:w="446"/>
        <w:gridCol w:w="546"/>
        <w:gridCol w:w="567"/>
        <w:gridCol w:w="567"/>
        <w:gridCol w:w="567"/>
        <w:gridCol w:w="6"/>
      </w:tblGrid>
      <w:tr w:rsidR="00A64028" w:rsidRPr="00507E3F" w:rsidTr="00F170CC">
        <w:tc>
          <w:tcPr>
            <w:tcW w:w="7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507E3F" w:rsidRDefault="00A64028" w:rsidP="00103148">
            <w:pPr>
              <w:spacing w:after="0"/>
              <w:jc w:val="center"/>
              <w:rPr>
                <w:rFonts w:ascii="Arial Narrow" w:hAnsi="Arial Narrow"/>
                <w:b/>
                <w:bCs/>
                <w:sz w:val="18"/>
                <w:szCs w:val="18"/>
              </w:rPr>
            </w:pPr>
            <w:r w:rsidRPr="00507E3F">
              <w:rPr>
                <w:rFonts w:ascii="Arial Narrow" w:hAnsi="Arial Narrow"/>
                <w:b/>
                <w:bCs/>
                <w:sz w:val="18"/>
                <w:szCs w:val="18"/>
              </w:rPr>
              <w:t>4.3.2.</w:t>
            </w:r>
          </w:p>
        </w:tc>
        <w:tc>
          <w:tcPr>
            <w:tcW w:w="8991" w:type="dxa"/>
            <w:gridSpan w:val="16"/>
            <w:tcBorders>
              <w:top w:val="single" w:sz="4" w:space="0" w:color="auto"/>
              <w:left w:val="nil"/>
              <w:bottom w:val="single" w:sz="4" w:space="0" w:color="auto"/>
              <w:right w:val="single" w:sz="4" w:space="0" w:color="auto"/>
            </w:tcBorders>
            <w:shd w:val="clear" w:color="auto" w:fill="auto"/>
            <w:vAlign w:val="center"/>
            <w:hideMark/>
          </w:tcPr>
          <w:p w:rsidR="00A64028" w:rsidRPr="00507E3F" w:rsidRDefault="00A64028" w:rsidP="00103148">
            <w:pPr>
              <w:spacing w:after="0"/>
              <w:ind w:left="153" w:right="132"/>
              <w:jc w:val="center"/>
              <w:rPr>
                <w:rFonts w:ascii="Arial Narrow" w:hAnsi="Arial Narrow"/>
                <w:b/>
                <w:bCs/>
                <w:sz w:val="18"/>
                <w:szCs w:val="18"/>
              </w:rPr>
            </w:pPr>
            <w:r w:rsidRPr="00507E3F">
              <w:rPr>
                <w:rFonts w:ascii="Arial Narrow" w:hAnsi="Arial Narrow"/>
                <w:b/>
                <w:bCs/>
                <w:sz w:val="18"/>
                <w:szCs w:val="18"/>
              </w:rPr>
              <w:t>Газоснабжение:</w:t>
            </w:r>
          </w:p>
        </w:tc>
      </w:tr>
      <w:tr w:rsidR="00A64028" w:rsidRPr="00507E3F" w:rsidTr="00A64028">
        <w:trPr>
          <w:gridAfter w:val="1"/>
          <w:wAfter w:w="6" w:type="dxa"/>
        </w:trPr>
        <w:tc>
          <w:tcPr>
            <w:tcW w:w="720" w:type="dxa"/>
            <w:tcBorders>
              <w:top w:val="nil"/>
              <w:left w:val="single" w:sz="4" w:space="0" w:color="auto"/>
              <w:bottom w:val="single" w:sz="4" w:space="0" w:color="auto"/>
              <w:right w:val="single" w:sz="4" w:space="0" w:color="auto"/>
            </w:tcBorders>
            <w:shd w:val="clear" w:color="auto" w:fill="auto"/>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4.3.2.1.</w:t>
            </w:r>
          </w:p>
        </w:tc>
        <w:tc>
          <w:tcPr>
            <w:tcW w:w="1407" w:type="dxa"/>
            <w:tcBorders>
              <w:top w:val="nil"/>
              <w:left w:val="nil"/>
              <w:bottom w:val="single" w:sz="4" w:space="0" w:color="auto"/>
              <w:right w:val="single" w:sz="4" w:space="0" w:color="auto"/>
            </w:tcBorders>
            <w:shd w:val="clear" w:color="auto" w:fill="auto"/>
            <w:vAlign w:val="center"/>
            <w:hideMark/>
          </w:tcPr>
          <w:p w:rsidR="00A64028" w:rsidRPr="00507E3F" w:rsidRDefault="00A64028" w:rsidP="00103148">
            <w:pPr>
              <w:spacing w:after="0"/>
              <w:ind w:left="153" w:right="132"/>
              <w:jc w:val="both"/>
              <w:rPr>
                <w:rFonts w:ascii="Arial Narrow" w:hAnsi="Arial Narrow"/>
                <w:sz w:val="18"/>
                <w:szCs w:val="18"/>
              </w:rPr>
            </w:pPr>
            <w:r w:rsidRPr="00507E3F">
              <w:rPr>
                <w:rFonts w:ascii="Arial Narrow" w:hAnsi="Arial Narrow"/>
                <w:sz w:val="18"/>
                <w:szCs w:val="18"/>
              </w:rPr>
              <w:t>Удовлетворены сроками получения доступа к услугам, %</w:t>
            </w:r>
          </w:p>
        </w:tc>
        <w:tc>
          <w:tcPr>
            <w:tcW w:w="640"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29,3%</w:t>
            </w:r>
          </w:p>
        </w:tc>
        <w:tc>
          <w:tcPr>
            <w:tcW w:w="494"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0,0%</w:t>
            </w:r>
          </w:p>
        </w:tc>
        <w:tc>
          <w:tcPr>
            <w:tcW w:w="567"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0,0%</w:t>
            </w:r>
          </w:p>
        </w:tc>
        <w:tc>
          <w:tcPr>
            <w:tcW w:w="567"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20,0%</w:t>
            </w:r>
          </w:p>
        </w:tc>
        <w:tc>
          <w:tcPr>
            <w:tcW w:w="431"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27,1%</w:t>
            </w:r>
          </w:p>
        </w:tc>
        <w:tc>
          <w:tcPr>
            <w:tcW w:w="562"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16,0%</w:t>
            </w:r>
          </w:p>
        </w:tc>
        <w:tc>
          <w:tcPr>
            <w:tcW w:w="566"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24,0%</w:t>
            </w:r>
          </w:p>
        </w:tc>
        <w:tc>
          <w:tcPr>
            <w:tcW w:w="567"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38,6%</w:t>
            </w:r>
          </w:p>
        </w:tc>
        <w:tc>
          <w:tcPr>
            <w:tcW w:w="491"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32,8%</w:t>
            </w:r>
          </w:p>
        </w:tc>
        <w:tc>
          <w:tcPr>
            <w:tcW w:w="446"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3,3%</w:t>
            </w:r>
          </w:p>
        </w:tc>
        <w:tc>
          <w:tcPr>
            <w:tcW w:w="546"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16,0%</w:t>
            </w:r>
          </w:p>
        </w:tc>
        <w:tc>
          <w:tcPr>
            <w:tcW w:w="567" w:type="dxa"/>
            <w:tcBorders>
              <w:top w:val="nil"/>
              <w:left w:val="nil"/>
              <w:bottom w:val="single" w:sz="4" w:space="0" w:color="auto"/>
              <w:right w:val="single" w:sz="4" w:space="0" w:color="auto"/>
            </w:tcBorders>
            <w:shd w:val="clear" w:color="000000" w:fill="FFFFFF"/>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20,0%</w:t>
            </w:r>
          </w:p>
        </w:tc>
        <w:tc>
          <w:tcPr>
            <w:tcW w:w="567" w:type="dxa"/>
            <w:tcBorders>
              <w:top w:val="nil"/>
              <w:left w:val="nil"/>
              <w:bottom w:val="single" w:sz="4" w:space="0" w:color="auto"/>
              <w:right w:val="single" w:sz="4" w:space="0" w:color="auto"/>
            </w:tcBorders>
            <w:shd w:val="clear" w:color="000000" w:fill="FFFFFF"/>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30,0%</w:t>
            </w:r>
          </w:p>
        </w:tc>
        <w:tc>
          <w:tcPr>
            <w:tcW w:w="567" w:type="dxa"/>
            <w:tcBorders>
              <w:top w:val="nil"/>
              <w:left w:val="nil"/>
              <w:bottom w:val="single" w:sz="4" w:space="0" w:color="auto"/>
              <w:right w:val="single" w:sz="4" w:space="0" w:color="auto"/>
            </w:tcBorders>
            <w:shd w:val="clear" w:color="000000" w:fill="FFFFFF"/>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20,0%</w:t>
            </w:r>
          </w:p>
        </w:tc>
      </w:tr>
      <w:tr w:rsidR="00A64028" w:rsidRPr="00507E3F" w:rsidTr="00A64028">
        <w:trPr>
          <w:gridAfter w:val="1"/>
          <w:wAfter w:w="6" w:type="dxa"/>
        </w:trPr>
        <w:tc>
          <w:tcPr>
            <w:tcW w:w="720" w:type="dxa"/>
            <w:tcBorders>
              <w:top w:val="nil"/>
              <w:left w:val="single" w:sz="4" w:space="0" w:color="auto"/>
              <w:bottom w:val="single" w:sz="4" w:space="0" w:color="auto"/>
              <w:right w:val="single" w:sz="4" w:space="0" w:color="auto"/>
            </w:tcBorders>
            <w:shd w:val="clear" w:color="auto" w:fill="auto"/>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4.3.2.2.</w:t>
            </w:r>
          </w:p>
        </w:tc>
        <w:tc>
          <w:tcPr>
            <w:tcW w:w="1407" w:type="dxa"/>
            <w:tcBorders>
              <w:top w:val="nil"/>
              <w:left w:val="nil"/>
              <w:bottom w:val="single" w:sz="4" w:space="0" w:color="auto"/>
              <w:right w:val="single" w:sz="4" w:space="0" w:color="auto"/>
            </w:tcBorders>
            <w:shd w:val="clear" w:color="auto" w:fill="auto"/>
            <w:vAlign w:val="center"/>
            <w:hideMark/>
          </w:tcPr>
          <w:p w:rsidR="00A64028" w:rsidRPr="00507E3F" w:rsidRDefault="00A64028" w:rsidP="00103148">
            <w:pPr>
              <w:spacing w:after="0"/>
              <w:ind w:left="153" w:right="132"/>
              <w:jc w:val="both"/>
              <w:rPr>
                <w:rFonts w:ascii="Arial Narrow" w:hAnsi="Arial Narrow"/>
                <w:sz w:val="18"/>
                <w:szCs w:val="18"/>
              </w:rPr>
            </w:pPr>
            <w:r w:rsidRPr="00507E3F">
              <w:rPr>
                <w:rFonts w:ascii="Arial Narrow" w:hAnsi="Arial Narrow"/>
                <w:sz w:val="18"/>
                <w:szCs w:val="18"/>
              </w:rPr>
              <w:t>Удовлетворены сложностью (количеством) процедур подключения, %</w:t>
            </w:r>
          </w:p>
        </w:tc>
        <w:tc>
          <w:tcPr>
            <w:tcW w:w="640"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23,4%</w:t>
            </w:r>
          </w:p>
        </w:tc>
        <w:tc>
          <w:tcPr>
            <w:tcW w:w="494"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0,0%</w:t>
            </w:r>
          </w:p>
        </w:tc>
        <w:tc>
          <w:tcPr>
            <w:tcW w:w="567"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0,0%</w:t>
            </w:r>
          </w:p>
        </w:tc>
        <w:tc>
          <w:tcPr>
            <w:tcW w:w="567"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24,0%</w:t>
            </w:r>
          </w:p>
        </w:tc>
        <w:tc>
          <w:tcPr>
            <w:tcW w:w="431"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22,9%</w:t>
            </w:r>
          </w:p>
        </w:tc>
        <w:tc>
          <w:tcPr>
            <w:tcW w:w="562"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16,0%</w:t>
            </w:r>
          </w:p>
        </w:tc>
        <w:tc>
          <w:tcPr>
            <w:tcW w:w="566"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12,0%</w:t>
            </w:r>
          </w:p>
        </w:tc>
        <w:tc>
          <w:tcPr>
            <w:tcW w:w="567"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27,1%</w:t>
            </w:r>
          </w:p>
        </w:tc>
        <w:tc>
          <w:tcPr>
            <w:tcW w:w="491"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22,8%</w:t>
            </w:r>
          </w:p>
        </w:tc>
        <w:tc>
          <w:tcPr>
            <w:tcW w:w="446"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6,7%</w:t>
            </w:r>
          </w:p>
        </w:tc>
        <w:tc>
          <w:tcPr>
            <w:tcW w:w="546"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8,0%</w:t>
            </w:r>
          </w:p>
        </w:tc>
        <w:tc>
          <w:tcPr>
            <w:tcW w:w="567"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8,0%</w:t>
            </w:r>
          </w:p>
        </w:tc>
        <w:tc>
          <w:tcPr>
            <w:tcW w:w="567"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29,0%</w:t>
            </w:r>
          </w:p>
        </w:tc>
        <w:tc>
          <w:tcPr>
            <w:tcW w:w="567"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20,0%</w:t>
            </w:r>
          </w:p>
        </w:tc>
      </w:tr>
      <w:tr w:rsidR="00A64028" w:rsidRPr="00507E3F" w:rsidTr="00A64028">
        <w:trPr>
          <w:gridAfter w:val="1"/>
          <w:wAfter w:w="6" w:type="dxa"/>
        </w:trPr>
        <w:tc>
          <w:tcPr>
            <w:tcW w:w="720" w:type="dxa"/>
            <w:tcBorders>
              <w:top w:val="nil"/>
              <w:left w:val="single" w:sz="4" w:space="0" w:color="auto"/>
              <w:bottom w:val="single" w:sz="4" w:space="0" w:color="auto"/>
              <w:right w:val="single" w:sz="4" w:space="0" w:color="auto"/>
            </w:tcBorders>
            <w:shd w:val="clear" w:color="auto" w:fill="auto"/>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4.3.2.3.</w:t>
            </w:r>
          </w:p>
        </w:tc>
        <w:tc>
          <w:tcPr>
            <w:tcW w:w="1407" w:type="dxa"/>
            <w:tcBorders>
              <w:top w:val="nil"/>
              <w:left w:val="nil"/>
              <w:bottom w:val="single" w:sz="4" w:space="0" w:color="auto"/>
              <w:right w:val="single" w:sz="4" w:space="0" w:color="auto"/>
            </w:tcBorders>
            <w:shd w:val="clear" w:color="auto" w:fill="auto"/>
            <w:vAlign w:val="center"/>
            <w:hideMark/>
          </w:tcPr>
          <w:p w:rsidR="00A64028" w:rsidRPr="00507E3F" w:rsidRDefault="00A64028" w:rsidP="00103148">
            <w:pPr>
              <w:spacing w:after="0"/>
              <w:ind w:left="153" w:right="132"/>
              <w:jc w:val="both"/>
              <w:rPr>
                <w:rFonts w:ascii="Arial Narrow" w:hAnsi="Arial Narrow"/>
                <w:sz w:val="18"/>
                <w:szCs w:val="18"/>
              </w:rPr>
            </w:pPr>
            <w:r w:rsidRPr="00507E3F">
              <w:rPr>
                <w:rFonts w:ascii="Arial Narrow" w:hAnsi="Arial Narrow"/>
                <w:sz w:val="18"/>
                <w:szCs w:val="18"/>
              </w:rPr>
              <w:t>Удовлетворены стоимостью подключения, %</w:t>
            </w:r>
          </w:p>
        </w:tc>
        <w:tc>
          <w:tcPr>
            <w:tcW w:w="640"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16,7%</w:t>
            </w:r>
          </w:p>
        </w:tc>
        <w:tc>
          <w:tcPr>
            <w:tcW w:w="494"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0,0%</w:t>
            </w:r>
          </w:p>
        </w:tc>
        <w:tc>
          <w:tcPr>
            <w:tcW w:w="567"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0,0%</w:t>
            </w:r>
          </w:p>
        </w:tc>
        <w:tc>
          <w:tcPr>
            <w:tcW w:w="567"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12,0%</w:t>
            </w:r>
          </w:p>
        </w:tc>
        <w:tc>
          <w:tcPr>
            <w:tcW w:w="431"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11,4%</w:t>
            </w:r>
          </w:p>
        </w:tc>
        <w:tc>
          <w:tcPr>
            <w:tcW w:w="562"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12,0%</w:t>
            </w:r>
          </w:p>
        </w:tc>
        <w:tc>
          <w:tcPr>
            <w:tcW w:w="566"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12,0%</w:t>
            </w:r>
          </w:p>
        </w:tc>
        <w:tc>
          <w:tcPr>
            <w:tcW w:w="567"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20,0%</w:t>
            </w:r>
          </w:p>
        </w:tc>
        <w:tc>
          <w:tcPr>
            <w:tcW w:w="491"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13,9%</w:t>
            </w:r>
          </w:p>
        </w:tc>
        <w:tc>
          <w:tcPr>
            <w:tcW w:w="446"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0,0%</w:t>
            </w:r>
          </w:p>
        </w:tc>
        <w:tc>
          <w:tcPr>
            <w:tcW w:w="546"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8,0%</w:t>
            </w:r>
          </w:p>
        </w:tc>
        <w:tc>
          <w:tcPr>
            <w:tcW w:w="567"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8,0%</w:t>
            </w:r>
          </w:p>
        </w:tc>
        <w:tc>
          <w:tcPr>
            <w:tcW w:w="567"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18,0%</w:t>
            </w:r>
          </w:p>
        </w:tc>
        <w:tc>
          <w:tcPr>
            <w:tcW w:w="567"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10,0%</w:t>
            </w:r>
          </w:p>
        </w:tc>
      </w:tr>
      <w:tr w:rsidR="00A64028" w:rsidRPr="00507E3F" w:rsidTr="00A64028">
        <w:trPr>
          <w:gridAfter w:val="1"/>
          <w:wAfter w:w="6" w:type="dxa"/>
        </w:trPr>
        <w:tc>
          <w:tcPr>
            <w:tcW w:w="720" w:type="dxa"/>
            <w:tcBorders>
              <w:top w:val="nil"/>
              <w:left w:val="single" w:sz="4" w:space="0" w:color="auto"/>
              <w:bottom w:val="single" w:sz="4" w:space="0" w:color="auto"/>
              <w:right w:val="single" w:sz="4" w:space="0" w:color="auto"/>
            </w:tcBorders>
            <w:shd w:val="clear" w:color="auto" w:fill="auto"/>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4.3.2.4.</w:t>
            </w:r>
          </w:p>
        </w:tc>
        <w:tc>
          <w:tcPr>
            <w:tcW w:w="1407" w:type="dxa"/>
            <w:tcBorders>
              <w:top w:val="nil"/>
              <w:left w:val="nil"/>
              <w:bottom w:val="single" w:sz="4" w:space="0" w:color="auto"/>
              <w:right w:val="single" w:sz="4" w:space="0" w:color="auto"/>
            </w:tcBorders>
            <w:shd w:val="clear" w:color="auto" w:fill="auto"/>
            <w:vAlign w:val="center"/>
            <w:hideMark/>
          </w:tcPr>
          <w:p w:rsidR="00A64028" w:rsidRPr="00507E3F" w:rsidRDefault="00A64028" w:rsidP="00103148">
            <w:pPr>
              <w:spacing w:after="0"/>
              <w:ind w:left="153" w:right="132"/>
              <w:jc w:val="both"/>
              <w:rPr>
                <w:rFonts w:ascii="Arial Narrow" w:hAnsi="Arial Narrow"/>
                <w:sz w:val="18"/>
                <w:szCs w:val="18"/>
              </w:rPr>
            </w:pPr>
            <w:r w:rsidRPr="00507E3F">
              <w:rPr>
                <w:rFonts w:ascii="Arial Narrow" w:hAnsi="Arial Narrow"/>
                <w:sz w:val="18"/>
                <w:szCs w:val="18"/>
              </w:rPr>
              <w:t>Удовлетворены стоимостью предоставляемых услуг, %</w:t>
            </w:r>
          </w:p>
        </w:tc>
        <w:tc>
          <w:tcPr>
            <w:tcW w:w="640"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29,5%</w:t>
            </w:r>
          </w:p>
        </w:tc>
        <w:tc>
          <w:tcPr>
            <w:tcW w:w="494"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70,0%</w:t>
            </w:r>
          </w:p>
        </w:tc>
        <w:tc>
          <w:tcPr>
            <w:tcW w:w="567"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60,0%</w:t>
            </w:r>
          </w:p>
        </w:tc>
        <w:tc>
          <w:tcPr>
            <w:tcW w:w="567"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40,0%</w:t>
            </w:r>
          </w:p>
        </w:tc>
        <w:tc>
          <w:tcPr>
            <w:tcW w:w="431"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28,6%</w:t>
            </w:r>
          </w:p>
        </w:tc>
        <w:tc>
          <w:tcPr>
            <w:tcW w:w="562"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36,0%</w:t>
            </w:r>
          </w:p>
        </w:tc>
        <w:tc>
          <w:tcPr>
            <w:tcW w:w="566"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16,0%</w:t>
            </w:r>
          </w:p>
        </w:tc>
        <w:tc>
          <w:tcPr>
            <w:tcW w:w="567"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40,0%</w:t>
            </w:r>
          </w:p>
        </w:tc>
        <w:tc>
          <w:tcPr>
            <w:tcW w:w="491"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24,4%</w:t>
            </w:r>
          </w:p>
        </w:tc>
        <w:tc>
          <w:tcPr>
            <w:tcW w:w="446"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3,3%</w:t>
            </w:r>
          </w:p>
        </w:tc>
        <w:tc>
          <w:tcPr>
            <w:tcW w:w="546"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40,0%</w:t>
            </w:r>
          </w:p>
        </w:tc>
        <w:tc>
          <w:tcPr>
            <w:tcW w:w="567"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48,0%</w:t>
            </w:r>
          </w:p>
        </w:tc>
        <w:tc>
          <w:tcPr>
            <w:tcW w:w="567"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15,0%</w:t>
            </w:r>
          </w:p>
        </w:tc>
        <w:tc>
          <w:tcPr>
            <w:tcW w:w="567" w:type="dxa"/>
            <w:tcBorders>
              <w:top w:val="nil"/>
              <w:left w:val="nil"/>
              <w:bottom w:val="single" w:sz="4" w:space="0" w:color="auto"/>
              <w:right w:val="single" w:sz="4" w:space="0" w:color="auto"/>
            </w:tcBorders>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30,0%</w:t>
            </w:r>
          </w:p>
        </w:tc>
      </w:tr>
      <w:tr w:rsidR="00A64028" w:rsidRPr="00507E3F" w:rsidTr="00A6402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6" w:type="dxa"/>
        </w:trPr>
        <w:tc>
          <w:tcPr>
            <w:tcW w:w="720" w:type="dxa"/>
            <w:shd w:val="clear" w:color="auto" w:fill="auto"/>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4.3.2.5.</w:t>
            </w:r>
          </w:p>
        </w:tc>
        <w:tc>
          <w:tcPr>
            <w:tcW w:w="1407" w:type="dxa"/>
            <w:shd w:val="clear" w:color="auto" w:fill="auto"/>
            <w:vAlign w:val="center"/>
            <w:hideMark/>
          </w:tcPr>
          <w:p w:rsidR="00A64028" w:rsidRPr="00507E3F" w:rsidRDefault="00A64028" w:rsidP="00103148">
            <w:pPr>
              <w:spacing w:after="0"/>
              <w:ind w:left="153" w:right="132"/>
              <w:jc w:val="both"/>
              <w:rPr>
                <w:rFonts w:ascii="Arial Narrow" w:hAnsi="Arial Narrow"/>
                <w:sz w:val="18"/>
                <w:szCs w:val="18"/>
              </w:rPr>
            </w:pPr>
            <w:r w:rsidRPr="00507E3F">
              <w:rPr>
                <w:rFonts w:ascii="Arial Narrow" w:hAnsi="Arial Narrow"/>
                <w:sz w:val="18"/>
                <w:szCs w:val="18"/>
              </w:rPr>
              <w:t xml:space="preserve">Удовлетворены качеством предоставляемых услуг, % </w:t>
            </w:r>
          </w:p>
        </w:tc>
        <w:tc>
          <w:tcPr>
            <w:tcW w:w="640"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52,4%</w:t>
            </w:r>
          </w:p>
        </w:tc>
        <w:tc>
          <w:tcPr>
            <w:tcW w:w="494"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70,0%</w:t>
            </w:r>
          </w:p>
        </w:tc>
        <w:tc>
          <w:tcPr>
            <w:tcW w:w="567"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40,0%</w:t>
            </w:r>
          </w:p>
        </w:tc>
        <w:tc>
          <w:tcPr>
            <w:tcW w:w="567"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76,0%</w:t>
            </w:r>
          </w:p>
        </w:tc>
        <w:tc>
          <w:tcPr>
            <w:tcW w:w="431"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57,1%</w:t>
            </w:r>
          </w:p>
        </w:tc>
        <w:tc>
          <w:tcPr>
            <w:tcW w:w="562"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76,0%</w:t>
            </w:r>
          </w:p>
        </w:tc>
        <w:tc>
          <w:tcPr>
            <w:tcW w:w="566"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52,0%</w:t>
            </w:r>
          </w:p>
        </w:tc>
        <w:tc>
          <w:tcPr>
            <w:tcW w:w="567"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65,7%</w:t>
            </w:r>
          </w:p>
        </w:tc>
        <w:tc>
          <w:tcPr>
            <w:tcW w:w="491"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41,1%</w:t>
            </w:r>
          </w:p>
        </w:tc>
        <w:tc>
          <w:tcPr>
            <w:tcW w:w="446"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26,7%</w:t>
            </w:r>
          </w:p>
        </w:tc>
        <w:tc>
          <w:tcPr>
            <w:tcW w:w="546"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56,0%</w:t>
            </w:r>
          </w:p>
        </w:tc>
        <w:tc>
          <w:tcPr>
            <w:tcW w:w="567"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76,0%</w:t>
            </w:r>
          </w:p>
        </w:tc>
        <w:tc>
          <w:tcPr>
            <w:tcW w:w="567"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34,0%</w:t>
            </w:r>
          </w:p>
        </w:tc>
        <w:tc>
          <w:tcPr>
            <w:tcW w:w="567"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40,0%</w:t>
            </w:r>
          </w:p>
        </w:tc>
      </w:tr>
      <w:tr w:rsidR="00A64028" w:rsidRPr="00507E3F" w:rsidTr="00A6402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720" w:type="dxa"/>
            <w:shd w:val="clear" w:color="auto" w:fill="auto"/>
            <w:vAlign w:val="center"/>
            <w:hideMark/>
          </w:tcPr>
          <w:p w:rsidR="00A64028" w:rsidRPr="00507E3F" w:rsidRDefault="00A64028" w:rsidP="00103148">
            <w:pPr>
              <w:spacing w:after="0"/>
              <w:jc w:val="center"/>
              <w:rPr>
                <w:rFonts w:ascii="Arial Narrow" w:hAnsi="Arial Narrow"/>
                <w:b/>
                <w:bCs/>
                <w:sz w:val="18"/>
                <w:szCs w:val="18"/>
              </w:rPr>
            </w:pPr>
            <w:r w:rsidRPr="00507E3F">
              <w:rPr>
                <w:rFonts w:ascii="Arial Narrow" w:hAnsi="Arial Narrow"/>
                <w:b/>
                <w:bCs/>
                <w:sz w:val="18"/>
                <w:szCs w:val="18"/>
              </w:rPr>
              <w:t>4.3.3.</w:t>
            </w:r>
          </w:p>
        </w:tc>
        <w:tc>
          <w:tcPr>
            <w:tcW w:w="8991" w:type="dxa"/>
            <w:gridSpan w:val="16"/>
            <w:shd w:val="clear" w:color="auto" w:fill="auto"/>
            <w:vAlign w:val="center"/>
            <w:hideMark/>
          </w:tcPr>
          <w:p w:rsidR="00A64028" w:rsidRPr="00507E3F" w:rsidRDefault="00A64028" w:rsidP="00103148">
            <w:pPr>
              <w:spacing w:after="0"/>
              <w:ind w:left="153" w:right="132"/>
              <w:jc w:val="center"/>
              <w:rPr>
                <w:rFonts w:ascii="Arial Narrow" w:hAnsi="Arial Narrow"/>
                <w:b/>
                <w:bCs/>
                <w:sz w:val="18"/>
                <w:szCs w:val="18"/>
              </w:rPr>
            </w:pPr>
            <w:r w:rsidRPr="00507E3F">
              <w:rPr>
                <w:rFonts w:ascii="Arial Narrow" w:hAnsi="Arial Narrow"/>
                <w:b/>
                <w:bCs/>
                <w:sz w:val="18"/>
                <w:szCs w:val="18"/>
              </w:rPr>
              <w:t>Электроснабжение:</w:t>
            </w:r>
          </w:p>
        </w:tc>
      </w:tr>
      <w:tr w:rsidR="00A64028" w:rsidRPr="00507E3F" w:rsidTr="00A6402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6" w:type="dxa"/>
        </w:trPr>
        <w:tc>
          <w:tcPr>
            <w:tcW w:w="720" w:type="dxa"/>
            <w:shd w:val="clear" w:color="auto" w:fill="auto"/>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4.3.3.1</w:t>
            </w:r>
          </w:p>
        </w:tc>
        <w:tc>
          <w:tcPr>
            <w:tcW w:w="1407" w:type="dxa"/>
            <w:shd w:val="clear" w:color="auto" w:fill="auto"/>
            <w:vAlign w:val="center"/>
            <w:hideMark/>
          </w:tcPr>
          <w:p w:rsidR="00A64028" w:rsidRPr="00507E3F" w:rsidRDefault="00A64028" w:rsidP="00103148">
            <w:pPr>
              <w:spacing w:after="0"/>
              <w:ind w:left="153" w:right="132"/>
              <w:jc w:val="both"/>
              <w:rPr>
                <w:rFonts w:ascii="Arial Narrow" w:hAnsi="Arial Narrow"/>
                <w:sz w:val="18"/>
                <w:szCs w:val="18"/>
              </w:rPr>
            </w:pPr>
            <w:r w:rsidRPr="00507E3F">
              <w:rPr>
                <w:rFonts w:ascii="Arial Narrow" w:hAnsi="Arial Narrow"/>
                <w:sz w:val="18"/>
                <w:szCs w:val="18"/>
              </w:rPr>
              <w:t>Удовлетворены сроками получения доступа к услугам, %</w:t>
            </w:r>
          </w:p>
        </w:tc>
        <w:tc>
          <w:tcPr>
            <w:tcW w:w="640"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36,8%</w:t>
            </w:r>
          </w:p>
        </w:tc>
        <w:tc>
          <w:tcPr>
            <w:tcW w:w="494"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0,0%</w:t>
            </w:r>
          </w:p>
        </w:tc>
        <w:tc>
          <w:tcPr>
            <w:tcW w:w="567"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20,0%</w:t>
            </w:r>
          </w:p>
        </w:tc>
        <w:tc>
          <w:tcPr>
            <w:tcW w:w="567"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24,0%</w:t>
            </w:r>
          </w:p>
        </w:tc>
        <w:tc>
          <w:tcPr>
            <w:tcW w:w="431"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32,9%</w:t>
            </w:r>
          </w:p>
        </w:tc>
        <w:tc>
          <w:tcPr>
            <w:tcW w:w="562"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16,0%</w:t>
            </w:r>
          </w:p>
        </w:tc>
        <w:tc>
          <w:tcPr>
            <w:tcW w:w="566"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24,0%</w:t>
            </w:r>
          </w:p>
        </w:tc>
        <w:tc>
          <w:tcPr>
            <w:tcW w:w="567"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45,7%</w:t>
            </w:r>
          </w:p>
        </w:tc>
        <w:tc>
          <w:tcPr>
            <w:tcW w:w="491"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40,6%</w:t>
            </w:r>
          </w:p>
        </w:tc>
        <w:tc>
          <w:tcPr>
            <w:tcW w:w="446"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3,3%</w:t>
            </w:r>
          </w:p>
        </w:tc>
        <w:tc>
          <w:tcPr>
            <w:tcW w:w="546"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24,0%</w:t>
            </w:r>
          </w:p>
        </w:tc>
        <w:tc>
          <w:tcPr>
            <w:tcW w:w="567" w:type="dxa"/>
            <w:shd w:val="clear" w:color="000000" w:fill="FFFFFF"/>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24,0%</w:t>
            </w:r>
          </w:p>
        </w:tc>
        <w:tc>
          <w:tcPr>
            <w:tcW w:w="567" w:type="dxa"/>
            <w:shd w:val="clear" w:color="000000" w:fill="FFFFFF"/>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51,0%</w:t>
            </w:r>
          </w:p>
        </w:tc>
        <w:tc>
          <w:tcPr>
            <w:tcW w:w="567" w:type="dxa"/>
            <w:shd w:val="clear" w:color="000000" w:fill="FFFFFF"/>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20,0%</w:t>
            </w:r>
          </w:p>
        </w:tc>
      </w:tr>
      <w:tr w:rsidR="00A64028" w:rsidRPr="00507E3F" w:rsidTr="00A6402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6" w:type="dxa"/>
        </w:trPr>
        <w:tc>
          <w:tcPr>
            <w:tcW w:w="720" w:type="dxa"/>
            <w:shd w:val="clear" w:color="auto" w:fill="auto"/>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4.3.3.2.</w:t>
            </w:r>
          </w:p>
        </w:tc>
        <w:tc>
          <w:tcPr>
            <w:tcW w:w="1407" w:type="dxa"/>
            <w:shd w:val="clear" w:color="auto" w:fill="auto"/>
            <w:vAlign w:val="center"/>
            <w:hideMark/>
          </w:tcPr>
          <w:p w:rsidR="00A64028" w:rsidRPr="00507E3F" w:rsidRDefault="00A64028" w:rsidP="00103148">
            <w:pPr>
              <w:spacing w:after="0"/>
              <w:ind w:left="153" w:right="132"/>
              <w:jc w:val="both"/>
              <w:rPr>
                <w:rFonts w:ascii="Arial Narrow" w:hAnsi="Arial Narrow"/>
                <w:sz w:val="18"/>
                <w:szCs w:val="18"/>
              </w:rPr>
            </w:pPr>
            <w:r w:rsidRPr="00507E3F">
              <w:rPr>
                <w:rFonts w:ascii="Arial Narrow" w:hAnsi="Arial Narrow"/>
                <w:sz w:val="18"/>
                <w:szCs w:val="18"/>
              </w:rPr>
              <w:t>Удовлетворены сложностью (количеством) процедур подключения, %</w:t>
            </w:r>
          </w:p>
        </w:tc>
        <w:tc>
          <w:tcPr>
            <w:tcW w:w="640"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29,0%</w:t>
            </w:r>
          </w:p>
        </w:tc>
        <w:tc>
          <w:tcPr>
            <w:tcW w:w="494"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0,0%</w:t>
            </w:r>
          </w:p>
        </w:tc>
        <w:tc>
          <w:tcPr>
            <w:tcW w:w="567"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0,0%</w:t>
            </w:r>
          </w:p>
        </w:tc>
        <w:tc>
          <w:tcPr>
            <w:tcW w:w="567"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28,0%</w:t>
            </w:r>
          </w:p>
        </w:tc>
        <w:tc>
          <w:tcPr>
            <w:tcW w:w="431"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28,6%</w:t>
            </w:r>
          </w:p>
        </w:tc>
        <w:tc>
          <w:tcPr>
            <w:tcW w:w="562"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16,0%</w:t>
            </w:r>
          </w:p>
        </w:tc>
        <w:tc>
          <w:tcPr>
            <w:tcW w:w="566"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12,0%</w:t>
            </w:r>
          </w:p>
        </w:tc>
        <w:tc>
          <w:tcPr>
            <w:tcW w:w="567"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30,0%</w:t>
            </w:r>
          </w:p>
        </w:tc>
        <w:tc>
          <w:tcPr>
            <w:tcW w:w="491"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27,8%</w:t>
            </w:r>
          </w:p>
        </w:tc>
        <w:tc>
          <w:tcPr>
            <w:tcW w:w="446"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6,7%</w:t>
            </w:r>
          </w:p>
        </w:tc>
        <w:tc>
          <w:tcPr>
            <w:tcW w:w="546"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16,0%</w:t>
            </w:r>
          </w:p>
        </w:tc>
        <w:tc>
          <w:tcPr>
            <w:tcW w:w="567"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12,0%</w:t>
            </w:r>
          </w:p>
        </w:tc>
        <w:tc>
          <w:tcPr>
            <w:tcW w:w="567"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48,0%</w:t>
            </w:r>
          </w:p>
        </w:tc>
        <w:tc>
          <w:tcPr>
            <w:tcW w:w="567"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20,0%</w:t>
            </w:r>
          </w:p>
        </w:tc>
      </w:tr>
      <w:tr w:rsidR="00A64028" w:rsidRPr="00507E3F" w:rsidTr="00A6402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6" w:type="dxa"/>
        </w:trPr>
        <w:tc>
          <w:tcPr>
            <w:tcW w:w="720" w:type="dxa"/>
            <w:shd w:val="clear" w:color="auto" w:fill="auto"/>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4.3.3.3.</w:t>
            </w:r>
          </w:p>
        </w:tc>
        <w:tc>
          <w:tcPr>
            <w:tcW w:w="1407" w:type="dxa"/>
            <w:shd w:val="clear" w:color="auto" w:fill="auto"/>
            <w:vAlign w:val="center"/>
            <w:hideMark/>
          </w:tcPr>
          <w:p w:rsidR="00A64028" w:rsidRPr="00507E3F" w:rsidRDefault="00A64028" w:rsidP="00103148">
            <w:pPr>
              <w:spacing w:after="0"/>
              <w:ind w:left="153" w:right="132"/>
              <w:jc w:val="both"/>
              <w:rPr>
                <w:rFonts w:ascii="Arial Narrow" w:hAnsi="Arial Narrow"/>
                <w:sz w:val="18"/>
                <w:szCs w:val="18"/>
              </w:rPr>
            </w:pPr>
            <w:r w:rsidRPr="00507E3F">
              <w:rPr>
                <w:rFonts w:ascii="Arial Narrow" w:hAnsi="Arial Narrow"/>
                <w:sz w:val="18"/>
                <w:szCs w:val="18"/>
              </w:rPr>
              <w:t>Удовлетворены стоимостью подключения, %</w:t>
            </w:r>
          </w:p>
        </w:tc>
        <w:tc>
          <w:tcPr>
            <w:tcW w:w="640"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21,6%</w:t>
            </w:r>
          </w:p>
        </w:tc>
        <w:tc>
          <w:tcPr>
            <w:tcW w:w="494"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0,0%</w:t>
            </w:r>
          </w:p>
        </w:tc>
        <w:tc>
          <w:tcPr>
            <w:tcW w:w="567"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0,0%</w:t>
            </w:r>
          </w:p>
        </w:tc>
        <w:tc>
          <w:tcPr>
            <w:tcW w:w="567"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16,0%</w:t>
            </w:r>
          </w:p>
        </w:tc>
        <w:tc>
          <w:tcPr>
            <w:tcW w:w="431"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24,3%</w:t>
            </w:r>
          </w:p>
        </w:tc>
        <w:tc>
          <w:tcPr>
            <w:tcW w:w="562"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12,0%</w:t>
            </w:r>
          </w:p>
        </w:tc>
        <w:tc>
          <w:tcPr>
            <w:tcW w:w="566"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12,0%</w:t>
            </w:r>
          </w:p>
        </w:tc>
        <w:tc>
          <w:tcPr>
            <w:tcW w:w="567"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22,9%</w:t>
            </w:r>
          </w:p>
        </w:tc>
        <w:tc>
          <w:tcPr>
            <w:tcW w:w="491"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18,9%</w:t>
            </w:r>
          </w:p>
        </w:tc>
        <w:tc>
          <w:tcPr>
            <w:tcW w:w="446"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5,0%</w:t>
            </w:r>
          </w:p>
        </w:tc>
        <w:tc>
          <w:tcPr>
            <w:tcW w:w="546"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16,0%</w:t>
            </w:r>
          </w:p>
        </w:tc>
        <w:tc>
          <w:tcPr>
            <w:tcW w:w="567"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12,0%</w:t>
            </w:r>
          </w:p>
        </w:tc>
        <w:tc>
          <w:tcPr>
            <w:tcW w:w="567"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29,0%</w:t>
            </w:r>
          </w:p>
        </w:tc>
        <w:tc>
          <w:tcPr>
            <w:tcW w:w="567"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10,0%</w:t>
            </w:r>
          </w:p>
        </w:tc>
      </w:tr>
      <w:tr w:rsidR="00A64028" w:rsidRPr="00507E3F" w:rsidTr="00A6402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6" w:type="dxa"/>
        </w:trPr>
        <w:tc>
          <w:tcPr>
            <w:tcW w:w="720" w:type="dxa"/>
            <w:shd w:val="clear" w:color="auto" w:fill="auto"/>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4.3.3.4.</w:t>
            </w:r>
          </w:p>
        </w:tc>
        <w:tc>
          <w:tcPr>
            <w:tcW w:w="1407" w:type="dxa"/>
            <w:shd w:val="clear" w:color="auto" w:fill="auto"/>
            <w:vAlign w:val="center"/>
            <w:hideMark/>
          </w:tcPr>
          <w:p w:rsidR="00A64028" w:rsidRPr="00507E3F" w:rsidRDefault="00A64028" w:rsidP="00103148">
            <w:pPr>
              <w:spacing w:after="0"/>
              <w:ind w:left="153" w:right="132"/>
              <w:jc w:val="both"/>
              <w:rPr>
                <w:rFonts w:ascii="Arial Narrow" w:hAnsi="Arial Narrow"/>
                <w:sz w:val="18"/>
                <w:szCs w:val="18"/>
              </w:rPr>
            </w:pPr>
            <w:r w:rsidRPr="00507E3F">
              <w:rPr>
                <w:rFonts w:ascii="Arial Narrow" w:hAnsi="Arial Narrow"/>
                <w:sz w:val="18"/>
                <w:szCs w:val="18"/>
              </w:rPr>
              <w:t>Удовлетворены стоимостью предоставляемых услуг, %</w:t>
            </w:r>
          </w:p>
        </w:tc>
        <w:tc>
          <w:tcPr>
            <w:tcW w:w="640"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34,5%</w:t>
            </w:r>
          </w:p>
        </w:tc>
        <w:tc>
          <w:tcPr>
            <w:tcW w:w="494"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70,0%</w:t>
            </w:r>
          </w:p>
        </w:tc>
        <w:tc>
          <w:tcPr>
            <w:tcW w:w="567"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60,0%</w:t>
            </w:r>
          </w:p>
        </w:tc>
        <w:tc>
          <w:tcPr>
            <w:tcW w:w="567"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40,0%</w:t>
            </w:r>
          </w:p>
        </w:tc>
        <w:tc>
          <w:tcPr>
            <w:tcW w:w="431"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45,7%</w:t>
            </w:r>
          </w:p>
        </w:tc>
        <w:tc>
          <w:tcPr>
            <w:tcW w:w="562"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36,0%</w:t>
            </w:r>
          </w:p>
        </w:tc>
        <w:tc>
          <w:tcPr>
            <w:tcW w:w="566"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20,0%</w:t>
            </w:r>
          </w:p>
        </w:tc>
        <w:tc>
          <w:tcPr>
            <w:tcW w:w="567"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40,0%</w:t>
            </w:r>
          </w:p>
        </w:tc>
        <w:tc>
          <w:tcPr>
            <w:tcW w:w="491"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29,4%</w:t>
            </w:r>
          </w:p>
        </w:tc>
        <w:tc>
          <w:tcPr>
            <w:tcW w:w="446"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15,0%</w:t>
            </w:r>
          </w:p>
        </w:tc>
        <w:tc>
          <w:tcPr>
            <w:tcW w:w="546"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40,0%</w:t>
            </w:r>
          </w:p>
        </w:tc>
        <w:tc>
          <w:tcPr>
            <w:tcW w:w="567"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48,0%</w:t>
            </w:r>
          </w:p>
        </w:tc>
        <w:tc>
          <w:tcPr>
            <w:tcW w:w="567"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29,0%</w:t>
            </w:r>
          </w:p>
        </w:tc>
        <w:tc>
          <w:tcPr>
            <w:tcW w:w="567"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30,0%</w:t>
            </w:r>
          </w:p>
        </w:tc>
      </w:tr>
      <w:tr w:rsidR="00A64028" w:rsidRPr="00507E3F" w:rsidTr="00A6402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6" w:type="dxa"/>
        </w:trPr>
        <w:tc>
          <w:tcPr>
            <w:tcW w:w="720" w:type="dxa"/>
            <w:shd w:val="clear" w:color="auto" w:fill="auto"/>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4.3.3.5.</w:t>
            </w:r>
          </w:p>
        </w:tc>
        <w:tc>
          <w:tcPr>
            <w:tcW w:w="1407" w:type="dxa"/>
            <w:shd w:val="clear" w:color="auto" w:fill="auto"/>
            <w:vAlign w:val="center"/>
            <w:hideMark/>
          </w:tcPr>
          <w:p w:rsidR="00A64028" w:rsidRPr="00507E3F" w:rsidRDefault="00A64028" w:rsidP="00103148">
            <w:pPr>
              <w:spacing w:after="0"/>
              <w:ind w:left="153" w:right="132"/>
              <w:jc w:val="both"/>
              <w:rPr>
                <w:rFonts w:ascii="Arial Narrow" w:hAnsi="Arial Narrow"/>
                <w:sz w:val="18"/>
                <w:szCs w:val="18"/>
              </w:rPr>
            </w:pPr>
            <w:r w:rsidRPr="00507E3F">
              <w:rPr>
                <w:rFonts w:ascii="Arial Narrow" w:hAnsi="Arial Narrow"/>
                <w:sz w:val="18"/>
                <w:szCs w:val="18"/>
              </w:rPr>
              <w:t>Удовлетворены качеством предоставляемых услуг, %</w:t>
            </w:r>
          </w:p>
        </w:tc>
        <w:tc>
          <w:tcPr>
            <w:tcW w:w="640"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65,6%</w:t>
            </w:r>
          </w:p>
        </w:tc>
        <w:tc>
          <w:tcPr>
            <w:tcW w:w="494"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70,0%</w:t>
            </w:r>
          </w:p>
        </w:tc>
        <w:tc>
          <w:tcPr>
            <w:tcW w:w="567"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80,0%</w:t>
            </w:r>
          </w:p>
        </w:tc>
        <w:tc>
          <w:tcPr>
            <w:tcW w:w="567"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76,0%</w:t>
            </w:r>
          </w:p>
        </w:tc>
        <w:tc>
          <w:tcPr>
            <w:tcW w:w="431"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81,4%</w:t>
            </w:r>
          </w:p>
        </w:tc>
        <w:tc>
          <w:tcPr>
            <w:tcW w:w="562"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72,0%</w:t>
            </w:r>
          </w:p>
        </w:tc>
        <w:tc>
          <w:tcPr>
            <w:tcW w:w="566"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64,0%</w:t>
            </w:r>
          </w:p>
        </w:tc>
        <w:tc>
          <w:tcPr>
            <w:tcW w:w="567"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71,4%</w:t>
            </w:r>
          </w:p>
        </w:tc>
        <w:tc>
          <w:tcPr>
            <w:tcW w:w="491"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62,2%</w:t>
            </w:r>
          </w:p>
        </w:tc>
        <w:tc>
          <w:tcPr>
            <w:tcW w:w="446"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45,0%</w:t>
            </w:r>
          </w:p>
        </w:tc>
        <w:tc>
          <w:tcPr>
            <w:tcW w:w="546"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72,0%</w:t>
            </w:r>
          </w:p>
        </w:tc>
        <w:tc>
          <w:tcPr>
            <w:tcW w:w="567"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76,0%</w:t>
            </w:r>
          </w:p>
        </w:tc>
        <w:tc>
          <w:tcPr>
            <w:tcW w:w="567"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67,0%</w:t>
            </w:r>
          </w:p>
        </w:tc>
        <w:tc>
          <w:tcPr>
            <w:tcW w:w="567"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60,0%</w:t>
            </w:r>
          </w:p>
        </w:tc>
      </w:tr>
      <w:tr w:rsidR="00A64028" w:rsidRPr="00507E3F" w:rsidTr="00A6402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720" w:type="dxa"/>
            <w:shd w:val="clear" w:color="auto" w:fill="auto"/>
            <w:vAlign w:val="center"/>
            <w:hideMark/>
          </w:tcPr>
          <w:p w:rsidR="00A64028" w:rsidRPr="00507E3F" w:rsidRDefault="00A64028" w:rsidP="00103148">
            <w:pPr>
              <w:spacing w:after="0"/>
              <w:jc w:val="center"/>
              <w:rPr>
                <w:rFonts w:ascii="Arial Narrow" w:hAnsi="Arial Narrow"/>
                <w:b/>
                <w:bCs/>
                <w:sz w:val="18"/>
                <w:szCs w:val="18"/>
              </w:rPr>
            </w:pPr>
            <w:r w:rsidRPr="00507E3F">
              <w:rPr>
                <w:rFonts w:ascii="Arial Narrow" w:hAnsi="Arial Narrow"/>
                <w:b/>
                <w:bCs/>
                <w:sz w:val="18"/>
                <w:szCs w:val="18"/>
              </w:rPr>
              <w:t>4.3.4.</w:t>
            </w:r>
          </w:p>
        </w:tc>
        <w:tc>
          <w:tcPr>
            <w:tcW w:w="8991" w:type="dxa"/>
            <w:gridSpan w:val="16"/>
            <w:shd w:val="clear" w:color="auto" w:fill="auto"/>
            <w:vAlign w:val="center"/>
            <w:hideMark/>
          </w:tcPr>
          <w:p w:rsidR="00A64028" w:rsidRPr="00507E3F" w:rsidRDefault="00A64028" w:rsidP="00103148">
            <w:pPr>
              <w:spacing w:after="0"/>
              <w:ind w:left="153" w:right="132"/>
              <w:jc w:val="center"/>
              <w:rPr>
                <w:rFonts w:ascii="Arial Narrow" w:hAnsi="Arial Narrow"/>
                <w:b/>
                <w:bCs/>
                <w:sz w:val="18"/>
                <w:szCs w:val="18"/>
              </w:rPr>
            </w:pPr>
            <w:r w:rsidRPr="00507E3F">
              <w:rPr>
                <w:rFonts w:ascii="Arial Narrow" w:hAnsi="Arial Narrow"/>
                <w:b/>
                <w:bCs/>
                <w:sz w:val="18"/>
                <w:szCs w:val="18"/>
              </w:rPr>
              <w:t>Теплоснабжение:</w:t>
            </w:r>
          </w:p>
        </w:tc>
      </w:tr>
      <w:tr w:rsidR="00A64028" w:rsidRPr="00507E3F" w:rsidTr="00A6402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6" w:type="dxa"/>
        </w:trPr>
        <w:tc>
          <w:tcPr>
            <w:tcW w:w="720" w:type="dxa"/>
            <w:shd w:val="clear" w:color="auto" w:fill="auto"/>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4.3.4.1.</w:t>
            </w:r>
          </w:p>
        </w:tc>
        <w:tc>
          <w:tcPr>
            <w:tcW w:w="1407" w:type="dxa"/>
            <w:shd w:val="clear" w:color="auto" w:fill="auto"/>
            <w:vAlign w:val="center"/>
            <w:hideMark/>
          </w:tcPr>
          <w:p w:rsidR="00A64028" w:rsidRPr="00507E3F" w:rsidRDefault="00A64028" w:rsidP="00103148">
            <w:pPr>
              <w:spacing w:after="0"/>
              <w:ind w:left="153" w:right="132"/>
              <w:jc w:val="both"/>
              <w:rPr>
                <w:rFonts w:ascii="Arial Narrow" w:hAnsi="Arial Narrow"/>
                <w:sz w:val="18"/>
                <w:szCs w:val="18"/>
              </w:rPr>
            </w:pPr>
            <w:r w:rsidRPr="00507E3F">
              <w:rPr>
                <w:rFonts w:ascii="Arial Narrow" w:hAnsi="Arial Narrow"/>
                <w:sz w:val="18"/>
                <w:szCs w:val="18"/>
              </w:rPr>
              <w:t>Удовлетворены сроками получения доступа к услугам, %</w:t>
            </w:r>
          </w:p>
        </w:tc>
        <w:tc>
          <w:tcPr>
            <w:tcW w:w="640"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35,3%</w:t>
            </w:r>
          </w:p>
        </w:tc>
        <w:tc>
          <w:tcPr>
            <w:tcW w:w="494"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0,0%</w:t>
            </w:r>
          </w:p>
        </w:tc>
        <w:tc>
          <w:tcPr>
            <w:tcW w:w="567"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20,0%</w:t>
            </w:r>
          </w:p>
        </w:tc>
        <w:tc>
          <w:tcPr>
            <w:tcW w:w="567"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20,0%</w:t>
            </w:r>
          </w:p>
        </w:tc>
        <w:tc>
          <w:tcPr>
            <w:tcW w:w="431"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32,9%</w:t>
            </w:r>
          </w:p>
        </w:tc>
        <w:tc>
          <w:tcPr>
            <w:tcW w:w="562"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16,0%</w:t>
            </w:r>
          </w:p>
        </w:tc>
        <w:tc>
          <w:tcPr>
            <w:tcW w:w="566"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24,0%</w:t>
            </w:r>
          </w:p>
        </w:tc>
        <w:tc>
          <w:tcPr>
            <w:tcW w:w="567"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40,0%</w:t>
            </w:r>
          </w:p>
        </w:tc>
        <w:tc>
          <w:tcPr>
            <w:tcW w:w="491"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41,1%</w:t>
            </w:r>
          </w:p>
        </w:tc>
        <w:tc>
          <w:tcPr>
            <w:tcW w:w="446"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3,3%</w:t>
            </w:r>
          </w:p>
        </w:tc>
        <w:tc>
          <w:tcPr>
            <w:tcW w:w="546"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16,0%</w:t>
            </w:r>
          </w:p>
        </w:tc>
        <w:tc>
          <w:tcPr>
            <w:tcW w:w="567" w:type="dxa"/>
            <w:shd w:val="clear" w:color="000000" w:fill="FFFFFF"/>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24,0%</w:t>
            </w:r>
          </w:p>
        </w:tc>
        <w:tc>
          <w:tcPr>
            <w:tcW w:w="567" w:type="dxa"/>
            <w:shd w:val="clear" w:color="000000" w:fill="FFFFFF"/>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37,0%</w:t>
            </w:r>
          </w:p>
        </w:tc>
        <w:tc>
          <w:tcPr>
            <w:tcW w:w="567" w:type="dxa"/>
            <w:shd w:val="clear" w:color="000000" w:fill="FFFFFF"/>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30,0%</w:t>
            </w:r>
          </w:p>
        </w:tc>
      </w:tr>
      <w:tr w:rsidR="00A64028" w:rsidRPr="00507E3F" w:rsidTr="00A6402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6" w:type="dxa"/>
        </w:trPr>
        <w:tc>
          <w:tcPr>
            <w:tcW w:w="720" w:type="dxa"/>
            <w:shd w:val="clear" w:color="auto" w:fill="auto"/>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4.3.4.2.</w:t>
            </w:r>
          </w:p>
        </w:tc>
        <w:tc>
          <w:tcPr>
            <w:tcW w:w="1407" w:type="dxa"/>
            <w:shd w:val="clear" w:color="auto" w:fill="auto"/>
            <w:vAlign w:val="center"/>
            <w:hideMark/>
          </w:tcPr>
          <w:p w:rsidR="00A64028" w:rsidRPr="00507E3F" w:rsidRDefault="00A64028" w:rsidP="00103148">
            <w:pPr>
              <w:spacing w:after="0"/>
              <w:ind w:left="153" w:right="132"/>
              <w:jc w:val="both"/>
              <w:rPr>
                <w:rFonts w:ascii="Arial Narrow" w:hAnsi="Arial Narrow"/>
                <w:sz w:val="18"/>
                <w:szCs w:val="18"/>
              </w:rPr>
            </w:pPr>
            <w:r w:rsidRPr="00507E3F">
              <w:rPr>
                <w:rFonts w:ascii="Arial Narrow" w:hAnsi="Arial Narrow"/>
                <w:sz w:val="18"/>
                <w:szCs w:val="18"/>
              </w:rPr>
              <w:t>Удовлетворены сложностью (количеством) процедур подключения, %</w:t>
            </w:r>
          </w:p>
        </w:tc>
        <w:tc>
          <w:tcPr>
            <w:tcW w:w="640"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28,0%</w:t>
            </w:r>
          </w:p>
        </w:tc>
        <w:tc>
          <w:tcPr>
            <w:tcW w:w="494"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0,0%</w:t>
            </w:r>
          </w:p>
        </w:tc>
        <w:tc>
          <w:tcPr>
            <w:tcW w:w="567"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0,0%</w:t>
            </w:r>
          </w:p>
        </w:tc>
        <w:tc>
          <w:tcPr>
            <w:tcW w:w="567"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24,0%</w:t>
            </w:r>
          </w:p>
        </w:tc>
        <w:tc>
          <w:tcPr>
            <w:tcW w:w="431"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27,1%</w:t>
            </w:r>
          </w:p>
        </w:tc>
        <w:tc>
          <w:tcPr>
            <w:tcW w:w="562"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16,0%</w:t>
            </w:r>
          </w:p>
        </w:tc>
        <w:tc>
          <w:tcPr>
            <w:tcW w:w="566"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12,0%</w:t>
            </w:r>
          </w:p>
        </w:tc>
        <w:tc>
          <w:tcPr>
            <w:tcW w:w="567"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28,6%</w:t>
            </w:r>
          </w:p>
        </w:tc>
        <w:tc>
          <w:tcPr>
            <w:tcW w:w="491"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28,9%</w:t>
            </w:r>
          </w:p>
        </w:tc>
        <w:tc>
          <w:tcPr>
            <w:tcW w:w="446"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6,7%</w:t>
            </w:r>
          </w:p>
        </w:tc>
        <w:tc>
          <w:tcPr>
            <w:tcW w:w="546"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8,0%</w:t>
            </w:r>
          </w:p>
        </w:tc>
        <w:tc>
          <w:tcPr>
            <w:tcW w:w="567"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12,0%</w:t>
            </w:r>
          </w:p>
        </w:tc>
        <w:tc>
          <w:tcPr>
            <w:tcW w:w="567"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35,0%</w:t>
            </w:r>
          </w:p>
        </w:tc>
        <w:tc>
          <w:tcPr>
            <w:tcW w:w="567"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20,0%</w:t>
            </w:r>
          </w:p>
        </w:tc>
      </w:tr>
    </w:tbl>
    <w:p w:rsidR="00F170CC" w:rsidRDefault="00F170CC"/>
    <w:p w:rsidR="00F170CC" w:rsidRPr="00F170CC" w:rsidRDefault="00F170CC" w:rsidP="00F170CC">
      <w:pPr>
        <w:spacing w:after="0" w:line="240" w:lineRule="auto"/>
        <w:jc w:val="right"/>
        <w:rPr>
          <w:rFonts w:ascii="Arial Narrow" w:hAnsi="Arial Narrow"/>
          <w:sz w:val="24"/>
          <w:szCs w:val="24"/>
        </w:rPr>
      </w:pPr>
      <w:r w:rsidRPr="00BF6DC4">
        <w:rPr>
          <w:rFonts w:ascii="Arial Narrow" w:hAnsi="Arial Narrow"/>
          <w:sz w:val="24"/>
          <w:szCs w:val="24"/>
        </w:rPr>
        <w:lastRenderedPageBreak/>
        <w:t xml:space="preserve">Продолжение Таблицы </w:t>
      </w:r>
      <w:r>
        <w:rPr>
          <w:rFonts w:ascii="Arial Narrow" w:hAnsi="Arial Narrow"/>
          <w:sz w:val="24"/>
          <w:szCs w:val="24"/>
        </w:rPr>
        <w:t>7.53</w:t>
      </w:r>
    </w:p>
    <w:tbl>
      <w:tblPr>
        <w:tblW w:w="970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720"/>
        <w:gridCol w:w="1407"/>
        <w:gridCol w:w="640"/>
        <w:gridCol w:w="494"/>
        <w:gridCol w:w="567"/>
        <w:gridCol w:w="567"/>
        <w:gridCol w:w="431"/>
        <w:gridCol w:w="562"/>
        <w:gridCol w:w="566"/>
        <w:gridCol w:w="567"/>
        <w:gridCol w:w="491"/>
        <w:gridCol w:w="446"/>
        <w:gridCol w:w="546"/>
        <w:gridCol w:w="567"/>
        <w:gridCol w:w="567"/>
        <w:gridCol w:w="567"/>
      </w:tblGrid>
      <w:tr w:rsidR="00A64028" w:rsidRPr="00507E3F" w:rsidTr="00F170CC">
        <w:tc>
          <w:tcPr>
            <w:tcW w:w="720" w:type="dxa"/>
            <w:shd w:val="clear" w:color="auto" w:fill="auto"/>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4.3.4.3.</w:t>
            </w:r>
          </w:p>
        </w:tc>
        <w:tc>
          <w:tcPr>
            <w:tcW w:w="1407" w:type="dxa"/>
            <w:shd w:val="clear" w:color="auto" w:fill="auto"/>
            <w:vAlign w:val="center"/>
            <w:hideMark/>
          </w:tcPr>
          <w:p w:rsidR="00A64028" w:rsidRPr="00507E3F" w:rsidRDefault="00A64028" w:rsidP="00103148">
            <w:pPr>
              <w:spacing w:after="0"/>
              <w:ind w:left="153" w:right="132"/>
              <w:jc w:val="both"/>
              <w:rPr>
                <w:rFonts w:ascii="Arial Narrow" w:hAnsi="Arial Narrow"/>
                <w:sz w:val="18"/>
                <w:szCs w:val="18"/>
              </w:rPr>
            </w:pPr>
            <w:r w:rsidRPr="00507E3F">
              <w:rPr>
                <w:rFonts w:ascii="Arial Narrow" w:hAnsi="Arial Narrow"/>
                <w:sz w:val="18"/>
                <w:szCs w:val="18"/>
              </w:rPr>
              <w:t>Удовлетворены стоимостью подключения, %</w:t>
            </w:r>
          </w:p>
        </w:tc>
        <w:tc>
          <w:tcPr>
            <w:tcW w:w="640"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20,3%</w:t>
            </w:r>
          </w:p>
        </w:tc>
        <w:tc>
          <w:tcPr>
            <w:tcW w:w="494"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0,0%</w:t>
            </w:r>
          </w:p>
        </w:tc>
        <w:tc>
          <w:tcPr>
            <w:tcW w:w="567"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0,0%</w:t>
            </w:r>
          </w:p>
        </w:tc>
        <w:tc>
          <w:tcPr>
            <w:tcW w:w="567"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12,0%</w:t>
            </w:r>
          </w:p>
        </w:tc>
        <w:tc>
          <w:tcPr>
            <w:tcW w:w="431"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21,4%</w:t>
            </w:r>
          </w:p>
        </w:tc>
        <w:tc>
          <w:tcPr>
            <w:tcW w:w="562"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12,0%</w:t>
            </w:r>
          </w:p>
        </w:tc>
        <w:tc>
          <w:tcPr>
            <w:tcW w:w="566"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12,0%</w:t>
            </w:r>
          </w:p>
        </w:tc>
        <w:tc>
          <w:tcPr>
            <w:tcW w:w="567"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21,4%</w:t>
            </w:r>
          </w:p>
        </w:tc>
        <w:tc>
          <w:tcPr>
            <w:tcW w:w="491"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17,2%</w:t>
            </w:r>
          </w:p>
        </w:tc>
        <w:tc>
          <w:tcPr>
            <w:tcW w:w="446"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0,0%</w:t>
            </w:r>
          </w:p>
        </w:tc>
        <w:tc>
          <w:tcPr>
            <w:tcW w:w="546"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8,0%</w:t>
            </w:r>
          </w:p>
        </w:tc>
        <w:tc>
          <w:tcPr>
            <w:tcW w:w="567"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8,0%</w:t>
            </w:r>
          </w:p>
        </w:tc>
        <w:tc>
          <w:tcPr>
            <w:tcW w:w="567"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24,0%</w:t>
            </w:r>
          </w:p>
        </w:tc>
        <w:tc>
          <w:tcPr>
            <w:tcW w:w="567"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10,0%</w:t>
            </w:r>
          </w:p>
        </w:tc>
      </w:tr>
      <w:tr w:rsidR="00A64028" w:rsidRPr="00507E3F" w:rsidTr="00F170CC">
        <w:tc>
          <w:tcPr>
            <w:tcW w:w="720" w:type="dxa"/>
            <w:shd w:val="clear" w:color="auto" w:fill="auto"/>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4.3.4.4.</w:t>
            </w:r>
          </w:p>
        </w:tc>
        <w:tc>
          <w:tcPr>
            <w:tcW w:w="1407" w:type="dxa"/>
            <w:shd w:val="clear" w:color="auto" w:fill="auto"/>
            <w:vAlign w:val="center"/>
            <w:hideMark/>
          </w:tcPr>
          <w:p w:rsidR="00A64028" w:rsidRPr="00507E3F" w:rsidRDefault="00A64028" w:rsidP="00103148">
            <w:pPr>
              <w:spacing w:after="0"/>
              <w:ind w:left="153" w:right="132"/>
              <w:jc w:val="both"/>
              <w:rPr>
                <w:rFonts w:ascii="Arial Narrow" w:hAnsi="Arial Narrow"/>
                <w:sz w:val="18"/>
                <w:szCs w:val="18"/>
              </w:rPr>
            </w:pPr>
            <w:r w:rsidRPr="00507E3F">
              <w:rPr>
                <w:rFonts w:ascii="Arial Narrow" w:hAnsi="Arial Narrow"/>
                <w:sz w:val="18"/>
                <w:szCs w:val="18"/>
              </w:rPr>
              <w:t>Удовлетворены стоимостью предоставляемых услуг, %</w:t>
            </w:r>
          </w:p>
        </w:tc>
        <w:tc>
          <w:tcPr>
            <w:tcW w:w="640"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33,4%</w:t>
            </w:r>
          </w:p>
        </w:tc>
        <w:tc>
          <w:tcPr>
            <w:tcW w:w="494"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70,0%</w:t>
            </w:r>
          </w:p>
        </w:tc>
        <w:tc>
          <w:tcPr>
            <w:tcW w:w="567"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60,0%</w:t>
            </w:r>
          </w:p>
        </w:tc>
        <w:tc>
          <w:tcPr>
            <w:tcW w:w="567"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40,0%</w:t>
            </w:r>
          </w:p>
        </w:tc>
        <w:tc>
          <w:tcPr>
            <w:tcW w:w="431"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41,4%</w:t>
            </w:r>
          </w:p>
        </w:tc>
        <w:tc>
          <w:tcPr>
            <w:tcW w:w="562"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36,0%</w:t>
            </w:r>
          </w:p>
        </w:tc>
        <w:tc>
          <w:tcPr>
            <w:tcW w:w="566"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24,0%</w:t>
            </w:r>
          </w:p>
        </w:tc>
        <w:tc>
          <w:tcPr>
            <w:tcW w:w="567"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35,7%</w:t>
            </w:r>
          </w:p>
        </w:tc>
        <w:tc>
          <w:tcPr>
            <w:tcW w:w="491"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30,6%</w:t>
            </w:r>
          </w:p>
        </w:tc>
        <w:tc>
          <w:tcPr>
            <w:tcW w:w="446"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15,0%</w:t>
            </w:r>
          </w:p>
        </w:tc>
        <w:tc>
          <w:tcPr>
            <w:tcW w:w="546"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32,0%</w:t>
            </w:r>
          </w:p>
        </w:tc>
        <w:tc>
          <w:tcPr>
            <w:tcW w:w="567"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48,0%</w:t>
            </w:r>
          </w:p>
        </w:tc>
        <w:tc>
          <w:tcPr>
            <w:tcW w:w="567"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27,0%</w:t>
            </w:r>
          </w:p>
        </w:tc>
        <w:tc>
          <w:tcPr>
            <w:tcW w:w="567"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30,0%</w:t>
            </w:r>
          </w:p>
        </w:tc>
      </w:tr>
      <w:tr w:rsidR="00A64028" w:rsidRPr="00507E3F" w:rsidTr="00F170CC">
        <w:tc>
          <w:tcPr>
            <w:tcW w:w="720" w:type="dxa"/>
            <w:shd w:val="clear" w:color="auto" w:fill="auto"/>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4.3.4.5.</w:t>
            </w:r>
          </w:p>
        </w:tc>
        <w:tc>
          <w:tcPr>
            <w:tcW w:w="1407" w:type="dxa"/>
            <w:shd w:val="clear" w:color="auto" w:fill="auto"/>
            <w:vAlign w:val="center"/>
            <w:hideMark/>
          </w:tcPr>
          <w:p w:rsidR="00A64028" w:rsidRPr="00507E3F" w:rsidRDefault="00A64028" w:rsidP="00103148">
            <w:pPr>
              <w:spacing w:after="0"/>
              <w:ind w:left="153" w:right="132"/>
              <w:jc w:val="both"/>
              <w:rPr>
                <w:rFonts w:ascii="Arial Narrow" w:hAnsi="Arial Narrow"/>
                <w:sz w:val="18"/>
                <w:szCs w:val="18"/>
              </w:rPr>
            </w:pPr>
            <w:r w:rsidRPr="00507E3F">
              <w:rPr>
                <w:rFonts w:ascii="Arial Narrow" w:hAnsi="Arial Narrow"/>
                <w:sz w:val="18"/>
                <w:szCs w:val="18"/>
              </w:rPr>
              <w:t>Удовлетворены качеством предоставляемых услуг, %</w:t>
            </w:r>
          </w:p>
        </w:tc>
        <w:tc>
          <w:tcPr>
            <w:tcW w:w="640"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61,5%</w:t>
            </w:r>
          </w:p>
        </w:tc>
        <w:tc>
          <w:tcPr>
            <w:tcW w:w="494"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70,0%</w:t>
            </w:r>
          </w:p>
        </w:tc>
        <w:tc>
          <w:tcPr>
            <w:tcW w:w="567"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60,0%</w:t>
            </w:r>
          </w:p>
        </w:tc>
        <w:tc>
          <w:tcPr>
            <w:tcW w:w="567"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72,0%</w:t>
            </w:r>
          </w:p>
        </w:tc>
        <w:tc>
          <w:tcPr>
            <w:tcW w:w="431"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77,1%</w:t>
            </w:r>
          </w:p>
        </w:tc>
        <w:tc>
          <w:tcPr>
            <w:tcW w:w="562"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76,0%</w:t>
            </w:r>
          </w:p>
        </w:tc>
        <w:tc>
          <w:tcPr>
            <w:tcW w:w="566"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60,0%</w:t>
            </w:r>
          </w:p>
        </w:tc>
        <w:tc>
          <w:tcPr>
            <w:tcW w:w="567"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72,9%</w:t>
            </w:r>
          </w:p>
        </w:tc>
        <w:tc>
          <w:tcPr>
            <w:tcW w:w="491"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60,0%</w:t>
            </w:r>
          </w:p>
        </w:tc>
        <w:tc>
          <w:tcPr>
            <w:tcW w:w="446"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50,0%</w:t>
            </w:r>
          </w:p>
        </w:tc>
        <w:tc>
          <w:tcPr>
            <w:tcW w:w="546"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64,0%</w:t>
            </w:r>
          </w:p>
        </w:tc>
        <w:tc>
          <w:tcPr>
            <w:tcW w:w="567"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72,0%</w:t>
            </w:r>
          </w:p>
        </w:tc>
        <w:tc>
          <w:tcPr>
            <w:tcW w:w="567"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50,0%</w:t>
            </w:r>
          </w:p>
        </w:tc>
        <w:tc>
          <w:tcPr>
            <w:tcW w:w="567" w:type="dxa"/>
            <w:shd w:val="clear" w:color="auto" w:fill="auto"/>
            <w:noWrap/>
            <w:vAlign w:val="center"/>
            <w:hideMark/>
          </w:tcPr>
          <w:p w:rsidR="00A64028" w:rsidRPr="00507E3F" w:rsidRDefault="00A64028" w:rsidP="00103148">
            <w:pPr>
              <w:spacing w:after="0"/>
              <w:jc w:val="center"/>
              <w:rPr>
                <w:rFonts w:ascii="Arial Narrow" w:hAnsi="Arial Narrow"/>
                <w:sz w:val="18"/>
                <w:szCs w:val="18"/>
              </w:rPr>
            </w:pPr>
            <w:r w:rsidRPr="00507E3F">
              <w:rPr>
                <w:rFonts w:ascii="Arial Narrow" w:hAnsi="Arial Narrow"/>
                <w:sz w:val="18"/>
                <w:szCs w:val="18"/>
              </w:rPr>
              <w:t>40,0%</w:t>
            </w:r>
          </w:p>
        </w:tc>
      </w:tr>
    </w:tbl>
    <w:p w:rsidR="00A64028" w:rsidRPr="00B07AB8" w:rsidRDefault="00A64028" w:rsidP="00103148">
      <w:pPr>
        <w:spacing w:after="0" w:line="360" w:lineRule="auto"/>
        <w:ind w:firstLine="284"/>
        <w:jc w:val="both"/>
        <w:rPr>
          <w:rFonts w:ascii="Arial Narrow" w:hAnsi="Arial Narrow"/>
          <w:sz w:val="24"/>
          <w:szCs w:val="24"/>
        </w:rPr>
      </w:pPr>
    </w:p>
    <w:p w:rsidR="00A64028" w:rsidRDefault="00A64028" w:rsidP="00103148">
      <w:pPr>
        <w:spacing w:after="0"/>
        <w:ind w:firstLine="567"/>
        <w:jc w:val="both"/>
        <w:rPr>
          <w:rFonts w:ascii="Arial Narrow" w:hAnsi="Arial Narrow"/>
        </w:rPr>
      </w:pPr>
    </w:p>
    <w:p w:rsidR="00A64028" w:rsidRPr="0030560B" w:rsidRDefault="00A64028" w:rsidP="006C1D6C">
      <w:pPr>
        <w:pStyle w:val="3"/>
        <w:jc w:val="both"/>
        <w:rPr>
          <w:rFonts w:ascii="Arial Narrow" w:hAnsi="Arial Narrow"/>
        </w:rPr>
      </w:pPr>
      <w:bookmarkStart w:id="108" w:name="_Toc469663945"/>
      <w:bookmarkStart w:id="109" w:name="_Toc473725882"/>
      <w:r>
        <w:rPr>
          <w:rFonts w:ascii="Arial Narrow" w:hAnsi="Arial Narrow"/>
        </w:rPr>
        <w:t>5</w:t>
      </w:r>
      <w:r w:rsidRPr="0030560B">
        <w:rPr>
          <w:rFonts w:ascii="Arial Narrow" w:hAnsi="Arial Narrow"/>
        </w:rPr>
        <w:t>.3.2. Удовлетворенность потребителей качеством товаров, работ, услуг, предоставляемых субъектами естественных монополий</w:t>
      </w:r>
      <w:bookmarkEnd w:id="108"/>
      <w:bookmarkEnd w:id="109"/>
    </w:p>
    <w:p w:rsidR="00A64028" w:rsidRPr="0030560B" w:rsidRDefault="00A64028" w:rsidP="00103148">
      <w:pPr>
        <w:spacing w:after="0"/>
        <w:ind w:firstLine="567"/>
        <w:jc w:val="both"/>
        <w:rPr>
          <w:rFonts w:ascii="Arial Narrow" w:hAnsi="Arial Narrow"/>
          <w:b/>
        </w:rPr>
      </w:pPr>
    </w:p>
    <w:p w:rsidR="00A64028" w:rsidRPr="00B07AB8" w:rsidRDefault="00A64028" w:rsidP="00103148">
      <w:pPr>
        <w:spacing w:after="0" w:line="360" w:lineRule="auto"/>
        <w:ind w:firstLine="284"/>
        <w:jc w:val="both"/>
        <w:rPr>
          <w:rFonts w:ascii="Arial Narrow" w:hAnsi="Arial Narrow"/>
          <w:b/>
          <w:sz w:val="24"/>
          <w:szCs w:val="24"/>
        </w:rPr>
      </w:pPr>
      <w:r w:rsidRPr="00B07AB8">
        <w:rPr>
          <w:rFonts w:ascii="Arial Narrow" w:hAnsi="Arial Narrow" w:cs="Arial"/>
          <w:b/>
          <w:sz w:val="24"/>
          <w:szCs w:val="24"/>
        </w:rPr>
        <w:t xml:space="preserve">Значения показателя 4.4. </w:t>
      </w:r>
      <w:r w:rsidRPr="00B07AB8">
        <w:rPr>
          <w:rFonts w:ascii="Arial Narrow" w:hAnsi="Arial Narrow"/>
          <w:b/>
          <w:sz w:val="24"/>
          <w:szCs w:val="24"/>
        </w:rPr>
        <w:t>Доля потребителей товаров, работ и услуг, предоставляемых субъектами естественных монополий, (населения), удовлетворенных качеством предоставляемых товаров/услуг субъектами естественных монополий и стоимостью предоставляемых услуг, % от числа опрошенных</w:t>
      </w:r>
    </w:p>
    <w:p w:rsidR="00A64028" w:rsidRDefault="00A64028" w:rsidP="00103148">
      <w:pPr>
        <w:spacing w:after="0" w:line="360" w:lineRule="auto"/>
        <w:ind w:firstLine="284"/>
        <w:jc w:val="both"/>
        <w:rPr>
          <w:rFonts w:ascii="Arial Narrow" w:hAnsi="Arial Narrow"/>
          <w:sz w:val="24"/>
          <w:szCs w:val="24"/>
        </w:rPr>
      </w:pPr>
      <w:r w:rsidRPr="00B07AB8">
        <w:rPr>
          <w:rFonts w:ascii="Arial Narrow" w:hAnsi="Arial Narrow"/>
          <w:sz w:val="24"/>
          <w:szCs w:val="24"/>
        </w:rPr>
        <w:t>Потребители товаров, работ и услуг, предоставляемых субъектами естественных монополий, (население Новосибирской области) в наибольшей степени удовлетворены качеством услуг электроснабжения (83,8 %). Качество остальных услуг оценено в пределах от 53,0 % (газоснабжение) до 61,7 % (водоснабжение, водоотведение), услугами теплоснабжения удовлетворены 60,7 % опрошенных. Таким образом, качество услуг, предоставляемых естественными монополиями населению Новосибирской области, удовлетворяет более половины жителей региона. Уровень удовлетворенности стоимостью услуг существенно ниже. В наибольшей степени население удовлетворено стоимостью услуг электроснабжения (59,7 %) и водоснабжения/водоотведения (53,8 %). Услугами газоснабжения и теплоснабжения удовлетворено почти на 20 % меньше респондентов: 34,6 % и 38,7 % соответственно.</w:t>
      </w:r>
    </w:p>
    <w:p w:rsidR="00A64028" w:rsidRDefault="00A64028" w:rsidP="00103148">
      <w:pPr>
        <w:spacing w:after="0"/>
        <w:rPr>
          <w:rFonts w:ascii="Arial Narrow" w:hAnsi="Arial Narrow"/>
          <w:sz w:val="24"/>
          <w:szCs w:val="24"/>
        </w:rPr>
      </w:pPr>
    </w:p>
    <w:p w:rsidR="00A64028" w:rsidRPr="00B07AB8" w:rsidRDefault="00A64028" w:rsidP="00103148">
      <w:pPr>
        <w:spacing w:after="0"/>
        <w:rPr>
          <w:rFonts w:ascii="Arial Narrow" w:hAnsi="Arial Narrow"/>
          <w:b/>
          <w:sz w:val="24"/>
          <w:szCs w:val="24"/>
        </w:rPr>
      </w:pPr>
      <w:r w:rsidRPr="00B07AB8">
        <w:rPr>
          <w:rFonts w:ascii="Arial Narrow" w:hAnsi="Arial Narrow" w:cs="Arial"/>
          <w:sz w:val="24"/>
          <w:szCs w:val="24"/>
        </w:rPr>
        <w:t xml:space="preserve">Таблица </w:t>
      </w:r>
      <w:r w:rsidR="00F170CC">
        <w:rPr>
          <w:rFonts w:ascii="Arial Narrow" w:hAnsi="Arial Narrow" w:cs="Arial"/>
          <w:sz w:val="24"/>
          <w:szCs w:val="24"/>
        </w:rPr>
        <w:t>7.54</w:t>
      </w:r>
      <w:r w:rsidR="00262F71">
        <w:rPr>
          <w:rFonts w:ascii="Arial Narrow" w:hAnsi="Arial Narrow" w:cs="Arial"/>
          <w:sz w:val="24"/>
          <w:szCs w:val="24"/>
        </w:rPr>
        <w:t>.</w:t>
      </w:r>
      <w:r w:rsidRPr="00B07AB8">
        <w:rPr>
          <w:rFonts w:ascii="Arial Narrow" w:hAnsi="Arial Narrow" w:cs="Arial"/>
          <w:b/>
          <w:sz w:val="24"/>
          <w:szCs w:val="24"/>
        </w:rPr>
        <w:t xml:space="preserve"> – Значения показателя 4.4. </w:t>
      </w:r>
      <w:r w:rsidRPr="00B07AB8">
        <w:rPr>
          <w:rFonts w:ascii="Arial Narrow" w:hAnsi="Arial Narrow"/>
          <w:b/>
          <w:sz w:val="24"/>
          <w:szCs w:val="24"/>
        </w:rPr>
        <w:t>Доля потребителей товаров, работ и услуг, предоставляемых субъектами естественных монополий, (населения), удовлетворенных качеством предоставляемых товаров/услуг субъектами естественных монополий и стоимостью предоставляемых услуг, % от числа опрошенных</w:t>
      </w:r>
    </w:p>
    <w:tbl>
      <w:tblPr>
        <w:tblW w:w="9781" w:type="dxa"/>
        <w:tblInd w:w="108" w:type="dxa"/>
        <w:tblLook w:val="04A0"/>
      </w:tblPr>
      <w:tblGrid>
        <w:gridCol w:w="764"/>
        <w:gridCol w:w="7033"/>
        <w:gridCol w:w="1984"/>
      </w:tblGrid>
      <w:tr w:rsidR="00A64028" w:rsidRPr="00B07AB8" w:rsidTr="006A7039">
        <w:tc>
          <w:tcPr>
            <w:tcW w:w="764" w:type="dxa"/>
            <w:tcBorders>
              <w:top w:val="single" w:sz="4" w:space="0" w:color="auto"/>
              <w:left w:val="single" w:sz="4" w:space="0" w:color="auto"/>
              <w:bottom w:val="single" w:sz="4" w:space="0" w:color="auto"/>
              <w:right w:val="single" w:sz="4" w:space="0" w:color="auto"/>
            </w:tcBorders>
            <w:shd w:val="clear" w:color="auto" w:fill="auto"/>
            <w:vAlign w:val="center"/>
          </w:tcPr>
          <w:p w:rsidR="00A64028" w:rsidRPr="00B07AB8" w:rsidRDefault="00A64028" w:rsidP="00103148">
            <w:pPr>
              <w:spacing w:after="0"/>
              <w:jc w:val="both"/>
              <w:rPr>
                <w:rFonts w:ascii="Arial Narrow" w:hAnsi="Arial Narrow"/>
                <w:sz w:val="20"/>
                <w:szCs w:val="20"/>
              </w:rPr>
            </w:pPr>
            <w:r w:rsidRPr="00B07AB8">
              <w:rPr>
                <w:rFonts w:ascii="Arial Narrow" w:hAnsi="Arial Narrow"/>
                <w:sz w:val="20"/>
                <w:szCs w:val="20"/>
              </w:rPr>
              <w:t>№</w:t>
            </w:r>
          </w:p>
        </w:tc>
        <w:tc>
          <w:tcPr>
            <w:tcW w:w="7033" w:type="dxa"/>
            <w:tcBorders>
              <w:top w:val="single" w:sz="4" w:space="0" w:color="auto"/>
              <w:left w:val="nil"/>
              <w:bottom w:val="single" w:sz="4" w:space="0" w:color="auto"/>
              <w:right w:val="single" w:sz="4" w:space="0" w:color="auto"/>
            </w:tcBorders>
            <w:shd w:val="clear" w:color="auto" w:fill="auto"/>
            <w:vAlign w:val="center"/>
          </w:tcPr>
          <w:p w:rsidR="00A64028" w:rsidRPr="00B07AB8" w:rsidRDefault="00A64028" w:rsidP="006A7039">
            <w:pPr>
              <w:spacing w:after="0"/>
              <w:jc w:val="center"/>
              <w:rPr>
                <w:rFonts w:ascii="Arial Narrow" w:hAnsi="Arial Narrow"/>
                <w:sz w:val="20"/>
                <w:szCs w:val="20"/>
              </w:rPr>
            </w:pPr>
            <w:r w:rsidRPr="00B07AB8">
              <w:rPr>
                <w:rFonts w:ascii="Arial Narrow" w:hAnsi="Arial Narrow"/>
                <w:sz w:val="20"/>
                <w:szCs w:val="20"/>
              </w:rPr>
              <w:t>Наименование показателя, единица измерения</w:t>
            </w:r>
          </w:p>
        </w:tc>
        <w:tc>
          <w:tcPr>
            <w:tcW w:w="1984" w:type="dxa"/>
            <w:tcBorders>
              <w:top w:val="single" w:sz="4" w:space="0" w:color="auto"/>
              <w:left w:val="nil"/>
              <w:bottom w:val="single" w:sz="4" w:space="0" w:color="auto"/>
              <w:right w:val="single" w:sz="4" w:space="0" w:color="auto"/>
            </w:tcBorders>
            <w:shd w:val="clear" w:color="auto" w:fill="auto"/>
            <w:noWrap/>
            <w:vAlign w:val="bottom"/>
          </w:tcPr>
          <w:p w:rsidR="00A64028" w:rsidRPr="00B07AB8" w:rsidRDefault="00A64028" w:rsidP="006A7039">
            <w:pPr>
              <w:spacing w:after="0"/>
              <w:jc w:val="center"/>
              <w:rPr>
                <w:rFonts w:ascii="Arial Narrow" w:hAnsi="Arial Narrow"/>
                <w:sz w:val="20"/>
                <w:szCs w:val="20"/>
              </w:rPr>
            </w:pPr>
            <w:r w:rsidRPr="00B07AB8">
              <w:rPr>
                <w:rFonts w:ascii="Arial Narrow" w:hAnsi="Arial Narrow"/>
                <w:sz w:val="20"/>
                <w:szCs w:val="20"/>
              </w:rPr>
              <w:t>Значение показателя</w:t>
            </w:r>
          </w:p>
        </w:tc>
      </w:tr>
      <w:tr w:rsidR="00A64028" w:rsidRPr="00B07AB8" w:rsidTr="006A7039">
        <w:tc>
          <w:tcPr>
            <w:tcW w:w="76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B07AB8" w:rsidRDefault="00A64028" w:rsidP="006A7039">
            <w:pPr>
              <w:spacing w:after="0" w:line="240" w:lineRule="auto"/>
              <w:jc w:val="both"/>
              <w:rPr>
                <w:rFonts w:ascii="Arial Narrow" w:hAnsi="Arial Narrow"/>
                <w:b/>
                <w:sz w:val="20"/>
                <w:szCs w:val="20"/>
              </w:rPr>
            </w:pPr>
            <w:r w:rsidRPr="00B07AB8">
              <w:rPr>
                <w:rFonts w:ascii="Arial Narrow" w:hAnsi="Arial Narrow"/>
                <w:b/>
                <w:sz w:val="20"/>
                <w:szCs w:val="20"/>
              </w:rPr>
              <w:t>4.4.</w:t>
            </w:r>
          </w:p>
        </w:tc>
        <w:tc>
          <w:tcPr>
            <w:tcW w:w="9017" w:type="dxa"/>
            <w:gridSpan w:val="2"/>
            <w:tcBorders>
              <w:top w:val="single" w:sz="4" w:space="0" w:color="auto"/>
              <w:left w:val="nil"/>
              <w:bottom w:val="single" w:sz="4" w:space="0" w:color="auto"/>
              <w:right w:val="single" w:sz="4" w:space="0" w:color="auto"/>
            </w:tcBorders>
            <w:shd w:val="clear" w:color="auto" w:fill="auto"/>
            <w:vAlign w:val="center"/>
            <w:hideMark/>
          </w:tcPr>
          <w:p w:rsidR="00A64028" w:rsidRPr="00B07AB8" w:rsidRDefault="00A64028" w:rsidP="006A7039">
            <w:pPr>
              <w:spacing w:after="0" w:line="240" w:lineRule="auto"/>
              <w:jc w:val="both"/>
              <w:rPr>
                <w:rFonts w:ascii="Arial Narrow" w:hAnsi="Arial Narrow"/>
                <w:b/>
                <w:sz w:val="20"/>
                <w:szCs w:val="20"/>
              </w:rPr>
            </w:pPr>
            <w:r w:rsidRPr="00B07AB8">
              <w:rPr>
                <w:rFonts w:ascii="Arial Narrow" w:hAnsi="Arial Narrow"/>
                <w:b/>
                <w:sz w:val="20"/>
                <w:szCs w:val="20"/>
              </w:rPr>
              <w:t>Доля потребителей товаров, работ и услуг, предоставляемых субъектами естественных монополий, (населения), удовлетворенных качеством предоставляемых товаров/услуг субъектами естественных монополий и стоимостью предоставляемых услуг, % от числа опрошенных</w:t>
            </w:r>
          </w:p>
        </w:tc>
      </w:tr>
      <w:tr w:rsidR="00A64028" w:rsidRPr="00B07AB8" w:rsidTr="006A7039">
        <w:tc>
          <w:tcPr>
            <w:tcW w:w="764" w:type="dxa"/>
            <w:tcBorders>
              <w:top w:val="nil"/>
              <w:left w:val="single" w:sz="4" w:space="0" w:color="auto"/>
              <w:bottom w:val="single" w:sz="4" w:space="0" w:color="auto"/>
              <w:right w:val="single" w:sz="4" w:space="0" w:color="auto"/>
            </w:tcBorders>
            <w:shd w:val="clear" w:color="auto" w:fill="auto"/>
            <w:vAlign w:val="center"/>
            <w:hideMark/>
          </w:tcPr>
          <w:p w:rsidR="00A64028" w:rsidRPr="00B07AB8" w:rsidRDefault="00A64028" w:rsidP="006A7039">
            <w:pPr>
              <w:spacing w:after="0" w:line="240" w:lineRule="auto"/>
              <w:jc w:val="both"/>
              <w:rPr>
                <w:rFonts w:ascii="Arial Narrow" w:hAnsi="Arial Narrow"/>
                <w:b/>
                <w:bCs/>
                <w:sz w:val="20"/>
                <w:szCs w:val="20"/>
              </w:rPr>
            </w:pPr>
            <w:r w:rsidRPr="00B07AB8">
              <w:rPr>
                <w:rFonts w:ascii="Arial Narrow" w:hAnsi="Arial Narrow"/>
                <w:b/>
                <w:bCs/>
                <w:sz w:val="20"/>
                <w:szCs w:val="20"/>
              </w:rPr>
              <w:t>4.4.1.</w:t>
            </w:r>
          </w:p>
        </w:tc>
        <w:tc>
          <w:tcPr>
            <w:tcW w:w="7033" w:type="dxa"/>
            <w:tcBorders>
              <w:top w:val="nil"/>
              <w:left w:val="nil"/>
              <w:bottom w:val="single" w:sz="4" w:space="0" w:color="auto"/>
              <w:right w:val="single" w:sz="4" w:space="0" w:color="auto"/>
            </w:tcBorders>
            <w:shd w:val="clear" w:color="auto" w:fill="auto"/>
            <w:vAlign w:val="center"/>
            <w:hideMark/>
          </w:tcPr>
          <w:p w:rsidR="00A64028" w:rsidRPr="00B07AB8" w:rsidRDefault="00A64028" w:rsidP="006A7039">
            <w:pPr>
              <w:spacing w:after="0" w:line="240" w:lineRule="auto"/>
              <w:jc w:val="both"/>
              <w:rPr>
                <w:rFonts w:ascii="Arial Narrow" w:hAnsi="Arial Narrow"/>
                <w:b/>
                <w:bCs/>
                <w:sz w:val="20"/>
                <w:szCs w:val="20"/>
              </w:rPr>
            </w:pPr>
            <w:r w:rsidRPr="00B07AB8">
              <w:rPr>
                <w:rFonts w:ascii="Arial Narrow" w:hAnsi="Arial Narrow"/>
                <w:b/>
                <w:bCs/>
                <w:sz w:val="20"/>
                <w:szCs w:val="20"/>
              </w:rPr>
              <w:t>Водоснабжение, водоотведение:</w:t>
            </w:r>
          </w:p>
        </w:tc>
        <w:tc>
          <w:tcPr>
            <w:tcW w:w="1984" w:type="dxa"/>
            <w:tcBorders>
              <w:top w:val="nil"/>
              <w:left w:val="nil"/>
              <w:bottom w:val="single" w:sz="4" w:space="0" w:color="auto"/>
              <w:right w:val="single" w:sz="4" w:space="0" w:color="auto"/>
            </w:tcBorders>
            <w:shd w:val="clear" w:color="auto" w:fill="auto"/>
            <w:noWrap/>
            <w:vAlign w:val="bottom"/>
            <w:hideMark/>
          </w:tcPr>
          <w:p w:rsidR="00A64028" w:rsidRPr="00B07AB8" w:rsidRDefault="00A64028" w:rsidP="006A7039">
            <w:pPr>
              <w:spacing w:after="0" w:line="240" w:lineRule="auto"/>
              <w:jc w:val="center"/>
              <w:rPr>
                <w:rFonts w:ascii="Arial Narrow" w:hAnsi="Arial Narrow"/>
                <w:b/>
                <w:bCs/>
                <w:sz w:val="20"/>
                <w:szCs w:val="20"/>
              </w:rPr>
            </w:pPr>
          </w:p>
        </w:tc>
      </w:tr>
      <w:tr w:rsidR="00A64028" w:rsidRPr="00B07AB8" w:rsidTr="006A7039">
        <w:tc>
          <w:tcPr>
            <w:tcW w:w="764" w:type="dxa"/>
            <w:tcBorders>
              <w:top w:val="nil"/>
              <w:left w:val="single" w:sz="4" w:space="0" w:color="auto"/>
              <w:bottom w:val="single" w:sz="4" w:space="0" w:color="auto"/>
              <w:right w:val="single" w:sz="4" w:space="0" w:color="auto"/>
            </w:tcBorders>
            <w:shd w:val="clear" w:color="auto" w:fill="auto"/>
            <w:vAlign w:val="center"/>
            <w:hideMark/>
          </w:tcPr>
          <w:p w:rsidR="00A64028" w:rsidRPr="00B07AB8" w:rsidRDefault="00A64028" w:rsidP="006A7039">
            <w:pPr>
              <w:spacing w:after="0" w:line="240" w:lineRule="auto"/>
              <w:jc w:val="both"/>
              <w:rPr>
                <w:rFonts w:ascii="Arial Narrow" w:hAnsi="Arial Narrow"/>
                <w:sz w:val="20"/>
                <w:szCs w:val="20"/>
              </w:rPr>
            </w:pPr>
            <w:r w:rsidRPr="00B07AB8">
              <w:rPr>
                <w:rFonts w:ascii="Arial Narrow" w:hAnsi="Arial Narrow"/>
                <w:sz w:val="20"/>
                <w:szCs w:val="20"/>
              </w:rPr>
              <w:t>4.4.1.1.</w:t>
            </w:r>
          </w:p>
        </w:tc>
        <w:tc>
          <w:tcPr>
            <w:tcW w:w="7033" w:type="dxa"/>
            <w:tcBorders>
              <w:top w:val="nil"/>
              <w:left w:val="nil"/>
              <w:bottom w:val="single" w:sz="4" w:space="0" w:color="auto"/>
              <w:right w:val="single" w:sz="4" w:space="0" w:color="auto"/>
            </w:tcBorders>
            <w:shd w:val="clear" w:color="auto" w:fill="auto"/>
            <w:vAlign w:val="center"/>
            <w:hideMark/>
          </w:tcPr>
          <w:p w:rsidR="00A64028" w:rsidRPr="00B07AB8" w:rsidRDefault="00A64028" w:rsidP="006A7039">
            <w:pPr>
              <w:spacing w:after="0" w:line="240" w:lineRule="auto"/>
              <w:jc w:val="both"/>
              <w:rPr>
                <w:rFonts w:ascii="Arial Narrow" w:hAnsi="Arial Narrow"/>
                <w:sz w:val="20"/>
                <w:szCs w:val="20"/>
              </w:rPr>
            </w:pPr>
            <w:r w:rsidRPr="00B07AB8">
              <w:rPr>
                <w:rFonts w:ascii="Arial Narrow" w:hAnsi="Arial Narrow"/>
                <w:sz w:val="20"/>
                <w:szCs w:val="20"/>
              </w:rPr>
              <w:t>Удовлетворены стоимостью предоставляемых услуг, %</w:t>
            </w:r>
          </w:p>
        </w:tc>
        <w:tc>
          <w:tcPr>
            <w:tcW w:w="1984" w:type="dxa"/>
            <w:tcBorders>
              <w:top w:val="nil"/>
              <w:left w:val="nil"/>
              <w:bottom w:val="single" w:sz="4" w:space="0" w:color="auto"/>
              <w:right w:val="single" w:sz="4" w:space="0" w:color="auto"/>
            </w:tcBorders>
            <w:shd w:val="clear" w:color="000000" w:fill="FFFFFF"/>
            <w:vAlign w:val="bottom"/>
            <w:hideMark/>
          </w:tcPr>
          <w:p w:rsidR="00A64028" w:rsidRPr="00B07AB8" w:rsidRDefault="00A64028" w:rsidP="006A7039">
            <w:pPr>
              <w:spacing w:after="0" w:line="240" w:lineRule="auto"/>
              <w:jc w:val="center"/>
              <w:rPr>
                <w:rFonts w:ascii="Arial Narrow" w:hAnsi="Arial Narrow"/>
                <w:sz w:val="20"/>
                <w:szCs w:val="20"/>
              </w:rPr>
            </w:pPr>
            <w:r w:rsidRPr="00B07AB8">
              <w:rPr>
                <w:rFonts w:ascii="Arial Narrow" w:hAnsi="Arial Narrow"/>
                <w:sz w:val="20"/>
                <w:szCs w:val="20"/>
              </w:rPr>
              <w:t>53,8%</w:t>
            </w:r>
          </w:p>
        </w:tc>
      </w:tr>
      <w:tr w:rsidR="00A64028" w:rsidRPr="00B07AB8" w:rsidTr="006A7039">
        <w:tc>
          <w:tcPr>
            <w:tcW w:w="764" w:type="dxa"/>
            <w:tcBorders>
              <w:top w:val="nil"/>
              <w:left w:val="single" w:sz="4" w:space="0" w:color="auto"/>
              <w:bottom w:val="single" w:sz="4" w:space="0" w:color="auto"/>
              <w:right w:val="single" w:sz="4" w:space="0" w:color="auto"/>
            </w:tcBorders>
            <w:shd w:val="clear" w:color="auto" w:fill="auto"/>
            <w:vAlign w:val="center"/>
            <w:hideMark/>
          </w:tcPr>
          <w:p w:rsidR="00A64028" w:rsidRPr="00B07AB8" w:rsidRDefault="00A64028" w:rsidP="006A7039">
            <w:pPr>
              <w:spacing w:after="0" w:line="240" w:lineRule="auto"/>
              <w:jc w:val="both"/>
              <w:rPr>
                <w:rFonts w:ascii="Arial Narrow" w:hAnsi="Arial Narrow"/>
                <w:sz w:val="20"/>
                <w:szCs w:val="20"/>
              </w:rPr>
            </w:pPr>
            <w:r w:rsidRPr="00B07AB8">
              <w:rPr>
                <w:rFonts w:ascii="Arial Narrow" w:hAnsi="Arial Narrow"/>
                <w:sz w:val="20"/>
                <w:szCs w:val="20"/>
              </w:rPr>
              <w:t>4.4.1.2.</w:t>
            </w:r>
          </w:p>
        </w:tc>
        <w:tc>
          <w:tcPr>
            <w:tcW w:w="7033" w:type="dxa"/>
            <w:tcBorders>
              <w:top w:val="nil"/>
              <w:left w:val="nil"/>
              <w:bottom w:val="single" w:sz="4" w:space="0" w:color="auto"/>
              <w:right w:val="single" w:sz="4" w:space="0" w:color="auto"/>
            </w:tcBorders>
            <w:shd w:val="clear" w:color="auto" w:fill="auto"/>
            <w:vAlign w:val="center"/>
            <w:hideMark/>
          </w:tcPr>
          <w:p w:rsidR="00A64028" w:rsidRPr="00B07AB8" w:rsidRDefault="00A64028" w:rsidP="006A7039">
            <w:pPr>
              <w:spacing w:after="0" w:line="240" w:lineRule="auto"/>
              <w:jc w:val="both"/>
              <w:rPr>
                <w:rFonts w:ascii="Arial Narrow" w:hAnsi="Arial Narrow"/>
                <w:sz w:val="20"/>
                <w:szCs w:val="20"/>
              </w:rPr>
            </w:pPr>
            <w:r w:rsidRPr="00B07AB8">
              <w:rPr>
                <w:rFonts w:ascii="Arial Narrow" w:hAnsi="Arial Narrow"/>
                <w:sz w:val="20"/>
                <w:szCs w:val="20"/>
              </w:rPr>
              <w:t>Удовлетворены качеством предоставляемых услуг, %</w:t>
            </w:r>
          </w:p>
        </w:tc>
        <w:tc>
          <w:tcPr>
            <w:tcW w:w="1984" w:type="dxa"/>
            <w:tcBorders>
              <w:top w:val="nil"/>
              <w:left w:val="nil"/>
              <w:bottom w:val="single" w:sz="4" w:space="0" w:color="auto"/>
              <w:right w:val="single" w:sz="4" w:space="0" w:color="auto"/>
            </w:tcBorders>
            <w:shd w:val="clear" w:color="auto" w:fill="auto"/>
            <w:noWrap/>
            <w:vAlign w:val="bottom"/>
            <w:hideMark/>
          </w:tcPr>
          <w:p w:rsidR="00A64028" w:rsidRPr="00B07AB8" w:rsidRDefault="00A64028" w:rsidP="006A7039">
            <w:pPr>
              <w:spacing w:after="0" w:line="240" w:lineRule="auto"/>
              <w:jc w:val="center"/>
              <w:rPr>
                <w:rFonts w:ascii="Arial Narrow" w:hAnsi="Arial Narrow"/>
                <w:sz w:val="20"/>
                <w:szCs w:val="20"/>
              </w:rPr>
            </w:pPr>
            <w:r w:rsidRPr="00B07AB8">
              <w:rPr>
                <w:rFonts w:ascii="Arial Narrow" w:hAnsi="Arial Narrow"/>
                <w:sz w:val="20"/>
                <w:szCs w:val="20"/>
              </w:rPr>
              <w:t>61,7%</w:t>
            </w:r>
          </w:p>
        </w:tc>
      </w:tr>
      <w:tr w:rsidR="00A64028" w:rsidRPr="00B07AB8" w:rsidTr="006A7039">
        <w:tc>
          <w:tcPr>
            <w:tcW w:w="764" w:type="dxa"/>
            <w:tcBorders>
              <w:top w:val="nil"/>
              <w:left w:val="single" w:sz="4" w:space="0" w:color="auto"/>
              <w:bottom w:val="single" w:sz="4" w:space="0" w:color="auto"/>
              <w:right w:val="single" w:sz="4" w:space="0" w:color="auto"/>
            </w:tcBorders>
            <w:shd w:val="clear" w:color="auto" w:fill="auto"/>
            <w:vAlign w:val="center"/>
            <w:hideMark/>
          </w:tcPr>
          <w:p w:rsidR="00A64028" w:rsidRPr="00B07AB8" w:rsidRDefault="00A64028" w:rsidP="006A7039">
            <w:pPr>
              <w:spacing w:after="0" w:line="240" w:lineRule="auto"/>
              <w:jc w:val="both"/>
              <w:rPr>
                <w:rFonts w:ascii="Arial Narrow" w:hAnsi="Arial Narrow"/>
                <w:b/>
                <w:bCs/>
                <w:sz w:val="20"/>
                <w:szCs w:val="20"/>
              </w:rPr>
            </w:pPr>
            <w:r w:rsidRPr="00B07AB8">
              <w:rPr>
                <w:rFonts w:ascii="Arial Narrow" w:hAnsi="Arial Narrow"/>
                <w:b/>
                <w:bCs/>
                <w:sz w:val="20"/>
                <w:szCs w:val="20"/>
              </w:rPr>
              <w:t>4.4.2.</w:t>
            </w:r>
          </w:p>
        </w:tc>
        <w:tc>
          <w:tcPr>
            <w:tcW w:w="7033" w:type="dxa"/>
            <w:tcBorders>
              <w:top w:val="nil"/>
              <w:left w:val="nil"/>
              <w:bottom w:val="single" w:sz="4" w:space="0" w:color="auto"/>
              <w:right w:val="single" w:sz="4" w:space="0" w:color="auto"/>
            </w:tcBorders>
            <w:shd w:val="clear" w:color="auto" w:fill="auto"/>
            <w:vAlign w:val="center"/>
            <w:hideMark/>
          </w:tcPr>
          <w:p w:rsidR="00A64028" w:rsidRPr="00B07AB8" w:rsidRDefault="00A64028" w:rsidP="006A7039">
            <w:pPr>
              <w:spacing w:after="0" w:line="240" w:lineRule="auto"/>
              <w:jc w:val="both"/>
              <w:rPr>
                <w:rFonts w:ascii="Arial Narrow" w:hAnsi="Arial Narrow"/>
                <w:b/>
                <w:bCs/>
                <w:sz w:val="20"/>
                <w:szCs w:val="20"/>
              </w:rPr>
            </w:pPr>
            <w:r w:rsidRPr="00B07AB8">
              <w:rPr>
                <w:rFonts w:ascii="Arial Narrow" w:hAnsi="Arial Narrow"/>
                <w:b/>
                <w:bCs/>
                <w:sz w:val="20"/>
                <w:szCs w:val="20"/>
              </w:rPr>
              <w:t>Газоснабжение:</w:t>
            </w:r>
          </w:p>
        </w:tc>
        <w:tc>
          <w:tcPr>
            <w:tcW w:w="1984" w:type="dxa"/>
            <w:tcBorders>
              <w:top w:val="nil"/>
              <w:left w:val="nil"/>
              <w:bottom w:val="single" w:sz="4" w:space="0" w:color="auto"/>
              <w:right w:val="single" w:sz="4" w:space="0" w:color="auto"/>
            </w:tcBorders>
            <w:shd w:val="clear" w:color="auto" w:fill="auto"/>
            <w:vAlign w:val="center"/>
            <w:hideMark/>
          </w:tcPr>
          <w:p w:rsidR="00A64028" w:rsidRPr="00B07AB8" w:rsidRDefault="00A64028" w:rsidP="006A7039">
            <w:pPr>
              <w:spacing w:after="0" w:line="240" w:lineRule="auto"/>
              <w:jc w:val="center"/>
              <w:rPr>
                <w:rFonts w:ascii="Arial Narrow" w:hAnsi="Arial Narrow"/>
                <w:b/>
                <w:bCs/>
                <w:sz w:val="20"/>
                <w:szCs w:val="20"/>
              </w:rPr>
            </w:pPr>
          </w:p>
        </w:tc>
      </w:tr>
      <w:tr w:rsidR="00A64028" w:rsidRPr="00B07AB8" w:rsidTr="006A7039">
        <w:tc>
          <w:tcPr>
            <w:tcW w:w="764" w:type="dxa"/>
            <w:tcBorders>
              <w:top w:val="nil"/>
              <w:left w:val="single" w:sz="4" w:space="0" w:color="auto"/>
              <w:bottom w:val="single" w:sz="4" w:space="0" w:color="auto"/>
              <w:right w:val="single" w:sz="4" w:space="0" w:color="auto"/>
            </w:tcBorders>
            <w:shd w:val="clear" w:color="auto" w:fill="auto"/>
            <w:vAlign w:val="center"/>
            <w:hideMark/>
          </w:tcPr>
          <w:p w:rsidR="00A64028" w:rsidRPr="00B07AB8" w:rsidRDefault="00A64028" w:rsidP="006A7039">
            <w:pPr>
              <w:spacing w:after="0" w:line="240" w:lineRule="auto"/>
              <w:jc w:val="both"/>
              <w:rPr>
                <w:rFonts w:ascii="Arial Narrow" w:hAnsi="Arial Narrow"/>
                <w:sz w:val="20"/>
                <w:szCs w:val="20"/>
              </w:rPr>
            </w:pPr>
            <w:r w:rsidRPr="00B07AB8">
              <w:rPr>
                <w:rFonts w:ascii="Arial Narrow" w:hAnsi="Arial Narrow"/>
                <w:sz w:val="20"/>
                <w:szCs w:val="20"/>
              </w:rPr>
              <w:t>4.4.2.1.</w:t>
            </w:r>
          </w:p>
        </w:tc>
        <w:tc>
          <w:tcPr>
            <w:tcW w:w="7033" w:type="dxa"/>
            <w:tcBorders>
              <w:top w:val="nil"/>
              <w:left w:val="nil"/>
              <w:bottom w:val="single" w:sz="4" w:space="0" w:color="auto"/>
              <w:right w:val="single" w:sz="4" w:space="0" w:color="auto"/>
            </w:tcBorders>
            <w:shd w:val="clear" w:color="auto" w:fill="auto"/>
            <w:vAlign w:val="center"/>
            <w:hideMark/>
          </w:tcPr>
          <w:p w:rsidR="00A64028" w:rsidRPr="00B07AB8" w:rsidRDefault="00A64028" w:rsidP="006A7039">
            <w:pPr>
              <w:spacing w:after="0" w:line="240" w:lineRule="auto"/>
              <w:jc w:val="both"/>
              <w:rPr>
                <w:rFonts w:ascii="Arial Narrow" w:hAnsi="Arial Narrow"/>
                <w:sz w:val="20"/>
                <w:szCs w:val="20"/>
              </w:rPr>
            </w:pPr>
            <w:r w:rsidRPr="00B07AB8">
              <w:rPr>
                <w:rFonts w:ascii="Arial Narrow" w:hAnsi="Arial Narrow"/>
                <w:sz w:val="20"/>
                <w:szCs w:val="20"/>
              </w:rPr>
              <w:t>Удовлетворены стоимостью предоставляемых услуг, %</w:t>
            </w:r>
          </w:p>
        </w:tc>
        <w:tc>
          <w:tcPr>
            <w:tcW w:w="1984" w:type="dxa"/>
            <w:tcBorders>
              <w:top w:val="nil"/>
              <w:left w:val="nil"/>
              <w:bottom w:val="single" w:sz="4" w:space="0" w:color="auto"/>
              <w:right w:val="single" w:sz="4" w:space="0" w:color="auto"/>
            </w:tcBorders>
            <w:shd w:val="clear" w:color="auto" w:fill="auto"/>
            <w:noWrap/>
            <w:vAlign w:val="bottom"/>
            <w:hideMark/>
          </w:tcPr>
          <w:p w:rsidR="00A64028" w:rsidRPr="00B07AB8" w:rsidRDefault="00A64028" w:rsidP="006A7039">
            <w:pPr>
              <w:spacing w:after="0" w:line="240" w:lineRule="auto"/>
              <w:jc w:val="center"/>
              <w:rPr>
                <w:rFonts w:ascii="Arial Narrow" w:hAnsi="Arial Narrow"/>
                <w:sz w:val="20"/>
                <w:szCs w:val="20"/>
              </w:rPr>
            </w:pPr>
            <w:r w:rsidRPr="00B07AB8">
              <w:rPr>
                <w:rFonts w:ascii="Arial Narrow" w:hAnsi="Arial Narrow"/>
                <w:sz w:val="20"/>
                <w:szCs w:val="20"/>
              </w:rPr>
              <w:t>34,6%</w:t>
            </w:r>
          </w:p>
        </w:tc>
      </w:tr>
      <w:tr w:rsidR="00A64028" w:rsidRPr="00B07AB8" w:rsidTr="006A7039">
        <w:tc>
          <w:tcPr>
            <w:tcW w:w="76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B07AB8" w:rsidRDefault="00A64028" w:rsidP="006A7039">
            <w:pPr>
              <w:spacing w:after="0" w:line="240" w:lineRule="auto"/>
              <w:jc w:val="both"/>
              <w:rPr>
                <w:rFonts w:ascii="Arial Narrow" w:hAnsi="Arial Narrow"/>
                <w:sz w:val="20"/>
                <w:szCs w:val="20"/>
              </w:rPr>
            </w:pPr>
            <w:r w:rsidRPr="00B07AB8">
              <w:rPr>
                <w:rFonts w:ascii="Arial Narrow" w:hAnsi="Arial Narrow"/>
                <w:sz w:val="20"/>
                <w:szCs w:val="20"/>
              </w:rPr>
              <w:t>4.4.2.2.</w:t>
            </w:r>
          </w:p>
        </w:tc>
        <w:tc>
          <w:tcPr>
            <w:tcW w:w="7033" w:type="dxa"/>
            <w:tcBorders>
              <w:top w:val="single" w:sz="4" w:space="0" w:color="auto"/>
              <w:left w:val="nil"/>
              <w:bottom w:val="single" w:sz="4" w:space="0" w:color="auto"/>
              <w:right w:val="single" w:sz="4" w:space="0" w:color="auto"/>
            </w:tcBorders>
            <w:shd w:val="clear" w:color="auto" w:fill="auto"/>
            <w:vAlign w:val="center"/>
            <w:hideMark/>
          </w:tcPr>
          <w:p w:rsidR="00A64028" w:rsidRPr="00B07AB8" w:rsidRDefault="00A64028" w:rsidP="006A7039">
            <w:pPr>
              <w:spacing w:after="0" w:line="240" w:lineRule="auto"/>
              <w:jc w:val="both"/>
              <w:rPr>
                <w:rFonts w:ascii="Arial Narrow" w:hAnsi="Arial Narrow"/>
                <w:sz w:val="20"/>
                <w:szCs w:val="20"/>
              </w:rPr>
            </w:pPr>
            <w:r w:rsidRPr="00B07AB8">
              <w:rPr>
                <w:rFonts w:ascii="Arial Narrow" w:hAnsi="Arial Narrow"/>
                <w:sz w:val="20"/>
                <w:szCs w:val="20"/>
              </w:rPr>
              <w:t>Удовлетворены качеством предоставляемых услуг, %</w:t>
            </w:r>
          </w:p>
        </w:tc>
        <w:tc>
          <w:tcPr>
            <w:tcW w:w="1984" w:type="dxa"/>
            <w:tcBorders>
              <w:top w:val="single" w:sz="4" w:space="0" w:color="auto"/>
              <w:left w:val="nil"/>
              <w:bottom w:val="single" w:sz="4" w:space="0" w:color="auto"/>
              <w:right w:val="single" w:sz="4" w:space="0" w:color="auto"/>
            </w:tcBorders>
            <w:shd w:val="clear" w:color="auto" w:fill="auto"/>
            <w:noWrap/>
            <w:vAlign w:val="bottom"/>
            <w:hideMark/>
          </w:tcPr>
          <w:p w:rsidR="00A64028" w:rsidRPr="00B07AB8" w:rsidRDefault="00A64028" w:rsidP="006A7039">
            <w:pPr>
              <w:spacing w:after="0" w:line="240" w:lineRule="auto"/>
              <w:jc w:val="center"/>
              <w:rPr>
                <w:rFonts w:ascii="Arial Narrow" w:hAnsi="Arial Narrow"/>
                <w:sz w:val="20"/>
                <w:szCs w:val="20"/>
              </w:rPr>
            </w:pPr>
            <w:r w:rsidRPr="00B07AB8">
              <w:rPr>
                <w:rFonts w:ascii="Arial Narrow" w:hAnsi="Arial Narrow"/>
                <w:sz w:val="20"/>
                <w:szCs w:val="20"/>
              </w:rPr>
              <w:t>53,0%</w:t>
            </w:r>
          </w:p>
        </w:tc>
      </w:tr>
    </w:tbl>
    <w:p w:rsidR="006A7039" w:rsidRPr="006A7039" w:rsidRDefault="006A7039" w:rsidP="006A7039">
      <w:pPr>
        <w:spacing w:after="0" w:line="240" w:lineRule="auto"/>
        <w:jc w:val="right"/>
        <w:rPr>
          <w:rFonts w:ascii="Arial Narrow" w:hAnsi="Arial Narrow"/>
          <w:sz w:val="24"/>
          <w:szCs w:val="24"/>
        </w:rPr>
      </w:pPr>
      <w:r w:rsidRPr="00BF6DC4">
        <w:rPr>
          <w:rFonts w:ascii="Arial Narrow" w:hAnsi="Arial Narrow"/>
          <w:sz w:val="24"/>
          <w:szCs w:val="24"/>
        </w:rPr>
        <w:lastRenderedPageBreak/>
        <w:t xml:space="preserve">Продолжение Таблицы </w:t>
      </w:r>
      <w:r>
        <w:rPr>
          <w:rFonts w:ascii="Arial Narrow" w:hAnsi="Arial Narrow"/>
          <w:sz w:val="24"/>
          <w:szCs w:val="24"/>
        </w:rPr>
        <w:t>7.54</w:t>
      </w:r>
    </w:p>
    <w:tbl>
      <w:tblPr>
        <w:tblW w:w="9781" w:type="dxa"/>
        <w:tblInd w:w="108" w:type="dxa"/>
        <w:tblLook w:val="04A0"/>
      </w:tblPr>
      <w:tblGrid>
        <w:gridCol w:w="764"/>
        <w:gridCol w:w="7033"/>
        <w:gridCol w:w="1984"/>
      </w:tblGrid>
      <w:tr w:rsidR="00A64028" w:rsidRPr="00B07AB8" w:rsidTr="006A7039">
        <w:tc>
          <w:tcPr>
            <w:tcW w:w="76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64028" w:rsidRPr="00B07AB8" w:rsidRDefault="00A64028" w:rsidP="006A7039">
            <w:pPr>
              <w:spacing w:after="0" w:line="240" w:lineRule="auto"/>
              <w:jc w:val="both"/>
              <w:rPr>
                <w:rFonts w:ascii="Arial Narrow" w:hAnsi="Arial Narrow"/>
                <w:b/>
                <w:bCs/>
                <w:sz w:val="20"/>
                <w:szCs w:val="20"/>
              </w:rPr>
            </w:pPr>
            <w:r w:rsidRPr="00B07AB8">
              <w:rPr>
                <w:rFonts w:ascii="Arial Narrow" w:hAnsi="Arial Narrow"/>
                <w:b/>
                <w:bCs/>
                <w:sz w:val="20"/>
                <w:szCs w:val="20"/>
              </w:rPr>
              <w:t>4.4.3.</w:t>
            </w:r>
          </w:p>
        </w:tc>
        <w:tc>
          <w:tcPr>
            <w:tcW w:w="7033" w:type="dxa"/>
            <w:tcBorders>
              <w:top w:val="single" w:sz="4" w:space="0" w:color="auto"/>
              <w:left w:val="nil"/>
              <w:bottom w:val="single" w:sz="4" w:space="0" w:color="auto"/>
              <w:right w:val="single" w:sz="4" w:space="0" w:color="auto"/>
            </w:tcBorders>
            <w:shd w:val="clear" w:color="auto" w:fill="auto"/>
            <w:vAlign w:val="center"/>
            <w:hideMark/>
          </w:tcPr>
          <w:p w:rsidR="00A64028" w:rsidRPr="00B07AB8" w:rsidRDefault="00A64028" w:rsidP="006A7039">
            <w:pPr>
              <w:spacing w:after="0" w:line="240" w:lineRule="auto"/>
              <w:jc w:val="both"/>
              <w:rPr>
                <w:rFonts w:ascii="Arial Narrow" w:hAnsi="Arial Narrow"/>
                <w:b/>
                <w:bCs/>
                <w:sz w:val="20"/>
                <w:szCs w:val="20"/>
              </w:rPr>
            </w:pPr>
            <w:r w:rsidRPr="00B07AB8">
              <w:rPr>
                <w:rFonts w:ascii="Arial Narrow" w:hAnsi="Arial Narrow"/>
                <w:b/>
                <w:bCs/>
                <w:sz w:val="20"/>
                <w:szCs w:val="20"/>
              </w:rPr>
              <w:t>Электроснабжение:</w:t>
            </w:r>
          </w:p>
        </w:tc>
        <w:tc>
          <w:tcPr>
            <w:tcW w:w="1984" w:type="dxa"/>
            <w:tcBorders>
              <w:top w:val="single" w:sz="4" w:space="0" w:color="auto"/>
              <w:left w:val="nil"/>
              <w:bottom w:val="single" w:sz="4" w:space="0" w:color="auto"/>
              <w:right w:val="single" w:sz="4" w:space="0" w:color="auto"/>
            </w:tcBorders>
            <w:shd w:val="clear" w:color="auto" w:fill="auto"/>
            <w:vAlign w:val="center"/>
            <w:hideMark/>
          </w:tcPr>
          <w:p w:rsidR="00A64028" w:rsidRPr="00B07AB8" w:rsidRDefault="00A64028" w:rsidP="006A7039">
            <w:pPr>
              <w:spacing w:after="0" w:line="240" w:lineRule="auto"/>
              <w:jc w:val="center"/>
              <w:rPr>
                <w:rFonts w:ascii="Arial Narrow" w:hAnsi="Arial Narrow"/>
                <w:b/>
                <w:bCs/>
                <w:sz w:val="20"/>
                <w:szCs w:val="20"/>
              </w:rPr>
            </w:pPr>
          </w:p>
        </w:tc>
      </w:tr>
      <w:tr w:rsidR="00A64028" w:rsidRPr="00B07AB8" w:rsidTr="006A7039">
        <w:tc>
          <w:tcPr>
            <w:tcW w:w="764" w:type="dxa"/>
            <w:tcBorders>
              <w:top w:val="nil"/>
              <w:left w:val="single" w:sz="4" w:space="0" w:color="auto"/>
              <w:bottom w:val="single" w:sz="4" w:space="0" w:color="auto"/>
              <w:right w:val="single" w:sz="4" w:space="0" w:color="auto"/>
            </w:tcBorders>
            <w:shd w:val="clear" w:color="auto" w:fill="auto"/>
            <w:vAlign w:val="center"/>
            <w:hideMark/>
          </w:tcPr>
          <w:p w:rsidR="00A64028" w:rsidRPr="00B07AB8" w:rsidRDefault="00A64028" w:rsidP="006A7039">
            <w:pPr>
              <w:spacing w:after="0" w:line="240" w:lineRule="auto"/>
              <w:jc w:val="both"/>
              <w:rPr>
                <w:rFonts w:ascii="Arial Narrow" w:hAnsi="Arial Narrow"/>
                <w:sz w:val="20"/>
                <w:szCs w:val="20"/>
              </w:rPr>
            </w:pPr>
            <w:r w:rsidRPr="00B07AB8">
              <w:rPr>
                <w:rFonts w:ascii="Arial Narrow" w:hAnsi="Arial Narrow"/>
                <w:sz w:val="20"/>
                <w:szCs w:val="20"/>
              </w:rPr>
              <w:t>4.4.3.1.</w:t>
            </w:r>
          </w:p>
        </w:tc>
        <w:tc>
          <w:tcPr>
            <w:tcW w:w="7033" w:type="dxa"/>
            <w:tcBorders>
              <w:top w:val="nil"/>
              <w:left w:val="nil"/>
              <w:bottom w:val="single" w:sz="4" w:space="0" w:color="auto"/>
              <w:right w:val="single" w:sz="4" w:space="0" w:color="auto"/>
            </w:tcBorders>
            <w:shd w:val="clear" w:color="auto" w:fill="auto"/>
            <w:vAlign w:val="center"/>
            <w:hideMark/>
          </w:tcPr>
          <w:p w:rsidR="00A64028" w:rsidRPr="00B07AB8" w:rsidRDefault="00A64028" w:rsidP="006A7039">
            <w:pPr>
              <w:spacing w:after="0" w:line="240" w:lineRule="auto"/>
              <w:jc w:val="both"/>
              <w:rPr>
                <w:rFonts w:ascii="Arial Narrow" w:hAnsi="Arial Narrow"/>
                <w:sz w:val="20"/>
                <w:szCs w:val="20"/>
              </w:rPr>
            </w:pPr>
            <w:r w:rsidRPr="00B07AB8">
              <w:rPr>
                <w:rFonts w:ascii="Arial Narrow" w:hAnsi="Arial Narrow"/>
                <w:sz w:val="20"/>
                <w:szCs w:val="20"/>
              </w:rPr>
              <w:t>Удовлетворены стоимостью предоставляемых услуг, %</w:t>
            </w:r>
          </w:p>
        </w:tc>
        <w:tc>
          <w:tcPr>
            <w:tcW w:w="1984" w:type="dxa"/>
            <w:tcBorders>
              <w:top w:val="nil"/>
              <w:left w:val="nil"/>
              <w:bottom w:val="single" w:sz="4" w:space="0" w:color="auto"/>
              <w:right w:val="single" w:sz="4" w:space="0" w:color="auto"/>
            </w:tcBorders>
            <w:shd w:val="clear" w:color="auto" w:fill="auto"/>
            <w:noWrap/>
            <w:vAlign w:val="bottom"/>
            <w:hideMark/>
          </w:tcPr>
          <w:p w:rsidR="00A64028" w:rsidRPr="00B07AB8" w:rsidRDefault="00A64028" w:rsidP="006A7039">
            <w:pPr>
              <w:spacing w:after="0" w:line="240" w:lineRule="auto"/>
              <w:jc w:val="center"/>
              <w:rPr>
                <w:rFonts w:ascii="Arial Narrow" w:hAnsi="Arial Narrow"/>
                <w:sz w:val="20"/>
                <w:szCs w:val="20"/>
              </w:rPr>
            </w:pPr>
            <w:r w:rsidRPr="00B07AB8">
              <w:rPr>
                <w:rFonts w:ascii="Arial Narrow" w:hAnsi="Arial Narrow"/>
                <w:sz w:val="20"/>
                <w:szCs w:val="20"/>
              </w:rPr>
              <w:t>59,7%</w:t>
            </w:r>
          </w:p>
        </w:tc>
      </w:tr>
      <w:tr w:rsidR="00A64028" w:rsidRPr="00B07AB8" w:rsidTr="006A7039">
        <w:tc>
          <w:tcPr>
            <w:tcW w:w="764" w:type="dxa"/>
            <w:tcBorders>
              <w:top w:val="nil"/>
              <w:left w:val="single" w:sz="4" w:space="0" w:color="auto"/>
              <w:bottom w:val="single" w:sz="4" w:space="0" w:color="auto"/>
              <w:right w:val="single" w:sz="4" w:space="0" w:color="auto"/>
            </w:tcBorders>
            <w:shd w:val="clear" w:color="auto" w:fill="auto"/>
            <w:vAlign w:val="center"/>
            <w:hideMark/>
          </w:tcPr>
          <w:p w:rsidR="00A64028" w:rsidRPr="00B07AB8" w:rsidRDefault="00A64028" w:rsidP="006A7039">
            <w:pPr>
              <w:spacing w:after="0" w:line="240" w:lineRule="auto"/>
              <w:jc w:val="both"/>
              <w:rPr>
                <w:rFonts w:ascii="Arial Narrow" w:hAnsi="Arial Narrow"/>
                <w:sz w:val="20"/>
                <w:szCs w:val="20"/>
              </w:rPr>
            </w:pPr>
            <w:r w:rsidRPr="00B07AB8">
              <w:rPr>
                <w:rFonts w:ascii="Arial Narrow" w:hAnsi="Arial Narrow"/>
                <w:sz w:val="20"/>
                <w:szCs w:val="20"/>
              </w:rPr>
              <w:t>4.4.3.2.</w:t>
            </w:r>
          </w:p>
        </w:tc>
        <w:tc>
          <w:tcPr>
            <w:tcW w:w="7033" w:type="dxa"/>
            <w:tcBorders>
              <w:top w:val="nil"/>
              <w:left w:val="nil"/>
              <w:bottom w:val="single" w:sz="4" w:space="0" w:color="auto"/>
              <w:right w:val="single" w:sz="4" w:space="0" w:color="auto"/>
            </w:tcBorders>
            <w:shd w:val="clear" w:color="auto" w:fill="auto"/>
            <w:vAlign w:val="center"/>
            <w:hideMark/>
          </w:tcPr>
          <w:p w:rsidR="00A64028" w:rsidRPr="00B07AB8" w:rsidRDefault="00A64028" w:rsidP="006A7039">
            <w:pPr>
              <w:spacing w:after="0" w:line="240" w:lineRule="auto"/>
              <w:jc w:val="both"/>
              <w:rPr>
                <w:rFonts w:ascii="Arial Narrow" w:hAnsi="Arial Narrow"/>
                <w:sz w:val="20"/>
                <w:szCs w:val="20"/>
              </w:rPr>
            </w:pPr>
            <w:r w:rsidRPr="00B07AB8">
              <w:rPr>
                <w:rFonts w:ascii="Arial Narrow" w:hAnsi="Arial Narrow"/>
                <w:sz w:val="20"/>
                <w:szCs w:val="20"/>
              </w:rPr>
              <w:t>Удовлетворены качеством предоставляемых услуг, %</w:t>
            </w:r>
          </w:p>
        </w:tc>
        <w:tc>
          <w:tcPr>
            <w:tcW w:w="1984" w:type="dxa"/>
            <w:tcBorders>
              <w:top w:val="nil"/>
              <w:left w:val="nil"/>
              <w:bottom w:val="single" w:sz="4" w:space="0" w:color="auto"/>
              <w:right w:val="single" w:sz="4" w:space="0" w:color="auto"/>
            </w:tcBorders>
            <w:shd w:val="clear" w:color="auto" w:fill="auto"/>
            <w:noWrap/>
            <w:vAlign w:val="bottom"/>
            <w:hideMark/>
          </w:tcPr>
          <w:p w:rsidR="00A64028" w:rsidRPr="00B07AB8" w:rsidRDefault="00A64028" w:rsidP="006A7039">
            <w:pPr>
              <w:spacing w:after="0" w:line="240" w:lineRule="auto"/>
              <w:jc w:val="center"/>
              <w:rPr>
                <w:rFonts w:ascii="Arial Narrow" w:hAnsi="Arial Narrow"/>
                <w:sz w:val="20"/>
                <w:szCs w:val="20"/>
              </w:rPr>
            </w:pPr>
            <w:r w:rsidRPr="00B07AB8">
              <w:rPr>
                <w:rFonts w:ascii="Arial Narrow" w:hAnsi="Arial Narrow"/>
                <w:sz w:val="20"/>
                <w:szCs w:val="20"/>
              </w:rPr>
              <w:t>83,8%</w:t>
            </w:r>
          </w:p>
        </w:tc>
      </w:tr>
      <w:tr w:rsidR="00A64028" w:rsidRPr="00B07AB8" w:rsidTr="006A7039">
        <w:tc>
          <w:tcPr>
            <w:tcW w:w="764" w:type="dxa"/>
            <w:tcBorders>
              <w:top w:val="nil"/>
              <w:left w:val="single" w:sz="4" w:space="0" w:color="auto"/>
              <w:bottom w:val="single" w:sz="4" w:space="0" w:color="auto"/>
              <w:right w:val="single" w:sz="4" w:space="0" w:color="auto"/>
            </w:tcBorders>
            <w:shd w:val="clear" w:color="auto" w:fill="auto"/>
            <w:vAlign w:val="center"/>
            <w:hideMark/>
          </w:tcPr>
          <w:p w:rsidR="00A64028" w:rsidRPr="00B07AB8" w:rsidRDefault="00A64028" w:rsidP="006A7039">
            <w:pPr>
              <w:spacing w:after="0" w:line="240" w:lineRule="auto"/>
              <w:jc w:val="both"/>
              <w:rPr>
                <w:rFonts w:ascii="Arial Narrow" w:hAnsi="Arial Narrow"/>
                <w:b/>
                <w:bCs/>
                <w:sz w:val="20"/>
                <w:szCs w:val="20"/>
              </w:rPr>
            </w:pPr>
            <w:r w:rsidRPr="00B07AB8">
              <w:rPr>
                <w:rFonts w:ascii="Arial Narrow" w:hAnsi="Arial Narrow"/>
                <w:b/>
                <w:bCs/>
                <w:sz w:val="20"/>
                <w:szCs w:val="20"/>
              </w:rPr>
              <w:t>4.4.4.</w:t>
            </w:r>
          </w:p>
        </w:tc>
        <w:tc>
          <w:tcPr>
            <w:tcW w:w="7033" w:type="dxa"/>
            <w:tcBorders>
              <w:top w:val="nil"/>
              <w:left w:val="nil"/>
              <w:bottom w:val="single" w:sz="4" w:space="0" w:color="auto"/>
              <w:right w:val="single" w:sz="4" w:space="0" w:color="auto"/>
            </w:tcBorders>
            <w:shd w:val="clear" w:color="auto" w:fill="auto"/>
            <w:vAlign w:val="center"/>
            <w:hideMark/>
          </w:tcPr>
          <w:p w:rsidR="00A64028" w:rsidRPr="00B07AB8" w:rsidRDefault="00A64028" w:rsidP="006A7039">
            <w:pPr>
              <w:spacing w:after="0" w:line="240" w:lineRule="auto"/>
              <w:jc w:val="both"/>
              <w:rPr>
                <w:rFonts w:ascii="Arial Narrow" w:hAnsi="Arial Narrow"/>
                <w:b/>
                <w:bCs/>
                <w:sz w:val="20"/>
                <w:szCs w:val="20"/>
              </w:rPr>
            </w:pPr>
            <w:r w:rsidRPr="00B07AB8">
              <w:rPr>
                <w:rFonts w:ascii="Arial Narrow" w:hAnsi="Arial Narrow"/>
                <w:b/>
                <w:bCs/>
                <w:sz w:val="20"/>
                <w:szCs w:val="20"/>
              </w:rPr>
              <w:t>Теплоснабжение:</w:t>
            </w:r>
          </w:p>
        </w:tc>
        <w:tc>
          <w:tcPr>
            <w:tcW w:w="1984" w:type="dxa"/>
            <w:tcBorders>
              <w:top w:val="nil"/>
              <w:left w:val="nil"/>
              <w:bottom w:val="single" w:sz="4" w:space="0" w:color="auto"/>
              <w:right w:val="single" w:sz="4" w:space="0" w:color="auto"/>
            </w:tcBorders>
            <w:shd w:val="clear" w:color="auto" w:fill="auto"/>
            <w:vAlign w:val="center"/>
            <w:hideMark/>
          </w:tcPr>
          <w:p w:rsidR="00A64028" w:rsidRPr="00B07AB8" w:rsidRDefault="00A64028" w:rsidP="006A7039">
            <w:pPr>
              <w:spacing w:after="0" w:line="240" w:lineRule="auto"/>
              <w:jc w:val="center"/>
              <w:rPr>
                <w:rFonts w:ascii="Arial Narrow" w:hAnsi="Arial Narrow"/>
                <w:b/>
                <w:bCs/>
                <w:sz w:val="20"/>
                <w:szCs w:val="20"/>
              </w:rPr>
            </w:pPr>
          </w:p>
        </w:tc>
      </w:tr>
      <w:tr w:rsidR="00A64028" w:rsidRPr="00B07AB8" w:rsidTr="006A7039">
        <w:tc>
          <w:tcPr>
            <w:tcW w:w="764" w:type="dxa"/>
            <w:tcBorders>
              <w:top w:val="nil"/>
              <w:left w:val="single" w:sz="4" w:space="0" w:color="auto"/>
              <w:bottom w:val="single" w:sz="4" w:space="0" w:color="auto"/>
              <w:right w:val="single" w:sz="4" w:space="0" w:color="auto"/>
            </w:tcBorders>
            <w:shd w:val="clear" w:color="auto" w:fill="auto"/>
            <w:vAlign w:val="center"/>
            <w:hideMark/>
          </w:tcPr>
          <w:p w:rsidR="00A64028" w:rsidRPr="00B07AB8" w:rsidRDefault="00A64028" w:rsidP="006A7039">
            <w:pPr>
              <w:spacing w:after="0" w:line="240" w:lineRule="auto"/>
              <w:jc w:val="both"/>
              <w:rPr>
                <w:rFonts w:ascii="Arial Narrow" w:hAnsi="Arial Narrow"/>
                <w:sz w:val="20"/>
                <w:szCs w:val="20"/>
              </w:rPr>
            </w:pPr>
            <w:r w:rsidRPr="00B07AB8">
              <w:rPr>
                <w:rFonts w:ascii="Arial Narrow" w:hAnsi="Arial Narrow"/>
                <w:sz w:val="20"/>
                <w:szCs w:val="20"/>
              </w:rPr>
              <w:t>4.4.4.1.</w:t>
            </w:r>
          </w:p>
        </w:tc>
        <w:tc>
          <w:tcPr>
            <w:tcW w:w="7033" w:type="dxa"/>
            <w:tcBorders>
              <w:top w:val="nil"/>
              <w:left w:val="nil"/>
              <w:bottom w:val="single" w:sz="4" w:space="0" w:color="auto"/>
              <w:right w:val="single" w:sz="4" w:space="0" w:color="auto"/>
            </w:tcBorders>
            <w:shd w:val="clear" w:color="auto" w:fill="auto"/>
            <w:vAlign w:val="center"/>
            <w:hideMark/>
          </w:tcPr>
          <w:p w:rsidR="00A64028" w:rsidRPr="00B07AB8" w:rsidRDefault="00A64028" w:rsidP="006A7039">
            <w:pPr>
              <w:spacing w:after="0" w:line="240" w:lineRule="auto"/>
              <w:jc w:val="both"/>
              <w:rPr>
                <w:rFonts w:ascii="Arial Narrow" w:hAnsi="Arial Narrow"/>
                <w:sz w:val="20"/>
                <w:szCs w:val="20"/>
              </w:rPr>
            </w:pPr>
            <w:r w:rsidRPr="00B07AB8">
              <w:rPr>
                <w:rFonts w:ascii="Arial Narrow" w:hAnsi="Arial Narrow"/>
                <w:sz w:val="20"/>
                <w:szCs w:val="20"/>
              </w:rPr>
              <w:t>Удовлетворены стоимостью предоставляемых услуг, %</w:t>
            </w:r>
          </w:p>
        </w:tc>
        <w:tc>
          <w:tcPr>
            <w:tcW w:w="1984" w:type="dxa"/>
            <w:tcBorders>
              <w:top w:val="nil"/>
              <w:left w:val="nil"/>
              <w:bottom w:val="single" w:sz="4" w:space="0" w:color="auto"/>
              <w:right w:val="single" w:sz="4" w:space="0" w:color="auto"/>
            </w:tcBorders>
            <w:shd w:val="clear" w:color="auto" w:fill="auto"/>
            <w:noWrap/>
            <w:vAlign w:val="bottom"/>
            <w:hideMark/>
          </w:tcPr>
          <w:p w:rsidR="00A64028" w:rsidRPr="00B07AB8" w:rsidRDefault="00A64028" w:rsidP="006A7039">
            <w:pPr>
              <w:spacing w:after="0" w:line="240" w:lineRule="auto"/>
              <w:jc w:val="center"/>
              <w:rPr>
                <w:rFonts w:ascii="Arial Narrow" w:hAnsi="Arial Narrow"/>
                <w:sz w:val="20"/>
                <w:szCs w:val="20"/>
              </w:rPr>
            </w:pPr>
            <w:r w:rsidRPr="00B07AB8">
              <w:rPr>
                <w:rFonts w:ascii="Arial Narrow" w:hAnsi="Arial Narrow"/>
                <w:sz w:val="20"/>
                <w:szCs w:val="20"/>
              </w:rPr>
              <w:t>38,7%</w:t>
            </w:r>
          </w:p>
        </w:tc>
      </w:tr>
      <w:tr w:rsidR="00A64028" w:rsidRPr="00B07AB8" w:rsidTr="006A7039">
        <w:tc>
          <w:tcPr>
            <w:tcW w:w="764" w:type="dxa"/>
            <w:tcBorders>
              <w:top w:val="nil"/>
              <w:left w:val="single" w:sz="4" w:space="0" w:color="auto"/>
              <w:bottom w:val="single" w:sz="4" w:space="0" w:color="auto"/>
              <w:right w:val="single" w:sz="4" w:space="0" w:color="auto"/>
            </w:tcBorders>
            <w:shd w:val="clear" w:color="auto" w:fill="auto"/>
            <w:vAlign w:val="center"/>
            <w:hideMark/>
          </w:tcPr>
          <w:p w:rsidR="00A64028" w:rsidRPr="00B07AB8" w:rsidRDefault="00A64028" w:rsidP="006A7039">
            <w:pPr>
              <w:spacing w:after="0" w:line="240" w:lineRule="auto"/>
              <w:jc w:val="both"/>
              <w:rPr>
                <w:rFonts w:ascii="Arial Narrow" w:hAnsi="Arial Narrow"/>
                <w:sz w:val="20"/>
                <w:szCs w:val="20"/>
              </w:rPr>
            </w:pPr>
            <w:r w:rsidRPr="00B07AB8">
              <w:rPr>
                <w:rFonts w:ascii="Arial Narrow" w:hAnsi="Arial Narrow"/>
                <w:sz w:val="20"/>
                <w:szCs w:val="20"/>
              </w:rPr>
              <w:t>4.4.4.2.</w:t>
            </w:r>
          </w:p>
        </w:tc>
        <w:tc>
          <w:tcPr>
            <w:tcW w:w="7033" w:type="dxa"/>
            <w:tcBorders>
              <w:top w:val="nil"/>
              <w:left w:val="nil"/>
              <w:bottom w:val="single" w:sz="4" w:space="0" w:color="auto"/>
              <w:right w:val="single" w:sz="4" w:space="0" w:color="auto"/>
            </w:tcBorders>
            <w:shd w:val="clear" w:color="auto" w:fill="auto"/>
            <w:vAlign w:val="center"/>
            <w:hideMark/>
          </w:tcPr>
          <w:p w:rsidR="00A64028" w:rsidRPr="00B07AB8" w:rsidRDefault="00A64028" w:rsidP="006A7039">
            <w:pPr>
              <w:spacing w:after="0" w:line="240" w:lineRule="auto"/>
              <w:jc w:val="both"/>
              <w:rPr>
                <w:rFonts w:ascii="Arial Narrow" w:hAnsi="Arial Narrow"/>
                <w:sz w:val="20"/>
                <w:szCs w:val="20"/>
              </w:rPr>
            </w:pPr>
            <w:r w:rsidRPr="00B07AB8">
              <w:rPr>
                <w:rFonts w:ascii="Arial Narrow" w:hAnsi="Arial Narrow"/>
                <w:sz w:val="20"/>
                <w:szCs w:val="20"/>
              </w:rPr>
              <w:t>Удовлетворены качеством предоставляемых услуг, %</w:t>
            </w:r>
          </w:p>
        </w:tc>
        <w:tc>
          <w:tcPr>
            <w:tcW w:w="1984" w:type="dxa"/>
            <w:tcBorders>
              <w:top w:val="nil"/>
              <w:left w:val="nil"/>
              <w:bottom w:val="single" w:sz="4" w:space="0" w:color="auto"/>
              <w:right w:val="single" w:sz="4" w:space="0" w:color="auto"/>
            </w:tcBorders>
            <w:shd w:val="clear" w:color="auto" w:fill="auto"/>
            <w:noWrap/>
            <w:vAlign w:val="bottom"/>
            <w:hideMark/>
          </w:tcPr>
          <w:p w:rsidR="00A64028" w:rsidRPr="00B07AB8" w:rsidRDefault="00A64028" w:rsidP="006A7039">
            <w:pPr>
              <w:spacing w:after="0" w:line="240" w:lineRule="auto"/>
              <w:jc w:val="center"/>
              <w:rPr>
                <w:rFonts w:ascii="Arial Narrow" w:hAnsi="Arial Narrow"/>
                <w:sz w:val="20"/>
                <w:szCs w:val="20"/>
              </w:rPr>
            </w:pPr>
            <w:r w:rsidRPr="00B07AB8">
              <w:rPr>
                <w:rFonts w:ascii="Arial Narrow" w:hAnsi="Arial Narrow"/>
                <w:sz w:val="20"/>
                <w:szCs w:val="20"/>
              </w:rPr>
              <w:t>60,7%</w:t>
            </w:r>
          </w:p>
        </w:tc>
      </w:tr>
    </w:tbl>
    <w:p w:rsidR="00A64028" w:rsidRPr="0030560B" w:rsidRDefault="00A64028" w:rsidP="00103148">
      <w:pPr>
        <w:pStyle w:val="a5"/>
        <w:ind w:firstLine="567"/>
        <w:jc w:val="both"/>
        <w:rPr>
          <w:rFonts w:ascii="Arial Narrow" w:hAnsi="Arial Narrow"/>
          <w:sz w:val="22"/>
          <w:szCs w:val="22"/>
        </w:rPr>
      </w:pPr>
    </w:p>
    <w:p w:rsidR="00130274" w:rsidRDefault="00130274" w:rsidP="006C1D6C">
      <w:pPr>
        <w:pStyle w:val="2"/>
        <w:jc w:val="both"/>
        <w:rPr>
          <w:rFonts w:ascii="Arial Narrow" w:hAnsi="Arial Narrow"/>
        </w:rPr>
      </w:pPr>
      <w:bookmarkStart w:id="110" w:name="_Toc473725883"/>
    </w:p>
    <w:p w:rsidR="00A64028" w:rsidRPr="0030560B" w:rsidRDefault="00A64028" w:rsidP="006C1D6C">
      <w:pPr>
        <w:pStyle w:val="2"/>
        <w:jc w:val="both"/>
        <w:rPr>
          <w:rFonts w:ascii="Arial Narrow" w:hAnsi="Arial Narrow"/>
        </w:rPr>
      </w:pPr>
      <w:r>
        <w:rPr>
          <w:rFonts w:ascii="Arial Narrow" w:hAnsi="Arial Narrow"/>
        </w:rPr>
        <w:t>5</w:t>
      </w:r>
      <w:r w:rsidRPr="0030560B">
        <w:rPr>
          <w:rFonts w:ascii="Arial Narrow" w:hAnsi="Arial Narrow"/>
        </w:rPr>
        <w:t>.4. Оценка эффективности реализации инвестиционных программ и отдельных инвестиционных проектов субъектов естественных монополий со стороны потребителей товаров, работ и услуг, задействованных в механизмах общественного контроля за деятельностью субъектов естественных монополий</w:t>
      </w:r>
      <w:bookmarkEnd w:id="110"/>
    </w:p>
    <w:p w:rsidR="006A7039" w:rsidRDefault="00A64028" w:rsidP="00103148">
      <w:pPr>
        <w:spacing w:after="0" w:line="360" w:lineRule="auto"/>
        <w:ind w:firstLine="284"/>
        <w:jc w:val="both"/>
        <w:rPr>
          <w:rFonts w:ascii="Arial Narrow" w:hAnsi="Arial Narrow"/>
          <w:sz w:val="24"/>
          <w:szCs w:val="24"/>
        </w:rPr>
      </w:pPr>
      <w:r w:rsidRPr="00B07AB8">
        <w:rPr>
          <w:rFonts w:ascii="Arial Narrow" w:hAnsi="Arial Narrow"/>
          <w:bCs/>
          <w:sz w:val="24"/>
          <w:szCs w:val="24"/>
        </w:rPr>
        <w:t>Значение данного показателя отсутствует по причине того, что общественный контроль не реализован, в</w:t>
      </w:r>
      <w:r w:rsidRPr="00B07AB8">
        <w:rPr>
          <w:rFonts w:ascii="Arial Narrow" w:hAnsi="Arial Narrow"/>
          <w:sz w:val="24"/>
          <w:szCs w:val="24"/>
        </w:rPr>
        <w:t xml:space="preserve"> 2016 г. и ранее он не проводился.</w:t>
      </w:r>
    </w:p>
    <w:p w:rsidR="006A7039" w:rsidRDefault="006A7039">
      <w:pPr>
        <w:rPr>
          <w:rFonts w:ascii="Arial Narrow" w:eastAsia="Times New Roman" w:hAnsi="Arial Narrow" w:cs="Times New Roman"/>
          <w:b/>
          <w:bCs/>
          <w:color w:val="000000"/>
          <w:sz w:val="32"/>
          <w:szCs w:val="32"/>
          <w:lang w:eastAsia="ru-RU"/>
        </w:rPr>
      </w:pPr>
      <w:bookmarkStart w:id="111" w:name="_Toc469663946"/>
      <w:bookmarkStart w:id="112" w:name="_Toc473725884"/>
      <w:r>
        <w:rPr>
          <w:rFonts w:ascii="Arial Narrow" w:hAnsi="Arial Narrow"/>
        </w:rPr>
        <w:br w:type="page"/>
      </w:r>
    </w:p>
    <w:p w:rsidR="00A64028" w:rsidRPr="0030560B" w:rsidRDefault="00A64028" w:rsidP="00262F71">
      <w:pPr>
        <w:pStyle w:val="1"/>
        <w:jc w:val="both"/>
        <w:rPr>
          <w:rFonts w:ascii="Arial Narrow" w:hAnsi="Arial Narrow"/>
        </w:rPr>
      </w:pPr>
      <w:r>
        <w:rPr>
          <w:rFonts w:ascii="Arial Narrow" w:hAnsi="Arial Narrow"/>
        </w:rPr>
        <w:lastRenderedPageBreak/>
        <w:t>6</w:t>
      </w:r>
      <w:r w:rsidRPr="0030560B">
        <w:rPr>
          <w:rFonts w:ascii="Arial Narrow" w:hAnsi="Arial Narrow"/>
        </w:rPr>
        <w:t xml:space="preserve">. </w:t>
      </w:r>
      <w:r w:rsidRPr="0030560B">
        <w:rPr>
          <w:rFonts w:ascii="Arial Narrow" w:eastAsia="SimSun" w:hAnsi="Arial Narrow"/>
        </w:rPr>
        <w:t>Результаты мониторинга деятельности хозяйствующих субъектов, доля участия Новосибирской области или муниципального образования в которых составляет 50 и более процентов</w:t>
      </w:r>
      <w:bookmarkEnd w:id="111"/>
      <w:bookmarkEnd w:id="112"/>
    </w:p>
    <w:p w:rsidR="00A64028" w:rsidRPr="0030560B" w:rsidRDefault="00A64028" w:rsidP="00103148">
      <w:pPr>
        <w:pStyle w:val="a5"/>
        <w:ind w:firstLine="567"/>
        <w:jc w:val="both"/>
        <w:rPr>
          <w:rFonts w:ascii="Arial Narrow" w:hAnsi="Arial Narrow"/>
          <w:b/>
          <w:sz w:val="24"/>
          <w:szCs w:val="24"/>
        </w:rPr>
      </w:pPr>
    </w:p>
    <w:p w:rsidR="00B42143" w:rsidRPr="00130274" w:rsidRDefault="00B42143" w:rsidP="00B42143">
      <w:pPr>
        <w:shd w:val="clear" w:color="auto" w:fill="FFFFFF"/>
        <w:spacing w:after="0" w:line="360" w:lineRule="auto"/>
        <w:ind w:firstLine="284"/>
        <w:jc w:val="both"/>
        <w:rPr>
          <w:rFonts w:ascii="Arial Narrow" w:eastAsia="SimSun" w:hAnsi="Arial Narrow"/>
          <w:sz w:val="24"/>
          <w:szCs w:val="24"/>
        </w:rPr>
      </w:pPr>
      <w:bookmarkStart w:id="113" w:name="_Toc469663947"/>
      <w:bookmarkStart w:id="114" w:name="_Toc473725885"/>
      <w:r w:rsidRPr="00A10F53">
        <w:rPr>
          <w:rFonts w:ascii="Arial Narrow" w:eastAsia="SimSun" w:hAnsi="Arial Narrow"/>
          <w:b/>
          <w:sz w:val="24"/>
          <w:szCs w:val="24"/>
        </w:rPr>
        <w:t xml:space="preserve">Суммарное количество </w:t>
      </w:r>
      <w:r>
        <w:rPr>
          <w:rFonts w:ascii="Arial Narrow" w:eastAsia="SimSun" w:hAnsi="Arial Narrow"/>
          <w:b/>
          <w:sz w:val="24"/>
          <w:szCs w:val="24"/>
        </w:rPr>
        <w:t>хозяйствующих субъектов</w:t>
      </w:r>
      <w:r w:rsidRPr="00A10F53">
        <w:rPr>
          <w:rFonts w:ascii="Arial Narrow" w:eastAsia="SimSun" w:hAnsi="Arial Narrow"/>
          <w:sz w:val="24"/>
          <w:szCs w:val="24"/>
        </w:rPr>
        <w:t>, доля собственности в которых региональных или муниципальных органов власти составляет 50</w:t>
      </w:r>
      <w:r>
        <w:rPr>
          <w:rFonts w:ascii="Arial Narrow" w:eastAsia="SimSun" w:hAnsi="Arial Narrow"/>
          <w:sz w:val="24"/>
          <w:szCs w:val="24"/>
        </w:rPr>
        <w:t xml:space="preserve"> </w:t>
      </w:r>
      <w:r w:rsidRPr="00A10F53">
        <w:rPr>
          <w:rFonts w:ascii="Arial Narrow" w:eastAsia="SimSun" w:hAnsi="Arial Narrow"/>
          <w:sz w:val="24"/>
          <w:szCs w:val="24"/>
        </w:rPr>
        <w:t xml:space="preserve">% и более, составляет </w:t>
      </w:r>
      <w:r>
        <w:rPr>
          <w:rFonts w:ascii="Arial Narrow" w:eastAsia="SimSun" w:hAnsi="Arial Narrow"/>
          <w:sz w:val="24"/>
          <w:szCs w:val="24"/>
        </w:rPr>
        <w:t>3067</w:t>
      </w:r>
      <w:r w:rsidRPr="00A10F53">
        <w:rPr>
          <w:rFonts w:ascii="Arial Narrow" w:eastAsia="SimSun" w:hAnsi="Arial Narrow"/>
          <w:sz w:val="24"/>
          <w:szCs w:val="24"/>
        </w:rPr>
        <w:t xml:space="preserve"> п</w:t>
      </w:r>
      <w:r w:rsidRPr="00B85E1A">
        <w:rPr>
          <w:rFonts w:ascii="Arial Narrow" w:eastAsia="SimSun" w:hAnsi="Arial Narrow"/>
          <w:sz w:val="24"/>
          <w:szCs w:val="24"/>
        </w:rPr>
        <w:t>редприяти</w:t>
      </w:r>
      <w:r>
        <w:rPr>
          <w:rFonts w:ascii="Arial Narrow" w:eastAsia="SimSun" w:hAnsi="Arial Narrow"/>
          <w:sz w:val="24"/>
          <w:szCs w:val="24"/>
        </w:rPr>
        <w:t>й</w:t>
      </w:r>
      <w:r w:rsidRPr="00A10F53">
        <w:rPr>
          <w:rFonts w:ascii="Arial Narrow" w:eastAsia="SimSun" w:hAnsi="Arial Narrow"/>
          <w:sz w:val="24"/>
          <w:szCs w:val="24"/>
        </w:rPr>
        <w:t xml:space="preserve">. Из них </w:t>
      </w:r>
      <w:r>
        <w:rPr>
          <w:rFonts w:ascii="Arial Narrow" w:eastAsia="SimSun" w:hAnsi="Arial Narrow"/>
          <w:sz w:val="24"/>
          <w:szCs w:val="24"/>
        </w:rPr>
        <w:t xml:space="preserve">1797 </w:t>
      </w:r>
      <w:r w:rsidRPr="00A10F53">
        <w:rPr>
          <w:rFonts w:ascii="Arial Narrow" w:eastAsia="SimSun" w:hAnsi="Arial Narrow"/>
          <w:sz w:val="24"/>
          <w:szCs w:val="24"/>
        </w:rPr>
        <w:t>на 50</w:t>
      </w:r>
      <w:r>
        <w:rPr>
          <w:rFonts w:ascii="Arial Narrow" w:eastAsia="SimSun" w:hAnsi="Arial Narrow"/>
          <w:sz w:val="24"/>
          <w:szCs w:val="24"/>
        </w:rPr>
        <w:t xml:space="preserve"> </w:t>
      </w:r>
      <w:r w:rsidRPr="00A10F53">
        <w:rPr>
          <w:rFonts w:ascii="Arial Narrow" w:eastAsia="SimSun" w:hAnsi="Arial Narrow"/>
          <w:sz w:val="24"/>
          <w:szCs w:val="24"/>
        </w:rPr>
        <w:t xml:space="preserve">% и более </w:t>
      </w:r>
      <w:r>
        <w:rPr>
          <w:rFonts w:ascii="Arial Narrow" w:eastAsia="SimSun" w:hAnsi="Arial Narrow"/>
          <w:sz w:val="24"/>
          <w:szCs w:val="24"/>
        </w:rPr>
        <w:t>принадлежат региональным</w:t>
      </w:r>
      <w:r w:rsidRPr="00A10F53">
        <w:rPr>
          <w:rFonts w:ascii="Arial Narrow" w:eastAsia="SimSun" w:hAnsi="Arial Narrow"/>
          <w:sz w:val="24"/>
          <w:szCs w:val="24"/>
        </w:rPr>
        <w:t xml:space="preserve"> орган</w:t>
      </w:r>
      <w:r>
        <w:rPr>
          <w:rFonts w:ascii="Arial Narrow" w:eastAsia="SimSun" w:hAnsi="Arial Narrow"/>
          <w:sz w:val="24"/>
          <w:szCs w:val="24"/>
        </w:rPr>
        <w:t>ам</w:t>
      </w:r>
      <w:r w:rsidRPr="00A10F53">
        <w:rPr>
          <w:rFonts w:ascii="Arial Narrow" w:eastAsia="SimSun" w:hAnsi="Arial Narrow"/>
          <w:sz w:val="24"/>
          <w:szCs w:val="24"/>
        </w:rPr>
        <w:t xml:space="preserve"> власти</w:t>
      </w:r>
      <w:r>
        <w:rPr>
          <w:rFonts w:ascii="Arial Narrow" w:eastAsia="SimSun" w:hAnsi="Arial Narrow"/>
          <w:sz w:val="24"/>
          <w:szCs w:val="24"/>
        </w:rPr>
        <w:t xml:space="preserve"> (58,6 % от общего количества </w:t>
      </w:r>
      <w:r w:rsidR="00B13240" w:rsidRPr="00B13240">
        <w:rPr>
          <w:rFonts w:ascii="Arial Narrow" w:eastAsia="SimSun" w:hAnsi="Arial Narrow"/>
          <w:sz w:val="24"/>
          <w:szCs w:val="24"/>
        </w:rPr>
        <w:t>организаций с долей собственности региональных или местных органов власти 50 % и более) и 1270 – муниципальным органам власти (41,4 % от общего количества данных организаций).</w:t>
      </w:r>
    </w:p>
    <w:p w:rsidR="00B42143" w:rsidRDefault="00B13240" w:rsidP="00B42143">
      <w:pPr>
        <w:shd w:val="clear" w:color="auto" w:fill="FFFFFF"/>
        <w:spacing w:after="0" w:line="360" w:lineRule="auto"/>
        <w:ind w:firstLine="284"/>
        <w:jc w:val="both"/>
        <w:rPr>
          <w:rFonts w:ascii="Arial Narrow" w:eastAsia="SimSun" w:hAnsi="Arial Narrow"/>
          <w:sz w:val="24"/>
          <w:szCs w:val="24"/>
        </w:rPr>
      </w:pPr>
      <w:r w:rsidRPr="00B13240">
        <w:rPr>
          <w:rFonts w:ascii="Arial Narrow" w:eastAsia="SimSun" w:hAnsi="Arial Narrow"/>
          <w:b/>
          <w:sz w:val="24"/>
          <w:szCs w:val="24"/>
        </w:rPr>
        <w:t>Структура размещения организаций по муниципальным образованиям</w:t>
      </w:r>
      <w:r w:rsidRPr="00B13240">
        <w:rPr>
          <w:rFonts w:ascii="Arial Narrow" w:eastAsia="SimSun" w:hAnsi="Arial Narrow"/>
          <w:sz w:val="24"/>
          <w:szCs w:val="24"/>
        </w:rPr>
        <w:t xml:space="preserve"> представлена в таблице 6.1. Больше всего организаций с долей региональной или муниципальной собственности 50 % и более размещено в г. Новосибирске (671 или 21,9 % от общего количества), на втором месте – Новосибирский район (121 или 4,0 %), на третьем месте – Искитимский район (114 или 3,7%), на четвертом – Тогучинский район (103 или 3,4%). В каждом из остальны</w:t>
      </w:r>
      <w:bookmarkStart w:id="115" w:name="_GoBack"/>
      <w:bookmarkEnd w:id="115"/>
      <w:r w:rsidRPr="00B13240">
        <w:rPr>
          <w:rFonts w:ascii="Arial Narrow" w:eastAsia="SimSun" w:hAnsi="Arial Narrow"/>
          <w:sz w:val="24"/>
          <w:szCs w:val="24"/>
        </w:rPr>
        <w:t xml:space="preserve">х муниципальных образований расположено менее 100 хозяйствующих субъектов данного вида: численность хозяйствующих субъектов с долей государственной или муниципальной собственности 50 % и более монотонно снижается с 97 (Краснозерский район) до 10 организаций (г. Обь). </w:t>
      </w:r>
    </w:p>
    <w:p w:rsidR="00B42143" w:rsidRPr="00B42143" w:rsidRDefault="00B42143" w:rsidP="00B42143">
      <w:pPr>
        <w:shd w:val="clear" w:color="auto" w:fill="FFFFFF"/>
        <w:spacing w:after="0" w:line="360" w:lineRule="auto"/>
        <w:ind w:firstLine="284"/>
        <w:jc w:val="both"/>
        <w:rPr>
          <w:rFonts w:ascii="Arial Narrow" w:eastAsia="SimSun" w:hAnsi="Arial Narrow"/>
          <w:sz w:val="12"/>
          <w:szCs w:val="12"/>
        </w:rPr>
      </w:pPr>
    </w:p>
    <w:p w:rsidR="00B42143" w:rsidRPr="00163F09" w:rsidRDefault="00F170CC" w:rsidP="00F170CC">
      <w:pPr>
        <w:shd w:val="clear" w:color="auto" w:fill="FFFFFF"/>
        <w:spacing w:after="0" w:line="240" w:lineRule="auto"/>
        <w:rPr>
          <w:rFonts w:ascii="Arial Narrow" w:eastAsia="SimSun" w:hAnsi="Arial Narrow"/>
          <w:sz w:val="24"/>
          <w:szCs w:val="24"/>
        </w:rPr>
      </w:pPr>
      <w:r>
        <w:rPr>
          <w:rFonts w:ascii="Arial Narrow" w:eastAsia="SimSun" w:hAnsi="Arial Narrow"/>
          <w:sz w:val="24"/>
          <w:szCs w:val="24"/>
        </w:rPr>
        <w:t>Таблица 7.55.</w:t>
      </w:r>
      <w:r w:rsidR="00B42143" w:rsidRPr="00163F09">
        <w:rPr>
          <w:rFonts w:ascii="Arial Narrow" w:eastAsia="SimSun" w:hAnsi="Arial Narrow"/>
          <w:sz w:val="24"/>
          <w:szCs w:val="24"/>
        </w:rPr>
        <w:t xml:space="preserve"> – </w:t>
      </w:r>
      <w:r w:rsidR="00B42143" w:rsidRPr="00163F09">
        <w:rPr>
          <w:rFonts w:ascii="Arial Narrow" w:eastAsia="SimSun" w:hAnsi="Arial Narrow"/>
          <w:b/>
          <w:sz w:val="24"/>
          <w:szCs w:val="24"/>
        </w:rPr>
        <w:t>Распределение предприятий с долей государственной/муниципальной собственности 50 % и более по территориям</w:t>
      </w:r>
    </w:p>
    <w:tbl>
      <w:tblPr>
        <w:tblW w:w="9498" w:type="dxa"/>
        <w:tblInd w:w="108" w:type="dxa"/>
        <w:tblLook w:val="04A0"/>
      </w:tblPr>
      <w:tblGrid>
        <w:gridCol w:w="960"/>
        <w:gridCol w:w="3080"/>
        <w:gridCol w:w="2623"/>
        <w:gridCol w:w="2835"/>
      </w:tblGrid>
      <w:tr w:rsidR="00B42143" w:rsidRPr="00F170CC" w:rsidTr="00F170CC">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2143" w:rsidRPr="00F170CC" w:rsidRDefault="00B42143" w:rsidP="00BF6DC4">
            <w:pPr>
              <w:spacing w:after="0" w:line="240" w:lineRule="auto"/>
              <w:jc w:val="center"/>
              <w:rPr>
                <w:rFonts w:ascii="Arial Narrow" w:eastAsia="Times New Roman" w:hAnsi="Arial Narrow" w:cs="Times New Roman"/>
                <w:b/>
                <w:sz w:val="20"/>
                <w:szCs w:val="20"/>
                <w:lang w:eastAsia="ru-RU"/>
              </w:rPr>
            </w:pPr>
            <w:r w:rsidRPr="00F170CC">
              <w:rPr>
                <w:rFonts w:ascii="Arial Narrow" w:eastAsia="Times New Roman" w:hAnsi="Arial Narrow" w:cs="Times New Roman"/>
                <w:b/>
                <w:sz w:val="20"/>
                <w:szCs w:val="20"/>
                <w:lang w:eastAsia="ru-RU"/>
              </w:rPr>
              <w:t> </w:t>
            </w:r>
          </w:p>
        </w:tc>
        <w:tc>
          <w:tcPr>
            <w:tcW w:w="3080" w:type="dxa"/>
            <w:tcBorders>
              <w:top w:val="single" w:sz="4" w:space="0" w:color="auto"/>
              <w:left w:val="nil"/>
              <w:bottom w:val="single" w:sz="4" w:space="0" w:color="auto"/>
              <w:right w:val="single" w:sz="4" w:space="0" w:color="auto"/>
            </w:tcBorders>
            <w:shd w:val="clear" w:color="auto" w:fill="auto"/>
            <w:vAlign w:val="center"/>
            <w:hideMark/>
          </w:tcPr>
          <w:p w:rsidR="00B42143" w:rsidRPr="00F170CC" w:rsidRDefault="00B42143" w:rsidP="00BF6DC4">
            <w:pPr>
              <w:spacing w:after="0" w:line="240" w:lineRule="auto"/>
              <w:jc w:val="center"/>
              <w:rPr>
                <w:rFonts w:ascii="Arial Narrow" w:eastAsia="Times New Roman" w:hAnsi="Arial Narrow" w:cs="Times New Roman"/>
                <w:b/>
                <w:sz w:val="20"/>
                <w:szCs w:val="20"/>
                <w:lang w:eastAsia="ru-RU"/>
              </w:rPr>
            </w:pPr>
            <w:r w:rsidRPr="00F170CC">
              <w:rPr>
                <w:rFonts w:ascii="Arial Narrow" w:eastAsia="Times New Roman" w:hAnsi="Arial Narrow" w:cs="Times New Roman"/>
                <w:b/>
                <w:sz w:val="20"/>
                <w:szCs w:val="20"/>
                <w:lang w:eastAsia="ru-RU"/>
              </w:rPr>
              <w:t>Муниципальное образование</w:t>
            </w:r>
          </w:p>
        </w:tc>
        <w:tc>
          <w:tcPr>
            <w:tcW w:w="2623" w:type="dxa"/>
            <w:tcBorders>
              <w:top w:val="single" w:sz="4" w:space="0" w:color="auto"/>
              <w:left w:val="nil"/>
              <w:bottom w:val="single" w:sz="4" w:space="0" w:color="auto"/>
              <w:right w:val="single" w:sz="4" w:space="0" w:color="auto"/>
            </w:tcBorders>
            <w:shd w:val="clear" w:color="auto" w:fill="auto"/>
            <w:vAlign w:val="center"/>
            <w:hideMark/>
          </w:tcPr>
          <w:p w:rsidR="00B42143" w:rsidRPr="00F170CC" w:rsidRDefault="00B42143" w:rsidP="00BF6DC4">
            <w:pPr>
              <w:spacing w:after="0" w:line="240" w:lineRule="auto"/>
              <w:jc w:val="center"/>
              <w:rPr>
                <w:rFonts w:ascii="Arial Narrow" w:eastAsia="Times New Roman" w:hAnsi="Arial Narrow" w:cs="Times New Roman"/>
                <w:b/>
                <w:sz w:val="20"/>
                <w:szCs w:val="20"/>
                <w:lang w:eastAsia="ru-RU"/>
              </w:rPr>
            </w:pPr>
            <w:r w:rsidRPr="00F170CC">
              <w:rPr>
                <w:rFonts w:ascii="Arial Narrow" w:eastAsia="Times New Roman" w:hAnsi="Arial Narrow" w:cs="Times New Roman"/>
                <w:b/>
                <w:sz w:val="20"/>
                <w:szCs w:val="20"/>
                <w:lang w:eastAsia="ru-RU"/>
              </w:rPr>
              <w:t>Количество организаций</w:t>
            </w:r>
          </w:p>
        </w:tc>
        <w:tc>
          <w:tcPr>
            <w:tcW w:w="2835" w:type="dxa"/>
            <w:tcBorders>
              <w:top w:val="single" w:sz="4" w:space="0" w:color="auto"/>
              <w:left w:val="nil"/>
              <w:bottom w:val="single" w:sz="4" w:space="0" w:color="auto"/>
              <w:right w:val="single" w:sz="4" w:space="0" w:color="auto"/>
            </w:tcBorders>
            <w:shd w:val="clear" w:color="auto" w:fill="auto"/>
            <w:noWrap/>
            <w:vAlign w:val="center"/>
            <w:hideMark/>
          </w:tcPr>
          <w:p w:rsidR="00B42143" w:rsidRPr="00F170CC" w:rsidRDefault="00B42143" w:rsidP="00BF6DC4">
            <w:pPr>
              <w:spacing w:after="0" w:line="240" w:lineRule="auto"/>
              <w:jc w:val="center"/>
              <w:rPr>
                <w:rFonts w:ascii="Arial Narrow" w:eastAsia="Times New Roman" w:hAnsi="Arial Narrow" w:cs="Times New Roman"/>
                <w:b/>
                <w:sz w:val="20"/>
                <w:szCs w:val="20"/>
                <w:lang w:eastAsia="ru-RU"/>
              </w:rPr>
            </w:pPr>
            <w:r w:rsidRPr="00F170CC">
              <w:rPr>
                <w:rFonts w:ascii="Arial Narrow" w:eastAsia="Times New Roman" w:hAnsi="Arial Narrow" w:cs="Times New Roman"/>
                <w:b/>
                <w:sz w:val="20"/>
                <w:szCs w:val="20"/>
                <w:lang w:eastAsia="ru-RU"/>
              </w:rPr>
              <w:t>% к итогу</w:t>
            </w:r>
          </w:p>
        </w:tc>
      </w:tr>
      <w:tr w:rsidR="00B42143" w:rsidRPr="00B35ADA" w:rsidTr="00F170C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1</w:t>
            </w:r>
          </w:p>
        </w:tc>
        <w:tc>
          <w:tcPr>
            <w:tcW w:w="3080"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г. Новосибирск</w:t>
            </w:r>
          </w:p>
        </w:tc>
        <w:tc>
          <w:tcPr>
            <w:tcW w:w="2623"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671</w:t>
            </w:r>
          </w:p>
        </w:tc>
        <w:tc>
          <w:tcPr>
            <w:tcW w:w="2835" w:type="dxa"/>
            <w:tcBorders>
              <w:top w:val="nil"/>
              <w:left w:val="nil"/>
              <w:bottom w:val="single" w:sz="4" w:space="0" w:color="auto"/>
              <w:right w:val="single" w:sz="4" w:space="0" w:color="auto"/>
            </w:tcBorders>
            <w:shd w:val="clear" w:color="auto" w:fill="auto"/>
            <w:noWrap/>
            <w:vAlign w:val="center"/>
            <w:hideMark/>
          </w:tcPr>
          <w:p w:rsidR="00B42143" w:rsidRDefault="00B42143" w:rsidP="00BF6DC4">
            <w:pPr>
              <w:spacing w:after="0" w:line="240" w:lineRule="auto"/>
              <w:jc w:val="center"/>
              <w:rPr>
                <w:rFonts w:ascii="Arial Narrow" w:hAnsi="Arial Narrow"/>
                <w:color w:val="000000"/>
                <w:sz w:val="20"/>
                <w:szCs w:val="20"/>
              </w:rPr>
            </w:pPr>
            <w:r>
              <w:rPr>
                <w:rFonts w:ascii="Arial Narrow" w:hAnsi="Arial Narrow"/>
                <w:color w:val="000000"/>
                <w:sz w:val="20"/>
                <w:szCs w:val="20"/>
              </w:rPr>
              <w:t>21,9%</w:t>
            </w:r>
          </w:p>
        </w:tc>
      </w:tr>
      <w:tr w:rsidR="00B42143" w:rsidRPr="00B35ADA" w:rsidTr="00F170C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2</w:t>
            </w:r>
          </w:p>
        </w:tc>
        <w:tc>
          <w:tcPr>
            <w:tcW w:w="3080"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Новосибирский район</w:t>
            </w:r>
          </w:p>
        </w:tc>
        <w:tc>
          <w:tcPr>
            <w:tcW w:w="2623"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121</w:t>
            </w:r>
          </w:p>
        </w:tc>
        <w:tc>
          <w:tcPr>
            <w:tcW w:w="2835" w:type="dxa"/>
            <w:tcBorders>
              <w:top w:val="nil"/>
              <w:left w:val="nil"/>
              <w:bottom w:val="single" w:sz="4" w:space="0" w:color="auto"/>
              <w:right w:val="single" w:sz="4" w:space="0" w:color="auto"/>
            </w:tcBorders>
            <w:shd w:val="clear" w:color="auto" w:fill="auto"/>
            <w:noWrap/>
            <w:vAlign w:val="center"/>
            <w:hideMark/>
          </w:tcPr>
          <w:p w:rsidR="00B42143" w:rsidRDefault="00B42143" w:rsidP="00BF6DC4">
            <w:pPr>
              <w:spacing w:after="0" w:line="240" w:lineRule="auto"/>
              <w:jc w:val="center"/>
              <w:rPr>
                <w:rFonts w:ascii="Arial Narrow" w:hAnsi="Arial Narrow"/>
                <w:color w:val="000000"/>
                <w:sz w:val="20"/>
                <w:szCs w:val="20"/>
              </w:rPr>
            </w:pPr>
            <w:r>
              <w:rPr>
                <w:rFonts w:ascii="Arial Narrow" w:hAnsi="Arial Narrow"/>
                <w:color w:val="000000"/>
                <w:sz w:val="20"/>
                <w:szCs w:val="20"/>
              </w:rPr>
              <w:t>4,0%</w:t>
            </w:r>
          </w:p>
        </w:tc>
      </w:tr>
      <w:tr w:rsidR="00B42143" w:rsidRPr="00B35ADA" w:rsidTr="00F170C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3</w:t>
            </w:r>
          </w:p>
        </w:tc>
        <w:tc>
          <w:tcPr>
            <w:tcW w:w="3080"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Искитимский район</w:t>
            </w:r>
          </w:p>
        </w:tc>
        <w:tc>
          <w:tcPr>
            <w:tcW w:w="2623"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114</w:t>
            </w:r>
          </w:p>
        </w:tc>
        <w:tc>
          <w:tcPr>
            <w:tcW w:w="2835" w:type="dxa"/>
            <w:tcBorders>
              <w:top w:val="nil"/>
              <w:left w:val="nil"/>
              <w:bottom w:val="single" w:sz="4" w:space="0" w:color="auto"/>
              <w:right w:val="single" w:sz="4" w:space="0" w:color="auto"/>
            </w:tcBorders>
            <w:shd w:val="clear" w:color="auto" w:fill="auto"/>
            <w:noWrap/>
            <w:vAlign w:val="center"/>
            <w:hideMark/>
          </w:tcPr>
          <w:p w:rsidR="00B42143" w:rsidRDefault="00B42143" w:rsidP="00BF6DC4">
            <w:pPr>
              <w:spacing w:after="0" w:line="240" w:lineRule="auto"/>
              <w:jc w:val="center"/>
              <w:rPr>
                <w:rFonts w:ascii="Arial Narrow" w:hAnsi="Arial Narrow"/>
                <w:color w:val="000000"/>
                <w:sz w:val="20"/>
                <w:szCs w:val="20"/>
              </w:rPr>
            </w:pPr>
            <w:r>
              <w:rPr>
                <w:rFonts w:ascii="Arial Narrow" w:hAnsi="Arial Narrow"/>
                <w:color w:val="000000"/>
                <w:sz w:val="20"/>
                <w:szCs w:val="20"/>
              </w:rPr>
              <w:t>3,7%</w:t>
            </w:r>
          </w:p>
        </w:tc>
      </w:tr>
      <w:tr w:rsidR="00B42143" w:rsidRPr="00B35ADA" w:rsidTr="00F170C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4</w:t>
            </w:r>
          </w:p>
        </w:tc>
        <w:tc>
          <w:tcPr>
            <w:tcW w:w="3080"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Тогучинский район</w:t>
            </w:r>
          </w:p>
        </w:tc>
        <w:tc>
          <w:tcPr>
            <w:tcW w:w="2623"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103</w:t>
            </w:r>
          </w:p>
        </w:tc>
        <w:tc>
          <w:tcPr>
            <w:tcW w:w="2835" w:type="dxa"/>
            <w:tcBorders>
              <w:top w:val="nil"/>
              <w:left w:val="nil"/>
              <w:bottom w:val="single" w:sz="4" w:space="0" w:color="auto"/>
              <w:right w:val="single" w:sz="4" w:space="0" w:color="auto"/>
            </w:tcBorders>
            <w:shd w:val="clear" w:color="auto" w:fill="auto"/>
            <w:noWrap/>
            <w:vAlign w:val="center"/>
            <w:hideMark/>
          </w:tcPr>
          <w:p w:rsidR="00B42143" w:rsidRDefault="00B42143" w:rsidP="00BF6DC4">
            <w:pPr>
              <w:spacing w:after="0" w:line="240" w:lineRule="auto"/>
              <w:jc w:val="center"/>
              <w:rPr>
                <w:rFonts w:ascii="Arial Narrow" w:hAnsi="Arial Narrow"/>
                <w:color w:val="000000"/>
                <w:sz w:val="20"/>
                <w:szCs w:val="20"/>
              </w:rPr>
            </w:pPr>
            <w:r>
              <w:rPr>
                <w:rFonts w:ascii="Arial Narrow" w:hAnsi="Arial Narrow"/>
                <w:color w:val="000000"/>
                <w:sz w:val="20"/>
                <w:szCs w:val="20"/>
              </w:rPr>
              <w:t>3,4%</w:t>
            </w:r>
          </w:p>
        </w:tc>
      </w:tr>
      <w:tr w:rsidR="00B42143" w:rsidRPr="00B35ADA" w:rsidTr="006A7039">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5</w:t>
            </w:r>
          </w:p>
        </w:tc>
        <w:tc>
          <w:tcPr>
            <w:tcW w:w="3080" w:type="dxa"/>
            <w:tcBorders>
              <w:top w:val="single" w:sz="4" w:space="0" w:color="auto"/>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Краснозерский район</w:t>
            </w:r>
          </w:p>
        </w:tc>
        <w:tc>
          <w:tcPr>
            <w:tcW w:w="2623" w:type="dxa"/>
            <w:tcBorders>
              <w:top w:val="single" w:sz="4" w:space="0" w:color="auto"/>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97</w:t>
            </w:r>
          </w:p>
        </w:tc>
        <w:tc>
          <w:tcPr>
            <w:tcW w:w="2835" w:type="dxa"/>
            <w:tcBorders>
              <w:top w:val="single" w:sz="4" w:space="0" w:color="auto"/>
              <w:left w:val="nil"/>
              <w:bottom w:val="single" w:sz="4" w:space="0" w:color="auto"/>
              <w:right w:val="single" w:sz="4" w:space="0" w:color="auto"/>
            </w:tcBorders>
            <w:shd w:val="clear" w:color="auto" w:fill="auto"/>
            <w:noWrap/>
            <w:vAlign w:val="center"/>
            <w:hideMark/>
          </w:tcPr>
          <w:p w:rsidR="00B42143" w:rsidRDefault="00B42143" w:rsidP="00BF6DC4">
            <w:pPr>
              <w:spacing w:after="0" w:line="240" w:lineRule="auto"/>
              <w:jc w:val="center"/>
              <w:rPr>
                <w:rFonts w:ascii="Arial Narrow" w:hAnsi="Arial Narrow"/>
                <w:color w:val="000000"/>
                <w:sz w:val="20"/>
                <w:szCs w:val="20"/>
              </w:rPr>
            </w:pPr>
            <w:r>
              <w:rPr>
                <w:rFonts w:ascii="Arial Narrow" w:hAnsi="Arial Narrow"/>
                <w:color w:val="000000"/>
                <w:sz w:val="20"/>
                <w:szCs w:val="20"/>
              </w:rPr>
              <w:t>3,2%</w:t>
            </w:r>
          </w:p>
        </w:tc>
      </w:tr>
      <w:tr w:rsidR="00B42143" w:rsidRPr="00B35ADA" w:rsidTr="00F170C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6</w:t>
            </w:r>
          </w:p>
        </w:tc>
        <w:tc>
          <w:tcPr>
            <w:tcW w:w="3080"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Убинский район</w:t>
            </w:r>
          </w:p>
        </w:tc>
        <w:tc>
          <w:tcPr>
            <w:tcW w:w="2623"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95</w:t>
            </w:r>
          </w:p>
        </w:tc>
        <w:tc>
          <w:tcPr>
            <w:tcW w:w="2835" w:type="dxa"/>
            <w:tcBorders>
              <w:top w:val="nil"/>
              <w:left w:val="nil"/>
              <w:bottom w:val="single" w:sz="4" w:space="0" w:color="auto"/>
              <w:right w:val="single" w:sz="4" w:space="0" w:color="auto"/>
            </w:tcBorders>
            <w:shd w:val="clear" w:color="auto" w:fill="auto"/>
            <w:noWrap/>
            <w:vAlign w:val="center"/>
            <w:hideMark/>
          </w:tcPr>
          <w:p w:rsidR="00B42143" w:rsidRDefault="00B42143" w:rsidP="00BF6DC4">
            <w:pPr>
              <w:spacing w:after="0" w:line="240" w:lineRule="auto"/>
              <w:jc w:val="center"/>
              <w:rPr>
                <w:rFonts w:ascii="Arial Narrow" w:hAnsi="Arial Narrow"/>
                <w:color w:val="000000"/>
                <w:sz w:val="20"/>
                <w:szCs w:val="20"/>
              </w:rPr>
            </w:pPr>
            <w:r>
              <w:rPr>
                <w:rFonts w:ascii="Arial Narrow" w:hAnsi="Arial Narrow"/>
                <w:color w:val="000000"/>
                <w:sz w:val="20"/>
                <w:szCs w:val="20"/>
              </w:rPr>
              <w:t>3,1%</w:t>
            </w:r>
          </w:p>
        </w:tc>
      </w:tr>
      <w:tr w:rsidR="00B42143" w:rsidRPr="00B35ADA" w:rsidTr="00F170C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7</w:t>
            </w:r>
          </w:p>
        </w:tc>
        <w:tc>
          <w:tcPr>
            <w:tcW w:w="3080"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Куйбышевский район</w:t>
            </w:r>
          </w:p>
        </w:tc>
        <w:tc>
          <w:tcPr>
            <w:tcW w:w="2623"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93</w:t>
            </w:r>
          </w:p>
        </w:tc>
        <w:tc>
          <w:tcPr>
            <w:tcW w:w="2835" w:type="dxa"/>
            <w:tcBorders>
              <w:top w:val="nil"/>
              <w:left w:val="nil"/>
              <w:bottom w:val="single" w:sz="4" w:space="0" w:color="auto"/>
              <w:right w:val="single" w:sz="4" w:space="0" w:color="auto"/>
            </w:tcBorders>
            <w:shd w:val="clear" w:color="auto" w:fill="auto"/>
            <w:noWrap/>
            <w:vAlign w:val="center"/>
            <w:hideMark/>
          </w:tcPr>
          <w:p w:rsidR="00B42143" w:rsidRDefault="00B42143" w:rsidP="00BF6DC4">
            <w:pPr>
              <w:spacing w:after="0" w:line="240" w:lineRule="auto"/>
              <w:jc w:val="center"/>
              <w:rPr>
                <w:rFonts w:ascii="Arial Narrow" w:hAnsi="Arial Narrow"/>
                <w:color w:val="000000"/>
                <w:sz w:val="20"/>
                <w:szCs w:val="20"/>
              </w:rPr>
            </w:pPr>
            <w:r>
              <w:rPr>
                <w:rFonts w:ascii="Arial Narrow" w:hAnsi="Arial Narrow"/>
                <w:color w:val="000000"/>
                <w:sz w:val="20"/>
                <w:szCs w:val="20"/>
              </w:rPr>
              <w:t>3,0%</w:t>
            </w:r>
          </w:p>
        </w:tc>
      </w:tr>
      <w:tr w:rsidR="00B42143" w:rsidRPr="00B35ADA" w:rsidTr="00F170C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8</w:t>
            </w:r>
          </w:p>
        </w:tc>
        <w:tc>
          <w:tcPr>
            <w:tcW w:w="3080"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Купинский район</w:t>
            </w:r>
          </w:p>
        </w:tc>
        <w:tc>
          <w:tcPr>
            <w:tcW w:w="2623"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90</w:t>
            </w:r>
          </w:p>
        </w:tc>
        <w:tc>
          <w:tcPr>
            <w:tcW w:w="2835" w:type="dxa"/>
            <w:tcBorders>
              <w:top w:val="nil"/>
              <w:left w:val="nil"/>
              <w:bottom w:val="single" w:sz="4" w:space="0" w:color="auto"/>
              <w:right w:val="single" w:sz="4" w:space="0" w:color="auto"/>
            </w:tcBorders>
            <w:shd w:val="clear" w:color="auto" w:fill="auto"/>
            <w:noWrap/>
            <w:vAlign w:val="center"/>
            <w:hideMark/>
          </w:tcPr>
          <w:p w:rsidR="00B42143" w:rsidRDefault="00B42143" w:rsidP="00BF6DC4">
            <w:pPr>
              <w:spacing w:after="0" w:line="240" w:lineRule="auto"/>
              <w:jc w:val="center"/>
              <w:rPr>
                <w:rFonts w:ascii="Arial Narrow" w:hAnsi="Arial Narrow"/>
                <w:color w:val="000000"/>
                <w:sz w:val="20"/>
                <w:szCs w:val="20"/>
              </w:rPr>
            </w:pPr>
            <w:r>
              <w:rPr>
                <w:rFonts w:ascii="Arial Narrow" w:hAnsi="Arial Narrow"/>
                <w:color w:val="000000"/>
                <w:sz w:val="20"/>
                <w:szCs w:val="20"/>
              </w:rPr>
              <w:t>2,9%</w:t>
            </w:r>
          </w:p>
        </w:tc>
      </w:tr>
      <w:tr w:rsidR="00B42143" w:rsidRPr="00B35ADA" w:rsidTr="00F170C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9</w:t>
            </w:r>
          </w:p>
        </w:tc>
        <w:tc>
          <w:tcPr>
            <w:tcW w:w="3080"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Татарский район</w:t>
            </w:r>
          </w:p>
        </w:tc>
        <w:tc>
          <w:tcPr>
            <w:tcW w:w="2623"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86</w:t>
            </w:r>
          </w:p>
        </w:tc>
        <w:tc>
          <w:tcPr>
            <w:tcW w:w="2835" w:type="dxa"/>
            <w:tcBorders>
              <w:top w:val="nil"/>
              <w:left w:val="nil"/>
              <w:bottom w:val="single" w:sz="4" w:space="0" w:color="auto"/>
              <w:right w:val="single" w:sz="4" w:space="0" w:color="auto"/>
            </w:tcBorders>
            <w:shd w:val="clear" w:color="auto" w:fill="auto"/>
            <w:noWrap/>
            <w:vAlign w:val="center"/>
            <w:hideMark/>
          </w:tcPr>
          <w:p w:rsidR="00B42143" w:rsidRDefault="00B42143" w:rsidP="00BF6DC4">
            <w:pPr>
              <w:spacing w:after="0" w:line="240" w:lineRule="auto"/>
              <w:jc w:val="center"/>
              <w:rPr>
                <w:rFonts w:ascii="Arial Narrow" w:hAnsi="Arial Narrow"/>
                <w:color w:val="000000"/>
                <w:sz w:val="20"/>
                <w:szCs w:val="20"/>
              </w:rPr>
            </w:pPr>
            <w:r>
              <w:rPr>
                <w:rFonts w:ascii="Arial Narrow" w:hAnsi="Arial Narrow"/>
                <w:color w:val="000000"/>
                <w:sz w:val="20"/>
                <w:szCs w:val="20"/>
              </w:rPr>
              <w:t>2,8%</w:t>
            </w:r>
          </w:p>
        </w:tc>
      </w:tr>
      <w:tr w:rsidR="00B42143" w:rsidRPr="00B35ADA" w:rsidTr="00F170C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10</w:t>
            </w:r>
          </w:p>
        </w:tc>
        <w:tc>
          <w:tcPr>
            <w:tcW w:w="3080"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Барабинский район</w:t>
            </w:r>
          </w:p>
        </w:tc>
        <w:tc>
          <w:tcPr>
            <w:tcW w:w="2623"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82</w:t>
            </w:r>
          </w:p>
        </w:tc>
        <w:tc>
          <w:tcPr>
            <w:tcW w:w="2835" w:type="dxa"/>
            <w:tcBorders>
              <w:top w:val="nil"/>
              <w:left w:val="nil"/>
              <w:bottom w:val="single" w:sz="4" w:space="0" w:color="auto"/>
              <w:right w:val="single" w:sz="4" w:space="0" w:color="auto"/>
            </w:tcBorders>
            <w:shd w:val="clear" w:color="auto" w:fill="auto"/>
            <w:noWrap/>
            <w:vAlign w:val="center"/>
            <w:hideMark/>
          </w:tcPr>
          <w:p w:rsidR="00B42143" w:rsidRDefault="00B42143" w:rsidP="00BF6DC4">
            <w:pPr>
              <w:spacing w:after="0" w:line="240" w:lineRule="auto"/>
              <w:jc w:val="center"/>
              <w:rPr>
                <w:rFonts w:ascii="Arial Narrow" w:hAnsi="Arial Narrow"/>
                <w:color w:val="000000"/>
                <w:sz w:val="20"/>
                <w:szCs w:val="20"/>
              </w:rPr>
            </w:pPr>
            <w:r>
              <w:rPr>
                <w:rFonts w:ascii="Arial Narrow" w:hAnsi="Arial Narrow"/>
                <w:color w:val="000000"/>
                <w:sz w:val="20"/>
                <w:szCs w:val="20"/>
              </w:rPr>
              <w:t>2,7%</w:t>
            </w:r>
          </w:p>
        </w:tc>
      </w:tr>
      <w:tr w:rsidR="00B42143" w:rsidRPr="00B35ADA" w:rsidTr="00F170C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11</w:t>
            </w:r>
          </w:p>
        </w:tc>
        <w:tc>
          <w:tcPr>
            <w:tcW w:w="3080"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Черепановский район</w:t>
            </w:r>
          </w:p>
        </w:tc>
        <w:tc>
          <w:tcPr>
            <w:tcW w:w="2623"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81</w:t>
            </w:r>
          </w:p>
        </w:tc>
        <w:tc>
          <w:tcPr>
            <w:tcW w:w="2835" w:type="dxa"/>
            <w:tcBorders>
              <w:top w:val="nil"/>
              <w:left w:val="nil"/>
              <w:bottom w:val="single" w:sz="4" w:space="0" w:color="auto"/>
              <w:right w:val="single" w:sz="4" w:space="0" w:color="auto"/>
            </w:tcBorders>
            <w:shd w:val="clear" w:color="auto" w:fill="auto"/>
            <w:noWrap/>
            <w:vAlign w:val="center"/>
            <w:hideMark/>
          </w:tcPr>
          <w:p w:rsidR="00B42143" w:rsidRDefault="00B42143" w:rsidP="00BF6DC4">
            <w:pPr>
              <w:spacing w:after="0" w:line="240" w:lineRule="auto"/>
              <w:jc w:val="center"/>
              <w:rPr>
                <w:rFonts w:ascii="Arial Narrow" w:hAnsi="Arial Narrow"/>
                <w:color w:val="000000"/>
                <w:sz w:val="20"/>
                <w:szCs w:val="20"/>
              </w:rPr>
            </w:pPr>
            <w:r>
              <w:rPr>
                <w:rFonts w:ascii="Arial Narrow" w:hAnsi="Arial Narrow"/>
                <w:color w:val="000000"/>
                <w:sz w:val="20"/>
                <w:szCs w:val="20"/>
              </w:rPr>
              <w:t>2,6%</w:t>
            </w:r>
          </w:p>
        </w:tc>
      </w:tr>
      <w:tr w:rsidR="00B42143" w:rsidRPr="00B35ADA" w:rsidTr="00F170C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12</w:t>
            </w:r>
          </w:p>
        </w:tc>
        <w:tc>
          <w:tcPr>
            <w:tcW w:w="3080"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Карасукский район</w:t>
            </w:r>
          </w:p>
        </w:tc>
        <w:tc>
          <w:tcPr>
            <w:tcW w:w="2623"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76</w:t>
            </w:r>
          </w:p>
        </w:tc>
        <w:tc>
          <w:tcPr>
            <w:tcW w:w="2835" w:type="dxa"/>
            <w:tcBorders>
              <w:top w:val="nil"/>
              <w:left w:val="nil"/>
              <w:bottom w:val="single" w:sz="4" w:space="0" w:color="auto"/>
              <w:right w:val="single" w:sz="4" w:space="0" w:color="auto"/>
            </w:tcBorders>
            <w:shd w:val="clear" w:color="auto" w:fill="auto"/>
            <w:noWrap/>
            <w:vAlign w:val="center"/>
            <w:hideMark/>
          </w:tcPr>
          <w:p w:rsidR="00B42143" w:rsidRDefault="00B42143" w:rsidP="00BF6DC4">
            <w:pPr>
              <w:spacing w:after="0" w:line="240" w:lineRule="auto"/>
              <w:jc w:val="center"/>
              <w:rPr>
                <w:rFonts w:ascii="Arial Narrow" w:hAnsi="Arial Narrow"/>
                <w:color w:val="000000"/>
                <w:sz w:val="20"/>
                <w:szCs w:val="20"/>
              </w:rPr>
            </w:pPr>
            <w:r>
              <w:rPr>
                <w:rFonts w:ascii="Arial Narrow" w:hAnsi="Arial Narrow"/>
                <w:color w:val="000000"/>
                <w:sz w:val="20"/>
                <w:szCs w:val="20"/>
              </w:rPr>
              <w:t>2,5%</w:t>
            </w:r>
          </w:p>
        </w:tc>
      </w:tr>
      <w:tr w:rsidR="00B42143" w:rsidRPr="00B35ADA" w:rsidTr="00F170C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13</w:t>
            </w:r>
          </w:p>
        </w:tc>
        <w:tc>
          <w:tcPr>
            <w:tcW w:w="3080"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Болотнинский район</w:t>
            </w:r>
          </w:p>
        </w:tc>
        <w:tc>
          <w:tcPr>
            <w:tcW w:w="2623"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74</w:t>
            </w:r>
          </w:p>
        </w:tc>
        <w:tc>
          <w:tcPr>
            <w:tcW w:w="2835" w:type="dxa"/>
            <w:tcBorders>
              <w:top w:val="nil"/>
              <w:left w:val="nil"/>
              <w:bottom w:val="single" w:sz="4" w:space="0" w:color="auto"/>
              <w:right w:val="single" w:sz="4" w:space="0" w:color="auto"/>
            </w:tcBorders>
            <w:shd w:val="clear" w:color="auto" w:fill="auto"/>
            <w:noWrap/>
            <w:vAlign w:val="center"/>
            <w:hideMark/>
          </w:tcPr>
          <w:p w:rsidR="00B42143" w:rsidRDefault="00B42143" w:rsidP="00BF6DC4">
            <w:pPr>
              <w:spacing w:after="0" w:line="240" w:lineRule="auto"/>
              <w:jc w:val="center"/>
              <w:rPr>
                <w:rFonts w:ascii="Arial Narrow" w:hAnsi="Arial Narrow"/>
                <w:color w:val="000000"/>
                <w:sz w:val="20"/>
                <w:szCs w:val="20"/>
              </w:rPr>
            </w:pPr>
            <w:r>
              <w:rPr>
                <w:rFonts w:ascii="Arial Narrow" w:hAnsi="Arial Narrow"/>
                <w:color w:val="000000"/>
                <w:sz w:val="20"/>
                <w:szCs w:val="20"/>
              </w:rPr>
              <w:t>2,4%</w:t>
            </w:r>
          </w:p>
        </w:tc>
      </w:tr>
      <w:tr w:rsidR="00B42143" w:rsidRPr="00B35ADA" w:rsidTr="00F170C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14</w:t>
            </w:r>
          </w:p>
        </w:tc>
        <w:tc>
          <w:tcPr>
            <w:tcW w:w="3080"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Мошковский район</w:t>
            </w:r>
          </w:p>
        </w:tc>
        <w:tc>
          <w:tcPr>
            <w:tcW w:w="2623"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73</w:t>
            </w:r>
          </w:p>
        </w:tc>
        <w:tc>
          <w:tcPr>
            <w:tcW w:w="2835" w:type="dxa"/>
            <w:tcBorders>
              <w:top w:val="nil"/>
              <w:left w:val="nil"/>
              <w:bottom w:val="single" w:sz="4" w:space="0" w:color="auto"/>
              <w:right w:val="single" w:sz="4" w:space="0" w:color="auto"/>
            </w:tcBorders>
            <w:shd w:val="clear" w:color="auto" w:fill="auto"/>
            <w:noWrap/>
            <w:vAlign w:val="center"/>
            <w:hideMark/>
          </w:tcPr>
          <w:p w:rsidR="00B42143" w:rsidRDefault="00B42143" w:rsidP="00BF6DC4">
            <w:pPr>
              <w:spacing w:after="0" w:line="240" w:lineRule="auto"/>
              <w:jc w:val="center"/>
              <w:rPr>
                <w:rFonts w:ascii="Arial Narrow" w:hAnsi="Arial Narrow"/>
                <w:color w:val="000000"/>
                <w:sz w:val="20"/>
                <w:szCs w:val="20"/>
              </w:rPr>
            </w:pPr>
            <w:r>
              <w:rPr>
                <w:rFonts w:ascii="Arial Narrow" w:hAnsi="Arial Narrow"/>
                <w:color w:val="000000"/>
                <w:sz w:val="20"/>
                <w:szCs w:val="20"/>
              </w:rPr>
              <w:t>2,4%</w:t>
            </w:r>
          </w:p>
        </w:tc>
      </w:tr>
      <w:tr w:rsidR="00B42143" w:rsidRPr="00B35ADA" w:rsidTr="00F170C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15</w:t>
            </w:r>
          </w:p>
        </w:tc>
        <w:tc>
          <w:tcPr>
            <w:tcW w:w="3080"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Чановский район</w:t>
            </w:r>
          </w:p>
        </w:tc>
        <w:tc>
          <w:tcPr>
            <w:tcW w:w="2623"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69</w:t>
            </w:r>
          </w:p>
        </w:tc>
        <w:tc>
          <w:tcPr>
            <w:tcW w:w="2835" w:type="dxa"/>
            <w:tcBorders>
              <w:top w:val="nil"/>
              <w:left w:val="nil"/>
              <w:bottom w:val="single" w:sz="4" w:space="0" w:color="auto"/>
              <w:right w:val="single" w:sz="4" w:space="0" w:color="auto"/>
            </w:tcBorders>
            <w:shd w:val="clear" w:color="auto" w:fill="auto"/>
            <w:noWrap/>
            <w:vAlign w:val="center"/>
            <w:hideMark/>
          </w:tcPr>
          <w:p w:rsidR="00B42143" w:rsidRDefault="00B42143" w:rsidP="00BF6DC4">
            <w:pPr>
              <w:spacing w:after="0" w:line="240" w:lineRule="auto"/>
              <w:jc w:val="center"/>
              <w:rPr>
                <w:rFonts w:ascii="Arial Narrow" w:hAnsi="Arial Narrow"/>
                <w:color w:val="000000"/>
                <w:sz w:val="20"/>
                <w:szCs w:val="20"/>
              </w:rPr>
            </w:pPr>
            <w:r>
              <w:rPr>
                <w:rFonts w:ascii="Arial Narrow" w:hAnsi="Arial Narrow"/>
                <w:color w:val="000000"/>
                <w:sz w:val="20"/>
                <w:szCs w:val="20"/>
              </w:rPr>
              <w:t>2,3%</w:t>
            </w:r>
          </w:p>
        </w:tc>
      </w:tr>
      <w:tr w:rsidR="00B42143" w:rsidRPr="00B35ADA" w:rsidTr="00F170C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16</w:t>
            </w:r>
          </w:p>
        </w:tc>
        <w:tc>
          <w:tcPr>
            <w:tcW w:w="3080"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Коченевский район</w:t>
            </w:r>
          </w:p>
        </w:tc>
        <w:tc>
          <w:tcPr>
            <w:tcW w:w="2623"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69</w:t>
            </w:r>
          </w:p>
        </w:tc>
        <w:tc>
          <w:tcPr>
            <w:tcW w:w="2835" w:type="dxa"/>
            <w:tcBorders>
              <w:top w:val="nil"/>
              <w:left w:val="nil"/>
              <w:bottom w:val="single" w:sz="4" w:space="0" w:color="auto"/>
              <w:right w:val="single" w:sz="4" w:space="0" w:color="auto"/>
            </w:tcBorders>
            <w:shd w:val="clear" w:color="auto" w:fill="auto"/>
            <w:noWrap/>
            <w:vAlign w:val="center"/>
            <w:hideMark/>
          </w:tcPr>
          <w:p w:rsidR="00B42143" w:rsidRDefault="00B42143" w:rsidP="00BF6DC4">
            <w:pPr>
              <w:spacing w:after="0" w:line="240" w:lineRule="auto"/>
              <w:jc w:val="center"/>
              <w:rPr>
                <w:rFonts w:ascii="Arial Narrow" w:hAnsi="Arial Narrow"/>
                <w:color w:val="000000"/>
                <w:sz w:val="20"/>
                <w:szCs w:val="20"/>
              </w:rPr>
            </w:pPr>
            <w:r>
              <w:rPr>
                <w:rFonts w:ascii="Arial Narrow" w:hAnsi="Arial Narrow"/>
                <w:color w:val="000000"/>
                <w:sz w:val="20"/>
                <w:szCs w:val="20"/>
              </w:rPr>
              <w:t>2,3%</w:t>
            </w:r>
          </w:p>
        </w:tc>
      </w:tr>
      <w:tr w:rsidR="00B42143" w:rsidRPr="00B35ADA" w:rsidTr="00F170C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17</w:t>
            </w:r>
          </w:p>
        </w:tc>
        <w:tc>
          <w:tcPr>
            <w:tcW w:w="3080"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Чистоозерный район</w:t>
            </w:r>
          </w:p>
        </w:tc>
        <w:tc>
          <w:tcPr>
            <w:tcW w:w="2623"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69</w:t>
            </w:r>
          </w:p>
        </w:tc>
        <w:tc>
          <w:tcPr>
            <w:tcW w:w="2835" w:type="dxa"/>
            <w:tcBorders>
              <w:top w:val="nil"/>
              <w:left w:val="nil"/>
              <w:bottom w:val="single" w:sz="4" w:space="0" w:color="auto"/>
              <w:right w:val="single" w:sz="4" w:space="0" w:color="auto"/>
            </w:tcBorders>
            <w:shd w:val="clear" w:color="auto" w:fill="auto"/>
            <w:noWrap/>
            <w:vAlign w:val="center"/>
            <w:hideMark/>
          </w:tcPr>
          <w:p w:rsidR="00B42143" w:rsidRDefault="00B42143" w:rsidP="00BF6DC4">
            <w:pPr>
              <w:spacing w:after="0" w:line="240" w:lineRule="auto"/>
              <w:jc w:val="center"/>
              <w:rPr>
                <w:rFonts w:ascii="Arial Narrow" w:hAnsi="Arial Narrow"/>
                <w:color w:val="000000"/>
                <w:sz w:val="20"/>
                <w:szCs w:val="20"/>
              </w:rPr>
            </w:pPr>
            <w:r>
              <w:rPr>
                <w:rFonts w:ascii="Arial Narrow" w:hAnsi="Arial Narrow"/>
                <w:color w:val="000000"/>
                <w:sz w:val="20"/>
                <w:szCs w:val="20"/>
              </w:rPr>
              <w:t>2,3%</w:t>
            </w:r>
          </w:p>
        </w:tc>
      </w:tr>
      <w:tr w:rsidR="00B42143" w:rsidRPr="00B35ADA" w:rsidTr="00F170C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18</w:t>
            </w:r>
          </w:p>
        </w:tc>
        <w:tc>
          <w:tcPr>
            <w:tcW w:w="3080"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Доволенский район</w:t>
            </w:r>
          </w:p>
        </w:tc>
        <w:tc>
          <w:tcPr>
            <w:tcW w:w="2623"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65</w:t>
            </w:r>
          </w:p>
        </w:tc>
        <w:tc>
          <w:tcPr>
            <w:tcW w:w="2835" w:type="dxa"/>
            <w:tcBorders>
              <w:top w:val="nil"/>
              <w:left w:val="nil"/>
              <w:bottom w:val="single" w:sz="4" w:space="0" w:color="auto"/>
              <w:right w:val="single" w:sz="4" w:space="0" w:color="auto"/>
            </w:tcBorders>
            <w:shd w:val="clear" w:color="auto" w:fill="auto"/>
            <w:noWrap/>
            <w:vAlign w:val="center"/>
            <w:hideMark/>
          </w:tcPr>
          <w:p w:rsidR="00B42143" w:rsidRDefault="00B42143" w:rsidP="00BF6DC4">
            <w:pPr>
              <w:spacing w:after="0" w:line="240" w:lineRule="auto"/>
              <w:jc w:val="center"/>
              <w:rPr>
                <w:rFonts w:ascii="Arial Narrow" w:hAnsi="Arial Narrow"/>
                <w:color w:val="000000"/>
                <w:sz w:val="20"/>
                <w:szCs w:val="20"/>
              </w:rPr>
            </w:pPr>
            <w:r>
              <w:rPr>
                <w:rFonts w:ascii="Arial Narrow" w:hAnsi="Arial Narrow"/>
                <w:color w:val="000000"/>
                <w:sz w:val="20"/>
                <w:szCs w:val="20"/>
              </w:rPr>
              <w:t>2,1%</w:t>
            </w:r>
          </w:p>
        </w:tc>
      </w:tr>
      <w:tr w:rsidR="00B42143" w:rsidRPr="00B35ADA" w:rsidTr="00F170C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19</w:t>
            </w:r>
          </w:p>
        </w:tc>
        <w:tc>
          <w:tcPr>
            <w:tcW w:w="3080"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Колыванский район</w:t>
            </w:r>
          </w:p>
        </w:tc>
        <w:tc>
          <w:tcPr>
            <w:tcW w:w="2623"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63</w:t>
            </w:r>
          </w:p>
        </w:tc>
        <w:tc>
          <w:tcPr>
            <w:tcW w:w="2835" w:type="dxa"/>
            <w:tcBorders>
              <w:top w:val="nil"/>
              <w:left w:val="nil"/>
              <w:bottom w:val="single" w:sz="4" w:space="0" w:color="auto"/>
              <w:right w:val="single" w:sz="4" w:space="0" w:color="auto"/>
            </w:tcBorders>
            <w:shd w:val="clear" w:color="auto" w:fill="auto"/>
            <w:noWrap/>
            <w:vAlign w:val="center"/>
            <w:hideMark/>
          </w:tcPr>
          <w:p w:rsidR="00B42143" w:rsidRDefault="00B42143" w:rsidP="00BF6DC4">
            <w:pPr>
              <w:spacing w:after="0" w:line="240" w:lineRule="auto"/>
              <w:jc w:val="center"/>
              <w:rPr>
                <w:rFonts w:ascii="Arial Narrow" w:hAnsi="Arial Narrow"/>
                <w:color w:val="000000"/>
                <w:sz w:val="20"/>
                <w:szCs w:val="20"/>
              </w:rPr>
            </w:pPr>
            <w:r>
              <w:rPr>
                <w:rFonts w:ascii="Arial Narrow" w:hAnsi="Arial Narrow"/>
                <w:color w:val="000000"/>
                <w:sz w:val="20"/>
                <w:szCs w:val="20"/>
              </w:rPr>
              <w:t>2,1%</w:t>
            </w:r>
          </w:p>
        </w:tc>
      </w:tr>
      <w:tr w:rsidR="00B42143" w:rsidRPr="00B35ADA" w:rsidTr="00F170C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20</w:t>
            </w:r>
          </w:p>
        </w:tc>
        <w:tc>
          <w:tcPr>
            <w:tcW w:w="3080"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Венгеровский район</w:t>
            </w:r>
          </w:p>
        </w:tc>
        <w:tc>
          <w:tcPr>
            <w:tcW w:w="2623"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62</w:t>
            </w:r>
          </w:p>
        </w:tc>
        <w:tc>
          <w:tcPr>
            <w:tcW w:w="2835" w:type="dxa"/>
            <w:tcBorders>
              <w:top w:val="nil"/>
              <w:left w:val="nil"/>
              <w:bottom w:val="single" w:sz="4" w:space="0" w:color="auto"/>
              <w:right w:val="single" w:sz="4" w:space="0" w:color="auto"/>
            </w:tcBorders>
            <w:shd w:val="clear" w:color="auto" w:fill="auto"/>
            <w:noWrap/>
            <w:vAlign w:val="center"/>
            <w:hideMark/>
          </w:tcPr>
          <w:p w:rsidR="00B42143" w:rsidRDefault="00B42143" w:rsidP="00BF6DC4">
            <w:pPr>
              <w:spacing w:after="0" w:line="240" w:lineRule="auto"/>
              <w:jc w:val="center"/>
              <w:rPr>
                <w:rFonts w:ascii="Arial Narrow" w:hAnsi="Arial Narrow"/>
                <w:color w:val="000000"/>
                <w:sz w:val="20"/>
                <w:szCs w:val="20"/>
              </w:rPr>
            </w:pPr>
            <w:r>
              <w:rPr>
                <w:rFonts w:ascii="Arial Narrow" w:hAnsi="Arial Narrow"/>
                <w:color w:val="000000"/>
                <w:sz w:val="20"/>
                <w:szCs w:val="20"/>
              </w:rPr>
              <w:t>2,0%</w:t>
            </w:r>
          </w:p>
        </w:tc>
      </w:tr>
      <w:tr w:rsidR="00B42143" w:rsidRPr="00B35ADA" w:rsidTr="00F170C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21</w:t>
            </w:r>
          </w:p>
        </w:tc>
        <w:tc>
          <w:tcPr>
            <w:tcW w:w="3080"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Чулымский район</w:t>
            </w:r>
          </w:p>
        </w:tc>
        <w:tc>
          <w:tcPr>
            <w:tcW w:w="2623"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57</w:t>
            </w:r>
          </w:p>
        </w:tc>
        <w:tc>
          <w:tcPr>
            <w:tcW w:w="2835" w:type="dxa"/>
            <w:tcBorders>
              <w:top w:val="nil"/>
              <w:left w:val="nil"/>
              <w:bottom w:val="single" w:sz="4" w:space="0" w:color="auto"/>
              <w:right w:val="single" w:sz="4" w:space="0" w:color="auto"/>
            </w:tcBorders>
            <w:shd w:val="clear" w:color="auto" w:fill="auto"/>
            <w:noWrap/>
            <w:vAlign w:val="center"/>
            <w:hideMark/>
          </w:tcPr>
          <w:p w:rsidR="00B42143" w:rsidRDefault="00B42143" w:rsidP="00BF6DC4">
            <w:pPr>
              <w:spacing w:after="0" w:line="240" w:lineRule="auto"/>
              <w:jc w:val="center"/>
              <w:rPr>
                <w:rFonts w:ascii="Arial Narrow" w:hAnsi="Arial Narrow"/>
                <w:color w:val="000000"/>
                <w:sz w:val="20"/>
                <w:szCs w:val="20"/>
              </w:rPr>
            </w:pPr>
            <w:r>
              <w:rPr>
                <w:rFonts w:ascii="Arial Narrow" w:hAnsi="Arial Narrow"/>
                <w:color w:val="000000"/>
                <w:sz w:val="20"/>
                <w:szCs w:val="20"/>
              </w:rPr>
              <w:t>1,9%</w:t>
            </w:r>
          </w:p>
        </w:tc>
      </w:tr>
      <w:tr w:rsidR="00B42143" w:rsidRPr="00B35ADA" w:rsidTr="00F170C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22</w:t>
            </w:r>
          </w:p>
        </w:tc>
        <w:tc>
          <w:tcPr>
            <w:tcW w:w="3080"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г. Бердск</w:t>
            </w:r>
          </w:p>
        </w:tc>
        <w:tc>
          <w:tcPr>
            <w:tcW w:w="2623"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55</w:t>
            </w:r>
          </w:p>
        </w:tc>
        <w:tc>
          <w:tcPr>
            <w:tcW w:w="2835" w:type="dxa"/>
            <w:tcBorders>
              <w:top w:val="nil"/>
              <w:left w:val="nil"/>
              <w:bottom w:val="single" w:sz="4" w:space="0" w:color="auto"/>
              <w:right w:val="single" w:sz="4" w:space="0" w:color="auto"/>
            </w:tcBorders>
            <w:shd w:val="clear" w:color="auto" w:fill="auto"/>
            <w:noWrap/>
            <w:vAlign w:val="center"/>
            <w:hideMark/>
          </w:tcPr>
          <w:p w:rsidR="00B42143" w:rsidRDefault="00B42143" w:rsidP="00BF6DC4">
            <w:pPr>
              <w:spacing w:after="0" w:line="240" w:lineRule="auto"/>
              <w:jc w:val="center"/>
              <w:rPr>
                <w:rFonts w:ascii="Arial Narrow" w:hAnsi="Arial Narrow"/>
                <w:color w:val="000000"/>
                <w:sz w:val="20"/>
                <w:szCs w:val="20"/>
              </w:rPr>
            </w:pPr>
            <w:r>
              <w:rPr>
                <w:rFonts w:ascii="Arial Narrow" w:hAnsi="Arial Narrow"/>
                <w:color w:val="000000"/>
                <w:sz w:val="20"/>
                <w:szCs w:val="20"/>
              </w:rPr>
              <w:t>1,8%</w:t>
            </w:r>
          </w:p>
        </w:tc>
      </w:tr>
      <w:tr w:rsidR="00B42143" w:rsidRPr="00B35ADA" w:rsidTr="00F170C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23</w:t>
            </w:r>
          </w:p>
        </w:tc>
        <w:tc>
          <w:tcPr>
            <w:tcW w:w="3080"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Сузунский район</w:t>
            </w:r>
          </w:p>
        </w:tc>
        <w:tc>
          <w:tcPr>
            <w:tcW w:w="2623"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54</w:t>
            </w:r>
          </w:p>
        </w:tc>
        <w:tc>
          <w:tcPr>
            <w:tcW w:w="2835" w:type="dxa"/>
            <w:tcBorders>
              <w:top w:val="nil"/>
              <w:left w:val="nil"/>
              <w:bottom w:val="single" w:sz="4" w:space="0" w:color="auto"/>
              <w:right w:val="single" w:sz="4" w:space="0" w:color="auto"/>
            </w:tcBorders>
            <w:shd w:val="clear" w:color="auto" w:fill="auto"/>
            <w:noWrap/>
            <w:vAlign w:val="center"/>
            <w:hideMark/>
          </w:tcPr>
          <w:p w:rsidR="00B42143" w:rsidRDefault="00B42143" w:rsidP="00BF6DC4">
            <w:pPr>
              <w:spacing w:after="0" w:line="240" w:lineRule="auto"/>
              <w:jc w:val="center"/>
              <w:rPr>
                <w:rFonts w:ascii="Arial Narrow" w:hAnsi="Arial Narrow"/>
                <w:color w:val="000000"/>
                <w:sz w:val="20"/>
                <w:szCs w:val="20"/>
              </w:rPr>
            </w:pPr>
            <w:r>
              <w:rPr>
                <w:rFonts w:ascii="Arial Narrow" w:hAnsi="Arial Narrow"/>
                <w:color w:val="000000"/>
                <w:sz w:val="20"/>
                <w:szCs w:val="20"/>
              </w:rPr>
              <w:t>1,8%</w:t>
            </w:r>
          </w:p>
        </w:tc>
      </w:tr>
      <w:tr w:rsidR="00B42143" w:rsidRPr="00B35ADA" w:rsidTr="00F170C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24</w:t>
            </w:r>
          </w:p>
        </w:tc>
        <w:tc>
          <w:tcPr>
            <w:tcW w:w="3080"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Ордынский район</w:t>
            </w:r>
          </w:p>
        </w:tc>
        <w:tc>
          <w:tcPr>
            <w:tcW w:w="2623"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53</w:t>
            </w:r>
          </w:p>
        </w:tc>
        <w:tc>
          <w:tcPr>
            <w:tcW w:w="2835" w:type="dxa"/>
            <w:tcBorders>
              <w:top w:val="nil"/>
              <w:left w:val="nil"/>
              <w:bottom w:val="single" w:sz="4" w:space="0" w:color="auto"/>
              <w:right w:val="single" w:sz="4" w:space="0" w:color="auto"/>
            </w:tcBorders>
            <w:shd w:val="clear" w:color="auto" w:fill="auto"/>
            <w:noWrap/>
            <w:vAlign w:val="center"/>
            <w:hideMark/>
          </w:tcPr>
          <w:p w:rsidR="00B42143" w:rsidRDefault="00B42143" w:rsidP="00BF6DC4">
            <w:pPr>
              <w:spacing w:after="0" w:line="240" w:lineRule="auto"/>
              <w:jc w:val="center"/>
              <w:rPr>
                <w:rFonts w:ascii="Arial Narrow" w:hAnsi="Arial Narrow"/>
                <w:color w:val="000000"/>
                <w:sz w:val="20"/>
                <w:szCs w:val="20"/>
              </w:rPr>
            </w:pPr>
            <w:r>
              <w:rPr>
                <w:rFonts w:ascii="Arial Narrow" w:hAnsi="Arial Narrow"/>
                <w:color w:val="000000"/>
                <w:sz w:val="20"/>
                <w:szCs w:val="20"/>
              </w:rPr>
              <w:t>1,7%</w:t>
            </w:r>
          </w:p>
        </w:tc>
      </w:tr>
    </w:tbl>
    <w:p w:rsidR="00130274" w:rsidRDefault="00130274" w:rsidP="006A7039">
      <w:pPr>
        <w:spacing w:after="0" w:line="240" w:lineRule="auto"/>
        <w:jc w:val="right"/>
        <w:rPr>
          <w:rFonts w:ascii="Arial Narrow" w:hAnsi="Arial Narrow"/>
          <w:sz w:val="24"/>
          <w:szCs w:val="24"/>
        </w:rPr>
      </w:pPr>
    </w:p>
    <w:p w:rsidR="00130274" w:rsidRDefault="00130274" w:rsidP="006A7039">
      <w:pPr>
        <w:spacing w:after="0" w:line="240" w:lineRule="auto"/>
        <w:jc w:val="right"/>
        <w:rPr>
          <w:rFonts w:ascii="Arial Narrow" w:hAnsi="Arial Narrow"/>
          <w:sz w:val="24"/>
          <w:szCs w:val="24"/>
        </w:rPr>
      </w:pPr>
    </w:p>
    <w:p w:rsidR="00130274" w:rsidRDefault="00130274" w:rsidP="006A7039">
      <w:pPr>
        <w:spacing w:after="0" w:line="240" w:lineRule="auto"/>
        <w:jc w:val="right"/>
        <w:rPr>
          <w:rFonts w:ascii="Arial Narrow" w:hAnsi="Arial Narrow"/>
          <w:sz w:val="24"/>
          <w:szCs w:val="24"/>
        </w:rPr>
      </w:pPr>
    </w:p>
    <w:p w:rsidR="006A7039" w:rsidRPr="006A7039" w:rsidRDefault="006A7039" w:rsidP="006A7039">
      <w:pPr>
        <w:spacing w:after="0" w:line="240" w:lineRule="auto"/>
        <w:jc w:val="right"/>
        <w:rPr>
          <w:rFonts w:ascii="Arial Narrow" w:hAnsi="Arial Narrow"/>
          <w:sz w:val="24"/>
          <w:szCs w:val="24"/>
        </w:rPr>
      </w:pPr>
      <w:r w:rsidRPr="00BF6DC4">
        <w:rPr>
          <w:rFonts w:ascii="Arial Narrow" w:hAnsi="Arial Narrow"/>
          <w:sz w:val="24"/>
          <w:szCs w:val="24"/>
        </w:rPr>
        <w:lastRenderedPageBreak/>
        <w:t xml:space="preserve">Продолжение Таблицы </w:t>
      </w:r>
      <w:r>
        <w:rPr>
          <w:rFonts w:ascii="Arial Narrow" w:hAnsi="Arial Narrow"/>
          <w:sz w:val="24"/>
          <w:szCs w:val="24"/>
        </w:rPr>
        <w:t>7.55</w:t>
      </w:r>
    </w:p>
    <w:tbl>
      <w:tblPr>
        <w:tblW w:w="9498" w:type="dxa"/>
        <w:tblInd w:w="108" w:type="dxa"/>
        <w:tblLook w:val="04A0"/>
      </w:tblPr>
      <w:tblGrid>
        <w:gridCol w:w="960"/>
        <w:gridCol w:w="3080"/>
        <w:gridCol w:w="2623"/>
        <w:gridCol w:w="2835"/>
      </w:tblGrid>
      <w:tr w:rsidR="00B42143" w:rsidRPr="00B35ADA" w:rsidTr="00754B4E">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25</w:t>
            </w:r>
          </w:p>
        </w:tc>
        <w:tc>
          <w:tcPr>
            <w:tcW w:w="3080" w:type="dxa"/>
            <w:tcBorders>
              <w:top w:val="single" w:sz="4" w:space="0" w:color="auto"/>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Маслянинский район</w:t>
            </w:r>
          </w:p>
        </w:tc>
        <w:tc>
          <w:tcPr>
            <w:tcW w:w="2623" w:type="dxa"/>
            <w:tcBorders>
              <w:top w:val="single" w:sz="4" w:space="0" w:color="auto"/>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53</w:t>
            </w:r>
          </w:p>
        </w:tc>
        <w:tc>
          <w:tcPr>
            <w:tcW w:w="2835" w:type="dxa"/>
            <w:tcBorders>
              <w:top w:val="single" w:sz="4" w:space="0" w:color="auto"/>
              <w:left w:val="nil"/>
              <w:bottom w:val="single" w:sz="4" w:space="0" w:color="auto"/>
              <w:right w:val="single" w:sz="4" w:space="0" w:color="auto"/>
            </w:tcBorders>
            <w:shd w:val="clear" w:color="auto" w:fill="auto"/>
            <w:noWrap/>
            <w:vAlign w:val="center"/>
            <w:hideMark/>
          </w:tcPr>
          <w:p w:rsidR="00B42143" w:rsidRDefault="00B42143" w:rsidP="00BF6DC4">
            <w:pPr>
              <w:spacing w:after="0" w:line="240" w:lineRule="auto"/>
              <w:jc w:val="center"/>
              <w:rPr>
                <w:rFonts w:ascii="Arial Narrow" w:hAnsi="Arial Narrow"/>
                <w:color w:val="000000"/>
                <w:sz w:val="20"/>
                <w:szCs w:val="20"/>
              </w:rPr>
            </w:pPr>
            <w:r>
              <w:rPr>
                <w:rFonts w:ascii="Arial Narrow" w:hAnsi="Arial Narrow"/>
                <w:color w:val="000000"/>
                <w:sz w:val="20"/>
                <w:szCs w:val="20"/>
              </w:rPr>
              <w:t>1,7%</w:t>
            </w:r>
          </w:p>
        </w:tc>
      </w:tr>
      <w:tr w:rsidR="00B42143" w:rsidRPr="00B35ADA" w:rsidTr="00F170C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26</w:t>
            </w:r>
          </w:p>
        </w:tc>
        <w:tc>
          <w:tcPr>
            <w:tcW w:w="3080"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Кыштовский район</w:t>
            </w:r>
          </w:p>
        </w:tc>
        <w:tc>
          <w:tcPr>
            <w:tcW w:w="2623"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53</w:t>
            </w:r>
          </w:p>
        </w:tc>
        <w:tc>
          <w:tcPr>
            <w:tcW w:w="2835" w:type="dxa"/>
            <w:tcBorders>
              <w:top w:val="nil"/>
              <w:left w:val="nil"/>
              <w:bottom w:val="single" w:sz="4" w:space="0" w:color="auto"/>
              <w:right w:val="single" w:sz="4" w:space="0" w:color="auto"/>
            </w:tcBorders>
            <w:shd w:val="clear" w:color="auto" w:fill="auto"/>
            <w:noWrap/>
            <w:vAlign w:val="center"/>
            <w:hideMark/>
          </w:tcPr>
          <w:p w:rsidR="00B42143" w:rsidRDefault="00B42143" w:rsidP="00BF6DC4">
            <w:pPr>
              <w:spacing w:after="0" w:line="240" w:lineRule="auto"/>
              <w:jc w:val="center"/>
              <w:rPr>
                <w:rFonts w:ascii="Arial Narrow" w:hAnsi="Arial Narrow"/>
                <w:color w:val="000000"/>
                <w:sz w:val="20"/>
                <w:szCs w:val="20"/>
              </w:rPr>
            </w:pPr>
            <w:r>
              <w:rPr>
                <w:rFonts w:ascii="Arial Narrow" w:hAnsi="Arial Narrow"/>
                <w:color w:val="000000"/>
                <w:sz w:val="20"/>
                <w:szCs w:val="20"/>
              </w:rPr>
              <w:t>1,7%</w:t>
            </w:r>
          </w:p>
        </w:tc>
      </w:tr>
      <w:tr w:rsidR="00B42143" w:rsidRPr="00B35ADA" w:rsidTr="00F170C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27</w:t>
            </w:r>
          </w:p>
        </w:tc>
        <w:tc>
          <w:tcPr>
            <w:tcW w:w="3080"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Каргатский район</w:t>
            </w:r>
          </w:p>
        </w:tc>
        <w:tc>
          <w:tcPr>
            <w:tcW w:w="2623"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52</w:t>
            </w:r>
          </w:p>
        </w:tc>
        <w:tc>
          <w:tcPr>
            <w:tcW w:w="2835" w:type="dxa"/>
            <w:tcBorders>
              <w:top w:val="nil"/>
              <w:left w:val="nil"/>
              <w:bottom w:val="single" w:sz="4" w:space="0" w:color="auto"/>
              <w:right w:val="single" w:sz="4" w:space="0" w:color="auto"/>
            </w:tcBorders>
            <w:shd w:val="clear" w:color="auto" w:fill="auto"/>
            <w:noWrap/>
            <w:vAlign w:val="center"/>
            <w:hideMark/>
          </w:tcPr>
          <w:p w:rsidR="00B42143" w:rsidRDefault="00B42143" w:rsidP="00BF6DC4">
            <w:pPr>
              <w:spacing w:after="0" w:line="240" w:lineRule="auto"/>
              <w:jc w:val="center"/>
              <w:rPr>
                <w:rFonts w:ascii="Arial Narrow" w:hAnsi="Arial Narrow"/>
                <w:color w:val="000000"/>
                <w:sz w:val="20"/>
                <w:szCs w:val="20"/>
              </w:rPr>
            </w:pPr>
            <w:r>
              <w:rPr>
                <w:rFonts w:ascii="Arial Narrow" w:hAnsi="Arial Narrow"/>
                <w:color w:val="000000"/>
                <w:sz w:val="20"/>
                <w:szCs w:val="20"/>
              </w:rPr>
              <w:t>1,7%</w:t>
            </w:r>
          </w:p>
        </w:tc>
      </w:tr>
      <w:tr w:rsidR="00B42143" w:rsidRPr="00B35ADA" w:rsidTr="00F170C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28</w:t>
            </w:r>
          </w:p>
        </w:tc>
        <w:tc>
          <w:tcPr>
            <w:tcW w:w="3080"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Здвинский район</w:t>
            </w:r>
          </w:p>
        </w:tc>
        <w:tc>
          <w:tcPr>
            <w:tcW w:w="2623"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49</w:t>
            </w:r>
          </w:p>
        </w:tc>
        <w:tc>
          <w:tcPr>
            <w:tcW w:w="2835" w:type="dxa"/>
            <w:tcBorders>
              <w:top w:val="nil"/>
              <w:left w:val="nil"/>
              <w:bottom w:val="single" w:sz="4" w:space="0" w:color="auto"/>
              <w:right w:val="single" w:sz="4" w:space="0" w:color="auto"/>
            </w:tcBorders>
            <w:shd w:val="clear" w:color="auto" w:fill="auto"/>
            <w:noWrap/>
            <w:vAlign w:val="center"/>
            <w:hideMark/>
          </w:tcPr>
          <w:p w:rsidR="00B42143" w:rsidRDefault="00B42143" w:rsidP="00BF6DC4">
            <w:pPr>
              <w:spacing w:after="0" w:line="240" w:lineRule="auto"/>
              <w:jc w:val="center"/>
              <w:rPr>
                <w:rFonts w:ascii="Arial Narrow" w:hAnsi="Arial Narrow"/>
                <w:color w:val="000000"/>
                <w:sz w:val="20"/>
                <w:szCs w:val="20"/>
              </w:rPr>
            </w:pPr>
            <w:r>
              <w:rPr>
                <w:rFonts w:ascii="Arial Narrow" w:hAnsi="Arial Narrow"/>
                <w:color w:val="000000"/>
                <w:sz w:val="20"/>
                <w:szCs w:val="20"/>
              </w:rPr>
              <w:t>1,6%</w:t>
            </w:r>
          </w:p>
        </w:tc>
      </w:tr>
      <w:tr w:rsidR="00B42143" w:rsidRPr="00B35ADA" w:rsidTr="00F170C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29</w:t>
            </w:r>
          </w:p>
        </w:tc>
        <w:tc>
          <w:tcPr>
            <w:tcW w:w="3080"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Кочковский район</w:t>
            </w:r>
          </w:p>
        </w:tc>
        <w:tc>
          <w:tcPr>
            <w:tcW w:w="2623"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46</w:t>
            </w:r>
          </w:p>
        </w:tc>
        <w:tc>
          <w:tcPr>
            <w:tcW w:w="2835" w:type="dxa"/>
            <w:tcBorders>
              <w:top w:val="nil"/>
              <w:left w:val="nil"/>
              <w:bottom w:val="single" w:sz="4" w:space="0" w:color="auto"/>
              <w:right w:val="single" w:sz="4" w:space="0" w:color="auto"/>
            </w:tcBorders>
            <w:shd w:val="clear" w:color="auto" w:fill="auto"/>
            <w:noWrap/>
            <w:vAlign w:val="center"/>
            <w:hideMark/>
          </w:tcPr>
          <w:p w:rsidR="00B42143" w:rsidRDefault="00B42143" w:rsidP="00BF6DC4">
            <w:pPr>
              <w:spacing w:after="0" w:line="240" w:lineRule="auto"/>
              <w:jc w:val="center"/>
              <w:rPr>
                <w:rFonts w:ascii="Arial Narrow" w:hAnsi="Arial Narrow"/>
                <w:color w:val="000000"/>
                <w:sz w:val="20"/>
                <w:szCs w:val="20"/>
              </w:rPr>
            </w:pPr>
            <w:r>
              <w:rPr>
                <w:rFonts w:ascii="Arial Narrow" w:hAnsi="Arial Narrow"/>
                <w:color w:val="000000"/>
                <w:sz w:val="20"/>
                <w:szCs w:val="20"/>
              </w:rPr>
              <w:t>1,5%</w:t>
            </w:r>
          </w:p>
        </w:tc>
      </w:tr>
      <w:tr w:rsidR="00B42143" w:rsidRPr="00B35ADA" w:rsidTr="00F170C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30</w:t>
            </w:r>
          </w:p>
        </w:tc>
        <w:tc>
          <w:tcPr>
            <w:tcW w:w="3080"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г. Искитим</w:t>
            </w:r>
          </w:p>
        </w:tc>
        <w:tc>
          <w:tcPr>
            <w:tcW w:w="2623"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45</w:t>
            </w:r>
          </w:p>
        </w:tc>
        <w:tc>
          <w:tcPr>
            <w:tcW w:w="2835" w:type="dxa"/>
            <w:tcBorders>
              <w:top w:val="nil"/>
              <w:left w:val="nil"/>
              <w:bottom w:val="single" w:sz="4" w:space="0" w:color="auto"/>
              <w:right w:val="single" w:sz="4" w:space="0" w:color="auto"/>
            </w:tcBorders>
            <w:shd w:val="clear" w:color="auto" w:fill="auto"/>
            <w:noWrap/>
            <w:vAlign w:val="center"/>
            <w:hideMark/>
          </w:tcPr>
          <w:p w:rsidR="00B42143" w:rsidRDefault="00B42143" w:rsidP="00BF6DC4">
            <w:pPr>
              <w:spacing w:after="0" w:line="240" w:lineRule="auto"/>
              <w:jc w:val="center"/>
              <w:rPr>
                <w:rFonts w:ascii="Arial Narrow" w:hAnsi="Arial Narrow"/>
                <w:color w:val="000000"/>
                <w:sz w:val="20"/>
                <w:szCs w:val="20"/>
              </w:rPr>
            </w:pPr>
            <w:r>
              <w:rPr>
                <w:rFonts w:ascii="Arial Narrow" w:hAnsi="Arial Narrow"/>
                <w:color w:val="000000"/>
                <w:sz w:val="20"/>
                <w:szCs w:val="20"/>
              </w:rPr>
              <w:t>1,5%</w:t>
            </w:r>
          </w:p>
        </w:tc>
      </w:tr>
      <w:tr w:rsidR="00B42143" w:rsidRPr="00B35ADA" w:rsidTr="00F170C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31</w:t>
            </w:r>
          </w:p>
        </w:tc>
        <w:tc>
          <w:tcPr>
            <w:tcW w:w="3080"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Усть-Таркский район</w:t>
            </w:r>
          </w:p>
        </w:tc>
        <w:tc>
          <w:tcPr>
            <w:tcW w:w="2623"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37</w:t>
            </w:r>
          </w:p>
        </w:tc>
        <w:tc>
          <w:tcPr>
            <w:tcW w:w="2835" w:type="dxa"/>
            <w:tcBorders>
              <w:top w:val="nil"/>
              <w:left w:val="nil"/>
              <w:bottom w:val="single" w:sz="4" w:space="0" w:color="auto"/>
              <w:right w:val="single" w:sz="4" w:space="0" w:color="auto"/>
            </w:tcBorders>
            <w:shd w:val="clear" w:color="auto" w:fill="auto"/>
            <w:noWrap/>
            <w:vAlign w:val="center"/>
            <w:hideMark/>
          </w:tcPr>
          <w:p w:rsidR="00B42143" w:rsidRDefault="00B42143" w:rsidP="00BF6DC4">
            <w:pPr>
              <w:spacing w:after="0" w:line="240" w:lineRule="auto"/>
              <w:jc w:val="center"/>
              <w:rPr>
                <w:rFonts w:ascii="Arial Narrow" w:hAnsi="Arial Narrow"/>
                <w:color w:val="000000"/>
                <w:sz w:val="20"/>
                <w:szCs w:val="20"/>
              </w:rPr>
            </w:pPr>
            <w:r>
              <w:rPr>
                <w:rFonts w:ascii="Arial Narrow" w:hAnsi="Arial Narrow"/>
                <w:color w:val="000000"/>
                <w:sz w:val="20"/>
                <w:szCs w:val="20"/>
              </w:rPr>
              <w:t>1,2%</w:t>
            </w:r>
          </w:p>
        </w:tc>
      </w:tr>
      <w:tr w:rsidR="00B42143" w:rsidRPr="00B35ADA" w:rsidTr="00F170C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32</w:t>
            </w:r>
          </w:p>
        </w:tc>
        <w:tc>
          <w:tcPr>
            <w:tcW w:w="3080"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Баганский район</w:t>
            </w:r>
          </w:p>
        </w:tc>
        <w:tc>
          <w:tcPr>
            <w:tcW w:w="2623"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32</w:t>
            </w:r>
          </w:p>
        </w:tc>
        <w:tc>
          <w:tcPr>
            <w:tcW w:w="2835" w:type="dxa"/>
            <w:tcBorders>
              <w:top w:val="nil"/>
              <w:left w:val="nil"/>
              <w:bottom w:val="single" w:sz="4" w:space="0" w:color="auto"/>
              <w:right w:val="single" w:sz="4" w:space="0" w:color="auto"/>
            </w:tcBorders>
            <w:shd w:val="clear" w:color="auto" w:fill="auto"/>
            <w:noWrap/>
            <w:vAlign w:val="center"/>
            <w:hideMark/>
          </w:tcPr>
          <w:p w:rsidR="00B42143" w:rsidRDefault="00B42143" w:rsidP="00BF6DC4">
            <w:pPr>
              <w:spacing w:after="0" w:line="240" w:lineRule="auto"/>
              <w:jc w:val="center"/>
              <w:rPr>
                <w:rFonts w:ascii="Arial Narrow" w:hAnsi="Arial Narrow"/>
                <w:color w:val="000000"/>
                <w:sz w:val="20"/>
                <w:szCs w:val="20"/>
              </w:rPr>
            </w:pPr>
            <w:r>
              <w:rPr>
                <w:rFonts w:ascii="Arial Narrow" w:hAnsi="Arial Narrow"/>
                <w:color w:val="000000"/>
                <w:sz w:val="20"/>
                <w:szCs w:val="20"/>
              </w:rPr>
              <w:t>1,0%</w:t>
            </w:r>
          </w:p>
        </w:tc>
      </w:tr>
      <w:tr w:rsidR="00B42143" w:rsidRPr="00B35ADA" w:rsidTr="00F170C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33</w:t>
            </w:r>
          </w:p>
        </w:tc>
        <w:tc>
          <w:tcPr>
            <w:tcW w:w="3080"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Северный район</w:t>
            </w:r>
          </w:p>
        </w:tc>
        <w:tc>
          <w:tcPr>
            <w:tcW w:w="2623"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16</w:t>
            </w:r>
          </w:p>
        </w:tc>
        <w:tc>
          <w:tcPr>
            <w:tcW w:w="2835" w:type="dxa"/>
            <w:tcBorders>
              <w:top w:val="nil"/>
              <w:left w:val="nil"/>
              <w:bottom w:val="single" w:sz="4" w:space="0" w:color="auto"/>
              <w:right w:val="single" w:sz="4" w:space="0" w:color="auto"/>
            </w:tcBorders>
            <w:shd w:val="clear" w:color="auto" w:fill="auto"/>
            <w:noWrap/>
            <w:vAlign w:val="center"/>
            <w:hideMark/>
          </w:tcPr>
          <w:p w:rsidR="00B42143" w:rsidRDefault="00B42143" w:rsidP="00BF6DC4">
            <w:pPr>
              <w:spacing w:after="0" w:line="240" w:lineRule="auto"/>
              <w:jc w:val="center"/>
              <w:rPr>
                <w:rFonts w:ascii="Arial Narrow" w:hAnsi="Arial Narrow"/>
                <w:color w:val="000000"/>
                <w:sz w:val="20"/>
                <w:szCs w:val="20"/>
              </w:rPr>
            </w:pPr>
            <w:r>
              <w:rPr>
                <w:rFonts w:ascii="Arial Narrow" w:hAnsi="Arial Narrow"/>
                <w:color w:val="000000"/>
                <w:sz w:val="20"/>
                <w:szCs w:val="20"/>
              </w:rPr>
              <w:t>0,5%</w:t>
            </w:r>
          </w:p>
        </w:tc>
      </w:tr>
      <w:tr w:rsidR="00B42143" w:rsidRPr="00B35ADA" w:rsidTr="00F170C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34</w:t>
            </w:r>
          </w:p>
        </w:tc>
        <w:tc>
          <w:tcPr>
            <w:tcW w:w="3080"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р. п. Кольцово</w:t>
            </w:r>
          </w:p>
        </w:tc>
        <w:tc>
          <w:tcPr>
            <w:tcW w:w="2623"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12</w:t>
            </w:r>
          </w:p>
        </w:tc>
        <w:tc>
          <w:tcPr>
            <w:tcW w:w="2835" w:type="dxa"/>
            <w:tcBorders>
              <w:top w:val="nil"/>
              <w:left w:val="nil"/>
              <w:bottom w:val="single" w:sz="4" w:space="0" w:color="auto"/>
              <w:right w:val="single" w:sz="4" w:space="0" w:color="auto"/>
            </w:tcBorders>
            <w:shd w:val="clear" w:color="auto" w:fill="auto"/>
            <w:noWrap/>
            <w:vAlign w:val="center"/>
            <w:hideMark/>
          </w:tcPr>
          <w:p w:rsidR="00B42143" w:rsidRDefault="00B42143" w:rsidP="00BF6DC4">
            <w:pPr>
              <w:spacing w:after="0" w:line="240" w:lineRule="auto"/>
              <w:jc w:val="center"/>
              <w:rPr>
                <w:rFonts w:ascii="Arial Narrow" w:hAnsi="Arial Narrow"/>
                <w:color w:val="000000"/>
                <w:sz w:val="20"/>
                <w:szCs w:val="20"/>
              </w:rPr>
            </w:pPr>
            <w:r>
              <w:rPr>
                <w:rFonts w:ascii="Arial Narrow" w:hAnsi="Arial Narrow"/>
                <w:color w:val="000000"/>
                <w:sz w:val="20"/>
                <w:szCs w:val="20"/>
              </w:rPr>
              <w:t>0,4%</w:t>
            </w:r>
          </w:p>
        </w:tc>
      </w:tr>
      <w:tr w:rsidR="00B42143" w:rsidRPr="00B35ADA" w:rsidTr="00F170C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35</w:t>
            </w:r>
          </w:p>
        </w:tc>
        <w:tc>
          <w:tcPr>
            <w:tcW w:w="3080"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г. Обь</w:t>
            </w:r>
          </w:p>
        </w:tc>
        <w:tc>
          <w:tcPr>
            <w:tcW w:w="2623"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10</w:t>
            </w:r>
          </w:p>
        </w:tc>
        <w:tc>
          <w:tcPr>
            <w:tcW w:w="2835" w:type="dxa"/>
            <w:tcBorders>
              <w:top w:val="nil"/>
              <w:left w:val="nil"/>
              <w:bottom w:val="single" w:sz="4" w:space="0" w:color="auto"/>
              <w:right w:val="single" w:sz="4" w:space="0" w:color="auto"/>
            </w:tcBorders>
            <w:shd w:val="clear" w:color="auto" w:fill="auto"/>
            <w:noWrap/>
            <w:vAlign w:val="center"/>
            <w:hideMark/>
          </w:tcPr>
          <w:p w:rsidR="00B42143" w:rsidRDefault="00B42143" w:rsidP="00BF6DC4">
            <w:pPr>
              <w:spacing w:after="0" w:line="240" w:lineRule="auto"/>
              <w:jc w:val="center"/>
              <w:rPr>
                <w:rFonts w:ascii="Arial Narrow" w:hAnsi="Arial Narrow"/>
                <w:color w:val="000000"/>
                <w:sz w:val="20"/>
                <w:szCs w:val="20"/>
              </w:rPr>
            </w:pPr>
            <w:r>
              <w:rPr>
                <w:rFonts w:ascii="Arial Narrow" w:hAnsi="Arial Narrow"/>
                <w:color w:val="000000"/>
                <w:sz w:val="20"/>
                <w:szCs w:val="20"/>
              </w:rPr>
              <w:t>0,3%</w:t>
            </w:r>
          </w:p>
        </w:tc>
      </w:tr>
      <w:tr w:rsidR="00B42143" w:rsidRPr="00B35ADA" w:rsidTr="00F170C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 </w:t>
            </w:r>
          </w:p>
        </w:tc>
        <w:tc>
          <w:tcPr>
            <w:tcW w:w="3080"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Нет данных</w:t>
            </w:r>
          </w:p>
        </w:tc>
        <w:tc>
          <w:tcPr>
            <w:tcW w:w="2623"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190</w:t>
            </w:r>
          </w:p>
        </w:tc>
        <w:tc>
          <w:tcPr>
            <w:tcW w:w="2835" w:type="dxa"/>
            <w:tcBorders>
              <w:top w:val="nil"/>
              <w:left w:val="nil"/>
              <w:bottom w:val="single" w:sz="4" w:space="0" w:color="auto"/>
              <w:right w:val="single" w:sz="4" w:space="0" w:color="auto"/>
            </w:tcBorders>
            <w:shd w:val="clear" w:color="auto" w:fill="auto"/>
            <w:noWrap/>
            <w:vAlign w:val="center"/>
            <w:hideMark/>
          </w:tcPr>
          <w:p w:rsidR="00B42143" w:rsidRDefault="00B42143" w:rsidP="00BF6DC4">
            <w:pPr>
              <w:spacing w:after="0" w:line="240" w:lineRule="auto"/>
              <w:jc w:val="center"/>
              <w:rPr>
                <w:rFonts w:ascii="Arial Narrow" w:hAnsi="Arial Narrow"/>
                <w:color w:val="000000"/>
                <w:sz w:val="20"/>
                <w:szCs w:val="20"/>
              </w:rPr>
            </w:pPr>
            <w:r>
              <w:rPr>
                <w:rFonts w:ascii="Arial Narrow" w:hAnsi="Arial Narrow"/>
                <w:color w:val="000000"/>
                <w:sz w:val="20"/>
                <w:szCs w:val="20"/>
              </w:rPr>
              <w:t>6,2%</w:t>
            </w:r>
          </w:p>
        </w:tc>
      </w:tr>
      <w:tr w:rsidR="00B42143" w:rsidRPr="00B35ADA" w:rsidTr="00F170C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 </w:t>
            </w:r>
          </w:p>
        </w:tc>
        <w:tc>
          <w:tcPr>
            <w:tcW w:w="3080"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ИТОГО</w:t>
            </w:r>
          </w:p>
        </w:tc>
        <w:tc>
          <w:tcPr>
            <w:tcW w:w="2623" w:type="dxa"/>
            <w:tcBorders>
              <w:top w:val="nil"/>
              <w:left w:val="nil"/>
              <w:bottom w:val="single" w:sz="4" w:space="0" w:color="auto"/>
              <w:right w:val="single" w:sz="4" w:space="0" w:color="auto"/>
            </w:tcBorders>
            <w:shd w:val="clear" w:color="auto" w:fill="auto"/>
            <w:noWrap/>
            <w:vAlign w:val="center"/>
            <w:hideMark/>
          </w:tcPr>
          <w:p w:rsidR="00B42143" w:rsidRPr="00B35ADA" w:rsidRDefault="00B42143" w:rsidP="00BF6DC4">
            <w:pPr>
              <w:spacing w:after="0" w:line="240" w:lineRule="auto"/>
              <w:jc w:val="center"/>
              <w:rPr>
                <w:rFonts w:ascii="Arial Narrow" w:eastAsia="Times New Roman" w:hAnsi="Arial Narrow" w:cs="Times New Roman"/>
                <w:sz w:val="20"/>
                <w:szCs w:val="20"/>
                <w:lang w:eastAsia="ru-RU"/>
              </w:rPr>
            </w:pPr>
            <w:r w:rsidRPr="00B35ADA">
              <w:rPr>
                <w:rFonts w:ascii="Arial Narrow" w:eastAsia="Times New Roman" w:hAnsi="Arial Narrow" w:cs="Times New Roman"/>
                <w:sz w:val="20"/>
                <w:szCs w:val="20"/>
                <w:lang w:eastAsia="ru-RU"/>
              </w:rPr>
              <w:t>3067</w:t>
            </w:r>
          </w:p>
        </w:tc>
        <w:tc>
          <w:tcPr>
            <w:tcW w:w="2835" w:type="dxa"/>
            <w:tcBorders>
              <w:top w:val="nil"/>
              <w:left w:val="nil"/>
              <w:bottom w:val="single" w:sz="4" w:space="0" w:color="auto"/>
              <w:right w:val="single" w:sz="4" w:space="0" w:color="auto"/>
            </w:tcBorders>
            <w:shd w:val="clear" w:color="auto" w:fill="auto"/>
            <w:noWrap/>
            <w:vAlign w:val="center"/>
            <w:hideMark/>
          </w:tcPr>
          <w:p w:rsidR="00B42143" w:rsidRDefault="00B42143" w:rsidP="00BF6DC4">
            <w:pPr>
              <w:spacing w:after="0" w:line="240" w:lineRule="auto"/>
              <w:jc w:val="center"/>
              <w:rPr>
                <w:rFonts w:ascii="Arial Narrow" w:hAnsi="Arial Narrow"/>
                <w:color w:val="000000"/>
                <w:sz w:val="20"/>
                <w:szCs w:val="20"/>
              </w:rPr>
            </w:pPr>
            <w:r>
              <w:rPr>
                <w:rFonts w:ascii="Arial Narrow" w:hAnsi="Arial Narrow"/>
                <w:color w:val="000000"/>
                <w:sz w:val="20"/>
                <w:szCs w:val="20"/>
              </w:rPr>
              <w:t>100,0%</w:t>
            </w:r>
          </w:p>
        </w:tc>
      </w:tr>
    </w:tbl>
    <w:p w:rsidR="00B42143" w:rsidRDefault="00B42143" w:rsidP="00B42143">
      <w:pPr>
        <w:shd w:val="clear" w:color="auto" w:fill="FFFFFF"/>
        <w:spacing w:after="0" w:line="360" w:lineRule="auto"/>
        <w:ind w:firstLine="284"/>
        <w:jc w:val="both"/>
        <w:rPr>
          <w:rFonts w:ascii="Arial Narrow" w:eastAsia="SimSun" w:hAnsi="Arial Narrow"/>
          <w:b/>
          <w:sz w:val="24"/>
          <w:szCs w:val="24"/>
        </w:rPr>
      </w:pPr>
    </w:p>
    <w:p w:rsidR="00796DD7" w:rsidRPr="00130274" w:rsidRDefault="00B13240" w:rsidP="00796DD7">
      <w:pPr>
        <w:shd w:val="clear" w:color="auto" w:fill="FFFFFF"/>
        <w:spacing w:after="0" w:line="360" w:lineRule="auto"/>
        <w:ind w:firstLine="284"/>
        <w:jc w:val="both"/>
        <w:rPr>
          <w:rFonts w:ascii="Arial Narrow" w:eastAsia="SimSun" w:hAnsi="Arial Narrow"/>
          <w:sz w:val="24"/>
          <w:szCs w:val="24"/>
        </w:rPr>
      </w:pPr>
      <w:r w:rsidRPr="00B13240">
        <w:rPr>
          <w:rFonts w:ascii="Arial Narrow" w:eastAsia="SimSun" w:hAnsi="Arial Narrow"/>
          <w:b/>
          <w:sz w:val="24"/>
          <w:szCs w:val="24"/>
        </w:rPr>
        <w:t xml:space="preserve">Отраслевая структура </w:t>
      </w:r>
      <w:r w:rsidRPr="00B13240">
        <w:rPr>
          <w:rFonts w:ascii="Arial Narrow" w:eastAsia="SimSun" w:hAnsi="Arial Narrow"/>
          <w:sz w:val="24"/>
          <w:szCs w:val="24"/>
        </w:rPr>
        <w:t>с количеством организаций представлена в таблице 7.56. Учитывая, что один хозяйствующий субъект может заниматься несколькими видами деятельности, суммы по узким сегментам рынка (пример: дополнительное образование, плюс среднее (полное) общее, основное общее образование, плюс дошкольное образование), составляют более 100 % от количества организаций на рынке в целом (пример: образование). Также в таблице представлены максимальные и минимальные доли рынка организаций в натуральном и стоимостном выражении.</w:t>
      </w:r>
    </w:p>
    <w:p w:rsidR="00796DD7" w:rsidRPr="00130274" w:rsidRDefault="00B13240" w:rsidP="00796DD7">
      <w:pPr>
        <w:shd w:val="clear" w:color="auto" w:fill="FFFFFF"/>
        <w:spacing w:after="0" w:line="360" w:lineRule="auto"/>
        <w:ind w:firstLine="284"/>
        <w:jc w:val="both"/>
        <w:rPr>
          <w:rFonts w:ascii="Arial Narrow" w:eastAsia="SimSun" w:hAnsi="Arial Narrow"/>
          <w:sz w:val="24"/>
          <w:szCs w:val="24"/>
        </w:rPr>
      </w:pPr>
      <w:r w:rsidRPr="00B13240">
        <w:rPr>
          <w:rFonts w:ascii="Arial Narrow" w:eastAsia="SimSun" w:hAnsi="Arial Narrow"/>
          <w:sz w:val="24"/>
          <w:szCs w:val="24"/>
        </w:rPr>
        <w:t xml:space="preserve">Наибольшее количество предприятий с долей государственной/муниципальной собственности 50 % и более – среднего (полного) общего образования, основного общего образования (31,69 % от общего количества хозяйствующих субъектов, 972 организации) и дошкольного образования (24,85 %, 762 организации). Услугами в сфере культуры занимается 540 организаций (17,61 %), услугами ЖКУ – 321 организация (10,47 %), дополнительным образованием детей – 235 организаций (7,66 %). В медицинской сфере работает 111 организаций (3,62 %), в сфере спорта – 104 организации (3,39 %). Остальные организации работают на более узких рынках и представлены в основном в г. Новосибирске и других городских округах. </w:t>
      </w:r>
    </w:p>
    <w:p w:rsidR="00796DD7" w:rsidRPr="00130274" w:rsidRDefault="00B13240" w:rsidP="00796DD7">
      <w:pPr>
        <w:shd w:val="clear" w:color="auto" w:fill="FFFFFF"/>
        <w:spacing w:after="0" w:line="360" w:lineRule="auto"/>
        <w:ind w:firstLine="284"/>
        <w:jc w:val="both"/>
        <w:rPr>
          <w:rFonts w:ascii="Arial Narrow" w:eastAsia="SimSun" w:hAnsi="Arial Narrow"/>
          <w:sz w:val="24"/>
          <w:szCs w:val="24"/>
        </w:rPr>
      </w:pPr>
      <w:r w:rsidRPr="00B13240">
        <w:rPr>
          <w:rFonts w:ascii="Arial Narrow" w:eastAsia="SimSun" w:hAnsi="Arial Narrow"/>
          <w:sz w:val="24"/>
          <w:szCs w:val="24"/>
        </w:rPr>
        <w:t>Крупнейшие из предприятий данных рынков, как правило, расположены в г. Новосибирске и обслуживают большое количество населения (крупные образовательные, спортивные, медицинские организации, учреждения культуры, а также предприятия ЖКХ).</w:t>
      </w:r>
    </w:p>
    <w:p w:rsidR="00796DD7" w:rsidRPr="00130274" w:rsidRDefault="00B13240" w:rsidP="00796DD7">
      <w:pPr>
        <w:shd w:val="clear" w:color="auto" w:fill="FFFFFF"/>
        <w:spacing w:after="0" w:line="360" w:lineRule="auto"/>
        <w:ind w:firstLine="284"/>
        <w:jc w:val="both"/>
        <w:rPr>
          <w:rFonts w:ascii="Arial Narrow" w:hAnsi="Arial Narrow"/>
          <w:sz w:val="24"/>
          <w:szCs w:val="24"/>
        </w:rPr>
      </w:pPr>
      <w:r w:rsidRPr="00B13240">
        <w:rPr>
          <w:rFonts w:ascii="Arial Narrow" w:eastAsia="SimSun" w:hAnsi="Arial Narrow"/>
          <w:sz w:val="24"/>
          <w:szCs w:val="24"/>
        </w:rPr>
        <w:t>Ряд специализированных организаций, обслуживающих потребности органов власти регионального уровня, работает на узких рынках (у</w:t>
      </w:r>
      <w:r w:rsidRPr="00B13240">
        <w:rPr>
          <w:rFonts w:ascii="Arial Narrow" w:hAnsi="Arial Narrow"/>
          <w:sz w:val="24"/>
          <w:szCs w:val="24"/>
        </w:rPr>
        <w:t xml:space="preserve">правление недвижимым имуществом за вознаграждение или на договорной основе, аренда и управление собственным или арендованным недвижимым имуществом; деятельность по созданию и использованию баз данных и информационных ресурсов; оказание услуг, выполнение работ в сфере молодежной политики; регулирование и содействие эффективному ведению экономической деятельности; деятельность в области региональной, национальной и молодежной политики; выполнение работ по организации мероприятий на территории НСО; проведение обследования состояния делопроизводства и ведомственного хранения документов, </w:t>
      </w:r>
      <w:r w:rsidRPr="00B13240">
        <w:rPr>
          <w:rFonts w:ascii="Arial Narrow" w:hAnsi="Arial Narrow"/>
          <w:sz w:val="24"/>
          <w:szCs w:val="24"/>
        </w:rPr>
        <w:lastRenderedPageBreak/>
        <w:t>упорядочение документов организаций; проведение экспертизы ценности с организациями и описание документов; услуги по содействию росту регионального высокотехнологичного бизнеса).</w:t>
      </w:r>
    </w:p>
    <w:p w:rsidR="00796DD7" w:rsidRPr="00130274" w:rsidRDefault="00B13240" w:rsidP="00796DD7">
      <w:pPr>
        <w:shd w:val="clear" w:color="auto" w:fill="FFFFFF"/>
        <w:spacing w:after="0" w:line="360" w:lineRule="auto"/>
        <w:ind w:firstLine="284"/>
        <w:jc w:val="both"/>
        <w:rPr>
          <w:rFonts w:ascii="Arial Narrow" w:eastAsia="SimSun" w:hAnsi="Arial Narrow"/>
          <w:sz w:val="24"/>
          <w:szCs w:val="24"/>
        </w:rPr>
      </w:pPr>
      <w:r w:rsidRPr="00B13240">
        <w:rPr>
          <w:rFonts w:ascii="Arial Narrow" w:eastAsia="SimSun" w:hAnsi="Arial Narrow"/>
          <w:sz w:val="24"/>
          <w:szCs w:val="24"/>
        </w:rPr>
        <w:t xml:space="preserve">Также выделяется ряд предприятий, работающих на узких рынках и представленных в своей сфере деятельности в малом количестве (что говорит о централизованном управлении по всему региону): </w:t>
      </w:r>
      <w:r w:rsidRPr="00B13240">
        <w:rPr>
          <w:rFonts w:ascii="Arial Narrow" w:hAnsi="Arial Narrow"/>
          <w:sz w:val="24"/>
          <w:szCs w:val="24"/>
        </w:rPr>
        <w:t>рынок заготовки, производства и реализации лесоматериалов; обработка неметаллических отходов и лома, обработка отходов бумаги и картона, отходов и лома стекла, обработка отходов и лома пластмасс; распределение газообразного топлива; рынок ипотечного кредитования; финансовое посредничество; аренда собственности; строительство; научные исследования и разработки в области естественных и технических наук; исполнение запросов (генеалогических, тематических, социально-правовых); ксерокопирование, сканирование документов по заявкам пользователей и сотрудников для подготовки информационных мероприятий; эксплуатация гаражей, стоянок для автотранспортных средств, велосипедов и т. д.; предоставление в аренду транспортных средств; мониторинг пожарной опасности в лесах и лесных пожаров. Организации, относящиеся к данным рынкам, обслуживают потребности населения, бизнеса или являются производственными предприятиями, при этом напрямую не обеспечивают потребности органов власти. Ввиду этого возможна их деятельность в качестве негосударственных организаций и участие в свободной рыночной конкуренции. При этом их деятельность в текущей форме собственности может негативно сказываться на деятельности негосударственных организаций, работающих на данных рынках.</w:t>
      </w:r>
    </w:p>
    <w:p w:rsidR="00F170CC" w:rsidRPr="00130274" w:rsidRDefault="00F170CC" w:rsidP="00B42143">
      <w:pPr>
        <w:shd w:val="clear" w:color="auto" w:fill="FFFFFF"/>
        <w:rPr>
          <w:rFonts w:ascii="Arial Narrow" w:eastAsia="SimSun" w:hAnsi="Arial Narrow"/>
          <w:sz w:val="24"/>
          <w:szCs w:val="24"/>
        </w:rPr>
      </w:pPr>
    </w:p>
    <w:p w:rsidR="00796DD7" w:rsidRPr="00130274" w:rsidRDefault="00B13240" w:rsidP="00796DD7">
      <w:pPr>
        <w:shd w:val="clear" w:color="auto" w:fill="FFFFFF"/>
        <w:spacing w:after="0" w:line="240" w:lineRule="auto"/>
        <w:rPr>
          <w:rFonts w:ascii="Arial Narrow" w:eastAsia="SimSun" w:hAnsi="Arial Narrow"/>
          <w:sz w:val="24"/>
          <w:szCs w:val="24"/>
        </w:rPr>
      </w:pPr>
      <w:r w:rsidRPr="00B13240">
        <w:rPr>
          <w:rFonts w:ascii="Arial Narrow" w:eastAsia="SimSun" w:hAnsi="Arial Narrow"/>
          <w:sz w:val="24"/>
          <w:szCs w:val="24"/>
        </w:rPr>
        <w:t xml:space="preserve">Таблица 7.56 – </w:t>
      </w:r>
      <w:r w:rsidRPr="00B13240">
        <w:rPr>
          <w:rFonts w:ascii="Arial Narrow" w:eastAsia="SimSun" w:hAnsi="Arial Narrow"/>
          <w:b/>
          <w:sz w:val="24"/>
          <w:szCs w:val="24"/>
        </w:rPr>
        <w:t xml:space="preserve">Отраслевая структура предприятий, </w:t>
      </w:r>
      <w:r w:rsidRPr="00B13240">
        <w:rPr>
          <w:rFonts w:ascii="Arial Narrow" w:hAnsi="Arial Narrow"/>
          <w:b/>
          <w:sz w:val="24"/>
          <w:szCs w:val="24"/>
        </w:rPr>
        <w:t>доли участия субъекта Российской Федерации или муниципального образования в которых составляет 50 и более процентов,</w:t>
      </w:r>
      <w:r w:rsidRPr="00B13240">
        <w:rPr>
          <w:rFonts w:ascii="Arial Narrow" w:eastAsia="SimSun" w:hAnsi="Arial Narrow"/>
          <w:b/>
          <w:sz w:val="24"/>
          <w:szCs w:val="24"/>
        </w:rPr>
        <w:t xml:space="preserve"> максимальные и минимальные значения долей рынка предприятий в натуральном и стоимостном выражении</w:t>
      </w:r>
    </w:p>
    <w:tbl>
      <w:tblPr>
        <w:tblW w:w="9603" w:type="dxa"/>
        <w:tblInd w:w="108" w:type="dxa"/>
        <w:tblLook w:val="04A0"/>
      </w:tblPr>
      <w:tblGrid>
        <w:gridCol w:w="3969"/>
        <w:gridCol w:w="1202"/>
        <w:gridCol w:w="960"/>
        <w:gridCol w:w="20"/>
        <w:gridCol w:w="1694"/>
        <w:gridCol w:w="10"/>
        <w:gridCol w:w="1748"/>
      </w:tblGrid>
      <w:tr w:rsidR="00796DD7" w:rsidRPr="00130274" w:rsidTr="00130274">
        <w:tc>
          <w:tcPr>
            <w:tcW w:w="39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Наименование рынка</w:t>
            </w:r>
          </w:p>
        </w:tc>
        <w:tc>
          <w:tcPr>
            <w:tcW w:w="1202" w:type="dxa"/>
            <w:tcBorders>
              <w:top w:val="single" w:sz="4" w:space="0" w:color="auto"/>
              <w:left w:val="nil"/>
              <w:bottom w:val="single" w:sz="4" w:space="0" w:color="auto"/>
              <w:right w:val="single" w:sz="4" w:space="0" w:color="auto"/>
            </w:tcBorders>
            <w:shd w:val="clear" w:color="auto" w:fill="auto"/>
            <w:noWrap/>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Количество предприятий</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 к итогу</w:t>
            </w:r>
          </w:p>
        </w:tc>
        <w:tc>
          <w:tcPr>
            <w:tcW w:w="1714" w:type="dxa"/>
            <w:gridSpan w:val="2"/>
            <w:tcBorders>
              <w:top w:val="single" w:sz="4" w:space="0" w:color="auto"/>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Максимальные и минимальные значения долей рынка предприятия в натуральном выражении, %</w:t>
            </w:r>
          </w:p>
        </w:tc>
        <w:tc>
          <w:tcPr>
            <w:tcW w:w="1758" w:type="dxa"/>
            <w:gridSpan w:val="2"/>
            <w:tcBorders>
              <w:top w:val="single" w:sz="4" w:space="0" w:color="auto"/>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Максимальные и минимальные значения долей рынка предприятия в стоимостном выражении, %</w:t>
            </w:r>
          </w:p>
        </w:tc>
      </w:tr>
      <w:tr w:rsidR="00796DD7" w:rsidRPr="00130274" w:rsidTr="00130274">
        <w:tc>
          <w:tcPr>
            <w:tcW w:w="3969" w:type="dxa"/>
            <w:tcBorders>
              <w:top w:val="nil"/>
              <w:left w:val="single" w:sz="4" w:space="0" w:color="auto"/>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Среднее (полное) общее образование, основное общее образование</w:t>
            </w:r>
          </w:p>
        </w:tc>
        <w:tc>
          <w:tcPr>
            <w:tcW w:w="1202" w:type="dxa"/>
            <w:tcBorders>
              <w:top w:val="nil"/>
              <w:left w:val="nil"/>
              <w:bottom w:val="single" w:sz="4" w:space="0" w:color="auto"/>
              <w:right w:val="single" w:sz="4" w:space="0" w:color="auto"/>
            </w:tcBorders>
            <w:shd w:val="clear" w:color="auto" w:fill="auto"/>
            <w:noWrap/>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972</w:t>
            </w:r>
          </w:p>
        </w:tc>
        <w:tc>
          <w:tcPr>
            <w:tcW w:w="960" w:type="dxa"/>
            <w:tcBorders>
              <w:top w:val="nil"/>
              <w:left w:val="nil"/>
              <w:bottom w:val="single" w:sz="4" w:space="0" w:color="auto"/>
              <w:right w:val="single" w:sz="4" w:space="0" w:color="auto"/>
            </w:tcBorders>
            <w:shd w:val="clear" w:color="auto" w:fill="auto"/>
            <w:noWrap/>
            <w:vAlign w:val="bottom"/>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hAnsi="Arial Narrow"/>
                <w:color w:val="000000"/>
                <w:sz w:val="20"/>
                <w:szCs w:val="20"/>
              </w:rPr>
              <w:t>31,69</w:t>
            </w:r>
          </w:p>
        </w:tc>
        <w:tc>
          <w:tcPr>
            <w:tcW w:w="1714" w:type="dxa"/>
            <w:gridSpan w:val="2"/>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0,001-0,7%</w:t>
            </w:r>
          </w:p>
        </w:tc>
        <w:tc>
          <w:tcPr>
            <w:tcW w:w="1758" w:type="dxa"/>
            <w:gridSpan w:val="2"/>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w:t>
            </w:r>
          </w:p>
        </w:tc>
      </w:tr>
      <w:tr w:rsidR="00796DD7" w:rsidRPr="00130274" w:rsidTr="00130274">
        <w:tc>
          <w:tcPr>
            <w:tcW w:w="3969" w:type="dxa"/>
            <w:tcBorders>
              <w:top w:val="nil"/>
              <w:left w:val="single" w:sz="4" w:space="0" w:color="auto"/>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Дошкольное образование</w:t>
            </w:r>
          </w:p>
        </w:tc>
        <w:tc>
          <w:tcPr>
            <w:tcW w:w="1202" w:type="dxa"/>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762</w:t>
            </w:r>
          </w:p>
        </w:tc>
        <w:tc>
          <w:tcPr>
            <w:tcW w:w="960" w:type="dxa"/>
            <w:tcBorders>
              <w:top w:val="nil"/>
              <w:left w:val="nil"/>
              <w:bottom w:val="single" w:sz="4" w:space="0" w:color="auto"/>
              <w:right w:val="single" w:sz="4" w:space="0" w:color="auto"/>
            </w:tcBorders>
            <w:shd w:val="clear" w:color="auto" w:fill="auto"/>
            <w:noWrap/>
            <w:vAlign w:val="bottom"/>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hAnsi="Arial Narrow"/>
                <w:color w:val="000000"/>
                <w:sz w:val="20"/>
                <w:szCs w:val="20"/>
              </w:rPr>
              <w:t>24,85</w:t>
            </w:r>
          </w:p>
        </w:tc>
        <w:tc>
          <w:tcPr>
            <w:tcW w:w="1714" w:type="dxa"/>
            <w:gridSpan w:val="2"/>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0,0001-1,7%</w:t>
            </w:r>
          </w:p>
        </w:tc>
        <w:tc>
          <w:tcPr>
            <w:tcW w:w="1758" w:type="dxa"/>
            <w:gridSpan w:val="2"/>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w:t>
            </w:r>
          </w:p>
        </w:tc>
      </w:tr>
      <w:tr w:rsidR="00796DD7" w:rsidRPr="00130274" w:rsidTr="00130274">
        <w:tc>
          <w:tcPr>
            <w:tcW w:w="3969" w:type="dxa"/>
            <w:tcBorders>
              <w:top w:val="nil"/>
              <w:left w:val="single" w:sz="4" w:space="0" w:color="auto"/>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Услуги в сфере культуры</w:t>
            </w:r>
          </w:p>
        </w:tc>
        <w:tc>
          <w:tcPr>
            <w:tcW w:w="1202" w:type="dxa"/>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540</w:t>
            </w:r>
          </w:p>
        </w:tc>
        <w:tc>
          <w:tcPr>
            <w:tcW w:w="960" w:type="dxa"/>
            <w:tcBorders>
              <w:top w:val="nil"/>
              <w:left w:val="nil"/>
              <w:bottom w:val="single" w:sz="4" w:space="0" w:color="auto"/>
              <w:right w:val="single" w:sz="4" w:space="0" w:color="auto"/>
            </w:tcBorders>
            <w:shd w:val="clear" w:color="auto" w:fill="auto"/>
            <w:noWrap/>
            <w:vAlign w:val="bottom"/>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hAnsi="Arial Narrow"/>
                <w:color w:val="000000"/>
                <w:sz w:val="20"/>
                <w:szCs w:val="20"/>
              </w:rPr>
              <w:t>17,61</w:t>
            </w:r>
          </w:p>
        </w:tc>
        <w:tc>
          <w:tcPr>
            <w:tcW w:w="1714" w:type="dxa"/>
            <w:gridSpan w:val="2"/>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0,0003-4,7%</w:t>
            </w:r>
          </w:p>
        </w:tc>
        <w:tc>
          <w:tcPr>
            <w:tcW w:w="1758" w:type="dxa"/>
            <w:gridSpan w:val="2"/>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0,0002-18,3%</w:t>
            </w:r>
          </w:p>
        </w:tc>
      </w:tr>
      <w:tr w:rsidR="00796DD7" w:rsidRPr="00130274" w:rsidTr="00130274">
        <w:tc>
          <w:tcPr>
            <w:tcW w:w="3969" w:type="dxa"/>
            <w:tcBorders>
              <w:top w:val="nil"/>
              <w:left w:val="single" w:sz="4" w:space="0" w:color="auto"/>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Рынок ЖКУ</w:t>
            </w:r>
          </w:p>
        </w:tc>
        <w:tc>
          <w:tcPr>
            <w:tcW w:w="1202" w:type="dxa"/>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321</w:t>
            </w:r>
          </w:p>
        </w:tc>
        <w:tc>
          <w:tcPr>
            <w:tcW w:w="960" w:type="dxa"/>
            <w:tcBorders>
              <w:top w:val="nil"/>
              <w:left w:val="nil"/>
              <w:bottom w:val="single" w:sz="4" w:space="0" w:color="auto"/>
              <w:right w:val="single" w:sz="4" w:space="0" w:color="auto"/>
            </w:tcBorders>
            <w:shd w:val="clear" w:color="auto" w:fill="auto"/>
            <w:noWrap/>
            <w:vAlign w:val="bottom"/>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hAnsi="Arial Narrow"/>
                <w:color w:val="000000"/>
                <w:sz w:val="20"/>
                <w:szCs w:val="20"/>
              </w:rPr>
              <w:t>10,47</w:t>
            </w:r>
          </w:p>
        </w:tc>
        <w:tc>
          <w:tcPr>
            <w:tcW w:w="1714" w:type="dxa"/>
            <w:gridSpan w:val="2"/>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0,001-44,3%</w:t>
            </w:r>
          </w:p>
        </w:tc>
        <w:tc>
          <w:tcPr>
            <w:tcW w:w="1758" w:type="dxa"/>
            <w:gridSpan w:val="2"/>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0,001-32,6%</w:t>
            </w:r>
          </w:p>
        </w:tc>
      </w:tr>
      <w:tr w:rsidR="00796DD7" w:rsidRPr="00130274" w:rsidTr="00130274">
        <w:tc>
          <w:tcPr>
            <w:tcW w:w="3969" w:type="dxa"/>
            <w:tcBorders>
              <w:top w:val="nil"/>
              <w:left w:val="single" w:sz="4" w:space="0" w:color="auto"/>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Дополнительное образование детей</w:t>
            </w:r>
          </w:p>
        </w:tc>
        <w:tc>
          <w:tcPr>
            <w:tcW w:w="1202" w:type="dxa"/>
            <w:tcBorders>
              <w:top w:val="nil"/>
              <w:left w:val="nil"/>
              <w:bottom w:val="single" w:sz="4" w:space="0" w:color="auto"/>
              <w:right w:val="single" w:sz="4" w:space="0" w:color="auto"/>
            </w:tcBorders>
            <w:shd w:val="clear" w:color="auto" w:fill="auto"/>
            <w:noWrap/>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235</w:t>
            </w:r>
          </w:p>
        </w:tc>
        <w:tc>
          <w:tcPr>
            <w:tcW w:w="960" w:type="dxa"/>
            <w:tcBorders>
              <w:top w:val="nil"/>
              <w:left w:val="nil"/>
              <w:bottom w:val="single" w:sz="4" w:space="0" w:color="auto"/>
              <w:right w:val="single" w:sz="4" w:space="0" w:color="auto"/>
            </w:tcBorders>
            <w:shd w:val="clear" w:color="auto" w:fill="auto"/>
            <w:noWrap/>
            <w:vAlign w:val="bottom"/>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hAnsi="Arial Narrow"/>
                <w:color w:val="000000"/>
                <w:sz w:val="20"/>
                <w:szCs w:val="20"/>
              </w:rPr>
              <w:t>7,66</w:t>
            </w:r>
          </w:p>
        </w:tc>
        <w:tc>
          <w:tcPr>
            <w:tcW w:w="1714" w:type="dxa"/>
            <w:gridSpan w:val="2"/>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0,001-26,6%</w:t>
            </w:r>
          </w:p>
        </w:tc>
        <w:tc>
          <w:tcPr>
            <w:tcW w:w="1758" w:type="dxa"/>
            <w:gridSpan w:val="2"/>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0,01-10,1%</w:t>
            </w:r>
          </w:p>
        </w:tc>
      </w:tr>
      <w:tr w:rsidR="00796DD7" w:rsidRPr="00130274" w:rsidTr="00130274">
        <w:tc>
          <w:tcPr>
            <w:tcW w:w="3969" w:type="dxa"/>
            <w:tcBorders>
              <w:top w:val="nil"/>
              <w:left w:val="single" w:sz="4" w:space="0" w:color="auto"/>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Рынок медицинских услуг</w:t>
            </w:r>
          </w:p>
        </w:tc>
        <w:tc>
          <w:tcPr>
            <w:tcW w:w="1202" w:type="dxa"/>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111</w:t>
            </w:r>
          </w:p>
        </w:tc>
        <w:tc>
          <w:tcPr>
            <w:tcW w:w="960" w:type="dxa"/>
            <w:tcBorders>
              <w:top w:val="nil"/>
              <w:left w:val="nil"/>
              <w:bottom w:val="single" w:sz="4" w:space="0" w:color="auto"/>
              <w:right w:val="single" w:sz="4" w:space="0" w:color="auto"/>
            </w:tcBorders>
            <w:shd w:val="clear" w:color="auto" w:fill="auto"/>
            <w:noWrap/>
            <w:vAlign w:val="bottom"/>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hAnsi="Arial Narrow"/>
                <w:color w:val="000000"/>
                <w:sz w:val="20"/>
                <w:szCs w:val="20"/>
              </w:rPr>
              <w:t>3,62</w:t>
            </w:r>
          </w:p>
        </w:tc>
        <w:tc>
          <w:tcPr>
            <w:tcW w:w="1714" w:type="dxa"/>
            <w:gridSpan w:val="2"/>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0,008%-10,1%</w:t>
            </w:r>
          </w:p>
        </w:tc>
        <w:tc>
          <w:tcPr>
            <w:tcW w:w="1758" w:type="dxa"/>
            <w:gridSpan w:val="2"/>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w:t>
            </w:r>
          </w:p>
        </w:tc>
      </w:tr>
      <w:tr w:rsidR="00796DD7" w:rsidRPr="00130274" w:rsidTr="00130274">
        <w:tc>
          <w:tcPr>
            <w:tcW w:w="3969" w:type="dxa"/>
            <w:tcBorders>
              <w:top w:val="nil"/>
              <w:left w:val="single" w:sz="4" w:space="0" w:color="auto"/>
              <w:bottom w:val="single" w:sz="4" w:space="0" w:color="auto"/>
              <w:right w:val="single" w:sz="4" w:space="0" w:color="auto"/>
            </w:tcBorders>
            <w:shd w:val="clear" w:color="auto" w:fill="auto"/>
            <w:noWrap/>
            <w:vAlign w:val="center"/>
            <w:hideMark/>
          </w:tcPr>
          <w:p w:rsidR="00796DD7" w:rsidRPr="00130274" w:rsidRDefault="00B13240" w:rsidP="00796DD7">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Услуги в сфере спорта</w:t>
            </w:r>
          </w:p>
        </w:tc>
        <w:tc>
          <w:tcPr>
            <w:tcW w:w="1202" w:type="dxa"/>
            <w:tcBorders>
              <w:top w:val="nil"/>
              <w:left w:val="nil"/>
              <w:bottom w:val="single" w:sz="4" w:space="0" w:color="auto"/>
              <w:right w:val="single" w:sz="4" w:space="0" w:color="auto"/>
            </w:tcBorders>
            <w:shd w:val="clear" w:color="auto" w:fill="auto"/>
            <w:noWrap/>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104</w:t>
            </w:r>
          </w:p>
        </w:tc>
        <w:tc>
          <w:tcPr>
            <w:tcW w:w="960" w:type="dxa"/>
            <w:tcBorders>
              <w:top w:val="nil"/>
              <w:left w:val="nil"/>
              <w:bottom w:val="single" w:sz="4" w:space="0" w:color="auto"/>
              <w:right w:val="single" w:sz="4" w:space="0" w:color="auto"/>
            </w:tcBorders>
            <w:shd w:val="clear" w:color="auto" w:fill="auto"/>
            <w:noWrap/>
            <w:vAlign w:val="bottom"/>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hAnsi="Arial Narrow"/>
                <w:color w:val="000000"/>
                <w:sz w:val="20"/>
                <w:szCs w:val="20"/>
              </w:rPr>
              <w:t>3,39</w:t>
            </w:r>
          </w:p>
        </w:tc>
        <w:tc>
          <w:tcPr>
            <w:tcW w:w="1714" w:type="dxa"/>
            <w:gridSpan w:val="2"/>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0,02-35,7%</w:t>
            </w:r>
          </w:p>
        </w:tc>
        <w:tc>
          <w:tcPr>
            <w:tcW w:w="1758" w:type="dxa"/>
            <w:gridSpan w:val="2"/>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0,002-16,0%</w:t>
            </w:r>
          </w:p>
        </w:tc>
      </w:tr>
      <w:tr w:rsidR="00796DD7" w:rsidRPr="00130274" w:rsidTr="00130274">
        <w:tc>
          <w:tcPr>
            <w:tcW w:w="3969" w:type="dxa"/>
            <w:tcBorders>
              <w:top w:val="nil"/>
              <w:left w:val="single" w:sz="4" w:space="0" w:color="auto"/>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Среднее специальное и профессиональное образование</w:t>
            </w:r>
          </w:p>
        </w:tc>
        <w:tc>
          <w:tcPr>
            <w:tcW w:w="1202" w:type="dxa"/>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74</w:t>
            </w:r>
          </w:p>
        </w:tc>
        <w:tc>
          <w:tcPr>
            <w:tcW w:w="960" w:type="dxa"/>
            <w:tcBorders>
              <w:top w:val="nil"/>
              <w:left w:val="nil"/>
              <w:bottom w:val="single" w:sz="4" w:space="0" w:color="auto"/>
              <w:right w:val="single" w:sz="4" w:space="0" w:color="auto"/>
            </w:tcBorders>
            <w:shd w:val="clear" w:color="auto" w:fill="auto"/>
            <w:noWrap/>
            <w:vAlign w:val="bottom"/>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hAnsi="Arial Narrow"/>
                <w:color w:val="000000"/>
                <w:sz w:val="20"/>
                <w:szCs w:val="20"/>
              </w:rPr>
              <w:t>2,41</w:t>
            </w:r>
          </w:p>
        </w:tc>
        <w:tc>
          <w:tcPr>
            <w:tcW w:w="1714" w:type="dxa"/>
            <w:gridSpan w:val="2"/>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0,1-31,8%</w:t>
            </w:r>
          </w:p>
        </w:tc>
        <w:tc>
          <w:tcPr>
            <w:tcW w:w="1758" w:type="dxa"/>
            <w:gridSpan w:val="2"/>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0,041-16,3%</w:t>
            </w:r>
          </w:p>
        </w:tc>
      </w:tr>
      <w:tr w:rsidR="00796DD7" w:rsidRPr="00130274" w:rsidTr="00130274">
        <w:tc>
          <w:tcPr>
            <w:tcW w:w="3969" w:type="dxa"/>
            <w:tcBorders>
              <w:top w:val="nil"/>
              <w:left w:val="single" w:sz="4" w:space="0" w:color="auto"/>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Рынок детского отдыха и оздоровления</w:t>
            </w:r>
            <w:r w:rsidRPr="00B13240">
              <w:rPr>
                <w:rStyle w:val="af2"/>
                <w:rFonts w:ascii="Arial Narrow" w:eastAsia="Times New Roman" w:hAnsi="Arial Narrow" w:cs="Times New Roman"/>
                <w:sz w:val="20"/>
                <w:szCs w:val="20"/>
                <w:lang w:eastAsia="ru-RU"/>
              </w:rPr>
              <w:footnoteReference w:id="8"/>
            </w:r>
          </w:p>
        </w:tc>
        <w:tc>
          <w:tcPr>
            <w:tcW w:w="1202" w:type="dxa"/>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55</w:t>
            </w:r>
          </w:p>
        </w:tc>
        <w:tc>
          <w:tcPr>
            <w:tcW w:w="960" w:type="dxa"/>
            <w:tcBorders>
              <w:top w:val="nil"/>
              <w:left w:val="nil"/>
              <w:bottom w:val="single" w:sz="4" w:space="0" w:color="auto"/>
              <w:right w:val="single" w:sz="4" w:space="0" w:color="auto"/>
            </w:tcBorders>
            <w:shd w:val="clear" w:color="auto" w:fill="auto"/>
            <w:noWrap/>
            <w:vAlign w:val="bottom"/>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hAnsi="Arial Narrow"/>
                <w:color w:val="000000"/>
                <w:sz w:val="20"/>
                <w:szCs w:val="20"/>
              </w:rPr>
              <w:t>1,79</w:t>
            </w:r>
          </w:p>
        </w:tc>
        <w:tc>
          <w:tcPr>
            <w:tcW w:w="1714" w:type="dxa"/>
            <w:gridSpan w:val="2"/>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0,06-16,4%</w:t>
            </w:r>
          </w:p>
        </w:tc>
        <w:tc>
          <w:tcPr>
            <w:tcW w:w="1758" w:type="dxa"/>
            <w:gridSpan w:val="2"/>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0-8,3%</w:t>
            </w:r>
          </w:p>
        </w:tc>
      </w:tr>
      <w:tr w:rsidR="00796DD7" w:rsidRPr="00130274" w:rsidTr="00130274">
        <w:tc>
          <w:tcPr>
            <w:tcW w:w="3969" w:type="dxa"/>
            <w:tcBorders>
              <w:top w:val="nil"/>
              <w:left w:val="single" w:sz="4" w:space="0" w:color="auto"/>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Рынок заготовки, производства и реализации лесоматериалов</w:t>
            </w:r>
          </w:p>
        </w:tc>
        <w:tc>
          <w:tcPr>
            <w:tcW w:w="1202" w:type="dxa"/>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22</w:t>
            </w:r>
          </w:p>
        </w:tc>
        <w:tc>
          <w:tcPr>
            <w:tcW w:w="960" w:type="dxa"/>
            <w:tcBorders>
              <w:top w:val="nil"/>
              <w:left w:val="nil"/>
              <w:bottom w:val="single" w:sz="4" w:space="0" w:color="auto"/>
              <w:right w:val="single" w:sz="4" w:space="0" w:color="auto"/>
            </w:tcBorders>
            <w:shd w:val="clear" w:color="auto" w:fill="auto"/>
            <w:noWrap/>
            <w:vAlign w:val="bottom"/>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hAnsi="Arial Narrow"/>
                <w:color w:val="000000"/>
                <w:sz w:val="20"/>
                <w:szCs w:val="20"/>
              </w:rPr>
              <w:t>0,72</w:t>
            </w:r>
          </w:p>
        </w:tc>
        <w:tc>
          <w:tcPr>
            <w:tcW w:w="1714" w:type="dxa"/>
            <w:gridSpan w:val="2"/>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0,3-36,4%</w:t>
            </w:r>
          </w:p>
        </w:tc>
        <w:tc>
          <w:tcPr>
            <w:tcW w:w="1758" w:type="dxa"/>
            <w:gridSpan w:val="2"/>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0,1-13,5%</w:t>
            </w:r>
          </w:p>
        </w:tc>
      </w:tr>
      <w:tr w:rsidR="00796DD7" w:rsidRPr="00130274" w:rsidTr="00130274">
        <w:tc>
          <w:tcPr>
            <w:tcW w:w="39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lastRenderedPageBreak/>
              <w:t>Строительство</w:t>
            </w:r>
          </w:p>
        </w:tc>
        <w:tc>
          <w:tcPr>
            <w:tcW w:w="120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4</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hAnsi="Arial Narrow"/>
                <w:color w:val="000000"/>
                <w:sz w:val="20"/>
                <w:szCs w:val="20"/>
              </w:rPr>
              <w:t>0,13</w:t>
            </w:r>
          </w:p>
        </w:tc>
        <w:tc>
          <w:tcPr>
            <w:tcW w:w="17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Нет данных</w:t>
            </w:r>
          </w:p>
        </w:tc>
        <w:tc>
          <w:tcPr>
            <w:tcW w:w="175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Нет данных</w:t>
            </w:r>
          </w:p>
        </w:tc>
      </w:tr>
      <w:tr w:rsidR="00796DD7" w:rsidRPr="00130274" w:rsidTr="00130274">
        <w:tc>
          <w:tcPr>
            <w:tcW w:w="39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Финансовое посредничество</w:t>
            </w:r>
          </w:p>
        </w:tc>
        <w:tc>
          <w:tcPr>
            <w:tcW w:w="1202" w:type="dxa"/>
            <w:tcBorders>
              <w:top w:val="single" w:sz="4" w:space="0" w:color="auto"/>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4</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hAnsi="Arial Narrow"/>
                <w:color w:val="000000"/>
                <w:sz w:val="20"/>
                <w:szCs w:val="20"/>
              </w:rPr>
              <w:t>0,13</w:t>
            </w:r>
          </w:p>
        </w:tc>
        <w:tc>
          <w:tcPr>
            <w:tcW w:w="1714" w:type="dxa"/>
            <w:gridSpan w:val="2"/>
            <w:tcBorders>
              <w:top w:val="single" w:sz="4" w:space="0" w:color="auto"/>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Нет данных</w:t>
            </w:r>
          </w:p>
        </w:tc>
        <w:tc>
          <w:tcPr>
            <w:tcW w:w="1758" w:type="dxa"/>
            <w:gridSpan w:val="2"/>
            <w:tcBorders>
              <w:top w:val="single" w:sz="4" w:space="0" w:color="auto"/>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Нет данных</w:t>
            </w:r>
          </w:p>
        </w:tc>
      </w:tr>
      <w:tr w:rsidR="00796DD7" w:rsidRPr="00130274" w:rsidTr="00130274">
        <w:tc>
          <w:tcPr>
            <w:tcW w:w="39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Деятельность в области архитектуры; инженерно-техническое проектирование; геологоразведочные и геофизические работы; геодезическая деятельность в области стандартизации и метрологии; деятельности в области гидрометеорологии и смежных с ней областях; виды деятельности, связанные с решением технических задач, не включенные в другие группировки</w:t>
            </w:r>
          </w:p>
        </w:tc>
        <w:tc>
          <w:tcPr>
            <w:tcW w:w="1202" w:type="dxa"/>
            <w:tcBorders>
              <w:top w:val="single" w:sz="4" w:space="0" w:color="auto"/>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3</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hAnsi="Arial Narrow"/>
                <w:color w:val="000000"/>
                <w:sz w:val="20"/>
                <w:szCs w:val="20"/>
              </w:rPr>
              <w:t>0,10</w:t>
            </w:r>
          </w:p>
        </w:tc>
        <w:tc>
          <w:tcPr>
            <w:tcW w:w="1714" w:type="dxa"/>
            <w:gridSpan w:val="2"/>
            <w:tcBorders>
              <w:top w:val="single" w:sz="4" w:space="0" w:color="auto"/>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Нет данных</w:t>
            </w:r>
          </w:p>
        </w:tc>
        <w:tc>
          <w:tcPr>
            <w:tcW w:w="1758" w:type="dxa"/>
            <w:gridSpan w:val="2"/>
            <w:tcBorders>
              <w:top w:val="single" w:sz="4" w:space="0" w:color="auto"/>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1-99%</w:t>
            </w:r>
          </w:p>
        </w:tc>
      </w:tr>
      <w:tr w:rsidR="00796DD7" w:rsidRPr="00130274" w:rsidTr="00130274">
        <w:tc>
          <w:tcPr>
            <w:tcW w:w="3969" w:type="dxa"/>
            <w:tcBorders>
              <w:top w:val="nil"/>
              <w:left w:val="single" w:sz="4" w:space="0" w:color="auto"/>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Аренда собственности</w:t>
            </w:r>
          </w:p>
        </w:tc>
        <w:tc>
          <w:tcPr>
            <w:tcW w:w="1202" w:type="dxa"/>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2</w:t>
            </w:r>
          </w:p>
        </w:tc>
        <w:tc>
          <w:tcPr>
            <w:tcW w:w="960" w:type="dxa"/>
            <w:tcBorders>
              <w:top w:val="nil"/>
              <w:left w:val="nil"/>
              <w:bottom w:val="single" w:sz="4" w:space="0" w:color="auto"/>
              <w:right w:val="single" w:sz="4" w:space="0" w:color="auto"/>
            </w:tcBorders>
            <w:shd w:val="clear" w:color="auto" w:fill="auto"/>
            <w:noWrap/>
            <w:vAlign w:val="bottom"/>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hAnsi="Arial Narrow"/>
                <w:color w:val="000000"/>
                <w:sz w:val="20"/>
                <w:szCs w:val="20"/>
              </w:rPr>
              <w:t>0,07</w:t>
            </w:r>
          </w:p>
        </w:tc>
        <w:tc>
          <w:tcPr>
            <w:tcW w:w="1714" w:type="dxa"/>
            <w:gridSpan w:val="2"/>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Нет данных</w:t>
            </w:r>
          </w:p>
        </w:tc>
        <w:tc>
          <w:tcPr>
            <w:tcW w:w="1758" w:type="dxa"/>
            <w:gridSpan w:val="2"/>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1,0-99,0%</w:t>
            </w:r>
          </w:p>
        </w:tc>
      </w:tr>
      <w:tr w:rsidR="00796DD7" w:rsidRPr="00130274" w:rsidTr="00130274">
        <w:tc>
          <w:tcPr>
            <w:tcW w:w="39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Деятельность по созданию и использованию баз данных и информационных ресурсов</w:t>
            </w:r>
          </w:p>
        </w:tc>
        <w:tc>
          <w:tcPr>
            <w:tcW w:w="1202" w:type="dxa"/>
            <w:tcBorders>
              <w:top w:val="single" w:sz="4" w:space="0" w:color="auto"/>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2</w:t>
            </w:r>
          </w:p>
        </w:tc>
        <w:tc>
          <w:tcPr>
            <w:tcW w:w="980" w:type="dxa"/>
            <w:gridSpan w:val="2"/>
            <w:tcBorders>
              <w:top w:val="single" w:sz="4" w:space="0" w:color="auto"/>
              <w:left w:val="nil"/>
              <w:bottom w:val="single" w:sz="4" w:space="0" w:color="auto"/>
              <w:right w:val="single" w:sz="4" w:space="0" w:color="auto"/>
            </w:tcBorders>
            <w:shd w:val="clear" w:color="auto" w:fill="auto"/>
            <w:noWrap/>
            <w:vAlign w:val="bottom"/>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hAnsi="Arial Narrow"/>
                <w:color w:val="000000"/>
                <w:sz w:val="20"/>
                <w:szCs w:val="20"/>
              </w:rPr>
              <w:t>0,07</w:t>
            </w:r>
          </w:p>
        </w:tc>
        <w:tc>
          <w:tcPr>
            <w:tcW w:w="1704" w:type="dxa"/>
            <w:gridSpan w:val="2"/>
            <w:tcBorders>
              <w:top w:val="single" w:sz="4" w:space="0" w:color="auto"/>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Нет данных</w:t>
            </w:r>
          </w:p>
        </w:tc>
        <w:tc>
          <w:tcPr>
            <w:tcW w:w="1748" w:type="dxa"/>
            <w:tcBorders>
              <w:top w:val="single" w:sz="4" w:space="0" w:color="auto"/>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10,1-89,9%</w:t>
            </w:r>
          </w:p>
        </w:tc>
      </w:tr>
      <w:tr w:rsidR="00796DD7" w:rsidRPr="00130274" w:rsidTr="00130274">
        <w:tc>
          <w:tcPr>
            <w:tcW w:w="3969" w:type="dxa"/>
            <w:tcBorders>
              <w:top w:val="nil"/>
              <w:left w:val="single" w:sz="4" w:space="0" w:color="auto"/>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Научные исследования и разработки в области естественных и технических наук</w:t>
            </w:r>
          </w:p>
        </w:tc>
        <w:tc>
          <w:tcPr>
            <w:tcW w:w="1202" w:type="dxa"/>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2</w:t>
            </w:r>
          </w:p>
        </w:tc>
        <w:tc>
          <w:tcPr>
            <w:tcW w:w="980" w:type="dxa"/>
            <w:gridSpan w:val="2"/>
            <w:tcBorders>
              <w:top w:val="nil"/>
              <w:left w:val="nil"/>
              <w:bottom w:val="single" w:sz="4" w:space="0" w:color="auto"/>
              <w:right w:val="single" w:sz="4" w:space="0" w:color="auto"/>
            </w:tcBorders>
            <w:shd w:val="clear" w:color="auto" w:fill="auto"/>
            <w:noWrap/>
            <w:vAlign w:val="bottom"/>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hAnsi="Arial Narrow"/>
                <w:color w:val="000000"/>
                <w:sz w:val="20"/>
                <w:szCs w:val="20"/>
              </w:rPr>
              <w:t>0,07</w:t>
            </w:r>
          </w:p>
        </w:tc>
        <w:tc>
          <w:tcPr>
            <w:tcW w:w="1704" w:type="dxa"/>
            <w:gridSpan w:val="2"/>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Нет данных</w:t>
            </w:r>
          </w:p>
        </w:tc>
        <w:tc>
          <w:tcPr>
            <w:tcW w:w="1748" w:type="dxa"/>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Нет данных</w:t>
            </w:r>
          </w:p>
        </w:tc>
      </w:tr>
      <w:tr w:rsidR="00796DD7" w:rsidRPr="00130274" w:rsidTr="00130274">
        <w:tc>
          <w:tcPr>
            <w:tcW w:w="3969" w:type="dxa"/>
            <w:tcBorders>
              <w:top w:val="nil"/>
              <w:left w:val="single" w:sz="4" w:space="0" w:color="auto"/>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Оказание услуг, выполнение работ в сфере молодежной политики</w:t>
            </w:r>
          </w:p>
        </w:tc>
        <w:tc>
          <w:tcPr>
            <w:tcW w:w="1202" w:type="dxa"/>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2</w:t>
            </w:r>
          </w:p>
        </w:tc>
        <w:tc>
          <w:tcPr>
            <w:tcW w:w="980" w:type="dxa"/>
            <w:gridSpan w:val="2"/>
            <w:tcBorders>
              <w:top w:val="nil"/>
              <w:left w:val="nil"/>
              <w:bottom w:val="single" w:sz="4" w:space="0" w:color="auto"/>
              <w:right w:val="single" w:sz="4" w:space="0" w:color="auto"/>
            </w:tcBorders>
            <w:shd w:val="clear" w:color="auto" w:fill="auto"/>
            <w:noWrap/>
            <w:vAlign w:val="bottom"/>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hAnsi="Arial Narrow"/>
                <w:color w:val="000000"/>
                <w:sz w:val="20"/>
                <w:szCs w:val="20"/>
              </w:rPr>
              <w:t>0,07</w:t>
            </w:r>
          </w:p>
        </w:tc>
        <w:tc>
          <w:tcPr>
            <w:tcW w:w="1704" w:type="dxa"/>
            <w:gridSpan w:val="2"/>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Нет данных</w:t>
            </w:r>
          </w:p>
        </w:tc>
        <w:tc>
          <w:tcPr>
            <w:tcW w:w="1748" w:type="dxa"/>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26,6-73,3%</w:t>
            </w:r>
          </w:p>
        </w:tc>
      </w:tr>
      <w:tr w:rsidR="00796DD7" w:rsidRPr="00130274" w:rsidTr="00130274">
        <w:tc>
          <w:tcPr>
            <w:tcW w:w="3969" w:type="dxa"/>
            <w:tcBorders>
              <w:top w:val="nil"/>
              <w:left w:val="single" w:sz="4" w:space="0" w:color="auto"/>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Регулирование и содействие эффективному ведению экономической деятельности, деятельность в области региональной, национальной и молодежной политики</w:t>
            </w:r>
          </w:p>
        </w:tc>
        <w:tc>
          <w:tcPr>
            <w:tcW w:w="1202" w:type="dxa"/>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2</w:t>
            </w:r>
          </w:p>
        </w:tc>
        <w:tc>
          <w:tcPr>
            <w:tcW w:w="980" w:type="dxa"/>
            <w:gridSpan w:val="2"/>
            <w:tcBorders>
              <w:top w:val="nil"/>
              <w:left w:val="nil"/>
              <w:bottom w:val="single" w:sz="4" w:space="0" w:color="auto"/>
              <w:right w:val="single" w:sz="4" w:space="0" w:color="auto"/>
            </w:tcBorders>
            <w:shd w:val="clear" w:color="auto" w:fill="auto"/>
            <w:noWrap/>
            <w:vAlign w:val="bottom"/>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hAnsi="Arial Narrow"/>
                <w:color w:val="000000"/>
                <w:sz w:val="20"/>
                <w:szCs w:val="20"/>
              </w:rPr>
              <w:t>0,07</w:t>
            </w:r>
          </w:p>
        </w:tc>
        <w:tc>
          <w:tcPr>
            <w:tcW w:w="1704" w:type="dxa"/>
            <w:gridSpan w:val="2"/>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Нет данных</w:t>
            </w:r>
          </w:p>
        </w:tc>
        <w:tc>
          <w:tcPr>
            <w:tcW w:w="1748" w:type="dxa"/>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Нет данных</w:t>
            </w:r>
          </w:p>
        </w:tc>
      </w:tr>
      <w:tr w:rsidR="00796DD7" w:rsidRPr="00130274" w:rsidTr="00130274">
        <w:tc>
          <w:tcPr>
            <w:tcW w:w="3969" w:type="dxa"/>
            <w:tcBorders>
              <w:top w:val="nil"/>
              <w:left w:val="single" w:sz="4" w:space="0" w:color="auto"/>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Управление недвижимым имуществом за вознаграждение или на договорной основе, аренда и управление собственным или арендованным недвижимым имуществом</w:t>
            </w:r>
          </w:p>
        </w:tc>
        <w:tc>
          <w:tcPr>
            <w:tcW w:w="1202" w:type="dxa"/>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2</w:t>
            </w:r>
          </w:p>
        </w:tc>
        <w:tc>
          <w:tcPr>
            <w:tcW w:w="980" w:type="dxa"/>
            <w:gridSpan w:val="2"/>
            <w:tcBorders>
              <w:top w:val="nil"/>
              <w:left w:val="nil"/>
              <w:bottom w:val="single" w:sz="4" w:space="0" w:color="auto"/>
              <w:right w:val="single" w:sz="4" w:space="0" w:color="auto"/>
            </w:tcBorders>
            <w:shd w:val="clear" w:color="auto" w:fill="auto"/>
            <w:noWrap/>
            <w:vAlign w:val="bottom"/>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hAnsi="Arial Narrow"/>
                <w:color w:val="000000"/>
                <w:sz w:val="20"/>
                <w:szCs w:val="20"/>
              </w:rPr>
              <w:t>0,07</w:t>
            </w:r>
          </w:p>
        </w:tc>
        <w:tc>
          <w:tcPr>
            <w:tcW w:w="1704" w:type="dxa"/>
            <w:gridSpan w:val="2"/>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Нет данных</w:t>
            </w:r>
          </w:p>
        </w:tc>
        <w:tc>
          <w:tcPr>
            <w:tcW w:w="1748" w:type="dxa"/>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Нет данных</w:t>
            </w:r>
          </w:p>
        </w:tc>
      </w:tr>
      <w:tr w:rsidR="00796DD7" w:rsidRPr="00130274" w:rsidTr="00130274">
        <w:tc>
          <w:tcPr>
            <w:tcW w:w="3969" w:type="dxa"/>
            <w:tcBorders>
              <w:top w:val="nil"/>
              <w:left w:val="single" w:sz="4" w:space="0" w:color="auto"/>
              <w:bottom w:val="single" w:sz="4" w:space="0" w:color="auto"/>
              <w:right w:val="single" w:sz="4" w:space="0" w:color="auto"/>
            </w:tcBorders>
            <w:shd w:val="clear" w:color="auto" w:fill="auto"/>
            <w:noWrap/>
            <w:vAlign w:val="center"/>
            <w:hideMark/>
          </w:tcPr>
          <w:p w:rsidR="00796DD7" w:rsidRPr="00130274" w:rsidRDefault="00B13240" w:rsidP="00796DD7">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Выполнение работ по организации мероприятий на территории НСО</w:t>
            </w:r>
          </w:p>
        </w:tc>
        <w:tc>
          <w:tcPr>
            <w:tcW w:w="1202" w:type="dxa"/>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w:t>
            </w:r>
          </w:p>
        </w:tc>
        <w:tc>
          <w:tcPr>
            <w:tcW w:w="980" w:type="dxa"/>
            <w:gridSpan w:val="2"/>
            <w:tcBorders>
              <w:top w:val="nil"/>
              <w:left w:val="nil"/>
              <w:bottom w:val="single" w:sz="4" w:space="0" w:color="auto"/>
              <w:right w:val="single" w:sz="4" w:space="0" w:color="auto"/>
            </w:tcBorders>
            <w:shd w:val="clear" w:color="auto" w:fill="auto"/>
            <w:noWrap/>
            <w:vAlign w:val="bottom"/>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hAnsi="Arial Narrow"/>
                <w:color w:val="000000"/>
                <w:sz w:val="20"/>
                <w:szCs w:val="20"/>
              </w:rPr>
              <w:t>0,03</w:t>
            </w:r>
          </w:p>
        </w:tc>
        <w:tc>
          <w:tcPr>
            <w:tcW w:w="1704" w:type="dxa"/>
            <w:gridSpan w:val="2"/>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100,0%</w:t>
            </w:r>
          </w:p>
        </w:tc>
        <w:tc>
          <w:tcPr>
            <w:tcW w:w="1748" w:type="dxa"/>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100,0%</w:t>
            </w:r>
          </w:p>
        </w:tc>
      </w:tr>
      <w:tr w:rsidR="00796DD7" w:rsidRPr="00130274" w:rsidTr="00130274">
        <w:tc>
          <w:tcPr>
            <w:tcW w:w="3969" w:type="dxa"/>
            <w:tcBorders>
              <w:top w:val="nil"/>
              <w:left w:val="single" w:sz="4" w:space="0" w:color="auto"/>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Высшее образование</w:t>
            </w:r>
          </w:p>
        </w:tc>
        <w:tc>
          <w:tcPr>
            <w:tcW w:w="1202" w:type="dxa"/>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w:t>
            </w:r>
          </w:p>
        </w:tc>
        <w:tc>
          <w:tcPr>
            <w:tcW w:w="980" w:type="dxa"/>
            <w:gridSpan w:val="2"/>
            <w:tcBorders>
              <w:top w:val="nil"/>
              <w:left w:val="nil"/>
              <w:bottom w:val="single" w:sz="4" w:space="0" w:color="auto"/>
              <w:right w:val="single" w:sz="4" w:space="0" w:color="auto"/>
            </w:tcBorders>
            <w:shd w:val="clear" w:color="auto" w:fill="auto"/>
            <w:noWrap/>
            <w:vAlign w:val="bottom"/>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hAnsi="Arial Narrow"/>
                <w:color w:val="000000"/>
                <w:sz w:val="20"/>
                <w:szCs w:val="20"/>
              </w:rPr>
              <w:t>0,03</w:t>
            </w:r>
          </w:p>
        </w:tc>
        <w:tc>
          <w:tcPr>
            <w:tcW w:w="1704" w:type="dxa"/>
            <w:gridSpan w:val="2"/>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100,0%</w:t>
            </w:r>
          </w:p>
        </w:tc>
        <w:tc>
          <w:tcPr>
            <w:tcW w:w="1748" w:type="dxa"/>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100,0%</w:t>
            </w:r>
          </w:p>
        </w:tc>
      </w:tr>
      <w:tr w:rsidR="00796DD7" w:rsidRPr="00130274" w:rsidTr="00130274">
        <w:tc>
          <w:tcPr>
            <w:tcW w:w="3969" w:type="dxa"/>
            <w:tcBorders>
              <w:top w:val="nil"/>
              <w:left w:val="single" w:sz="4" w:space="0" w:color="auto"/>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Исполнение запросов (генеалогических, тематических, социально-правовых)</w:t>
            </w:r>
          </w:p>
        </w:tc>
        <w:tc>
          <w:tcPr>
            <w:tcW w:w="1202" w:type="dxa"/>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w:t>
            </w:r>
          </w:p>
        </w:tc>
        <w:tc>
          <w:tcPr>
            <w:tcW w:w="980" w:type="dxa"/>
            <w:gridSpan w:val="2"/>
            <w:tcBorders>
              <w:top w:val="nil"/>
              <w:left w:val="nil"/>
              <w:bottom w:val="single" w:sz="4" w:space="0" w:color="auto"/>
              <w:right w:val="single" w:sz="4" w:space="0" w:color="auto"/>
            </w:tcBorders>
            <w:shd w:val="clear" w:color="auto" w:fill="auto"/>
            <w:noWrap/>
            <w:vAlign w:val="bottom"/>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hAnsi="Arial Narrow"/>
                <w:color w:val="000000"/>
                <w:sz w:val="20"/>
                <w:szCs w:val="20"/>
              </w:rPr>
              <w:t>0,03</w:t>
            </w:r>
          </w:p>
        </w:tc>
        <w:tc>
          <w:tcPr>
            <w:tcW w:w="1704" w:type="dxa"/>
            <w:gridSpan w:val="2"/>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100,0%</w:t>
            </w:r>
          </w:p>
        </w:tc>
        <w:tc>
          <w:tcPr>
            <w:tcW w:w="1748" w:type="dxa"/>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100,0%</w:t>
            </w:r>
          </w:p>
        </w:tc>
      </w:tr>
      <w:tr w:rsidR="00796DD7" w:rsidRPr="00130274" w:rsidTr="00130274">
        <w:tc>
          <w:tcPr>
            <w:tcW w:w="3969" w:type="dxa"/>
            <w:tcBorders>
              <w:top w:val="nil"/>
              <w:left w:val="single" w:sz="4" w:space="0" w:color="auto"/>
              <w:bottom w:val="single" w:sz="4" w:space="0" w:color="auto"/>
              <w:right w:val="single" w:sz="4" w:space="0" w:color="auto"/>
            </w:tcBorders>
            <w:shd w:val="clear" w:color="auto" w:fill="auto"/>
            <w:noWrap/>
            <w:vAlign w:val="center"/>
            <w:hideMark/>
          </w:tcPr>
          <w:p w:rsidR="00796DD7" w:rsidRPr="00130274" w:rsidRDefault="00B13240" w:rsidP="00796DD7">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Ксерокопирование, сканирование документов по заявкам пользователей и сотрудников для подготовки информационных мероприятий</w:t>
            </w:r>
          </w:p>
        </w:tc>
        <w:tc>
          <w:tcPr>
            <w:tcW w:w="1202" w:type="dxa"/>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w:t>
            </w:r>
          </w:p>
        </w:tc>
        <w:tc>
          <w:tcPr>
            <w:tcW w:w="980" w:type="dxa"/>
            <w:gridSpan w:val="2"/>
            <w:tcBorders>
              <w:top w:val="nil"/>
              <w:left w:val="nil"/>
              <w:bottom w:val="single" w:sz="4" w:space="0" w:color="auto"/>
              <w:right w:val="single" w:sz="4" w:space="0" w:color="auto"/>
            </w:tcBorders>
            <w:shd w:val="clear" w:color="auto" w:fill="auto"/>
            <w:noWrap/>
            <w:vAlign w:val="bottom"/>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hAnsi="Arial Narrow"/>
                <w:color w:val="000000"/>
                <w:sz w:val="20"/>
                <w:szCs w:val="20"/>
              </w:rPr>
              <w:t>0,03</w:t>
            </w:r>
          </w:p>
        </w:tc>
        <w:tc>
          <w:tcPr>
            <w:tcW w:w="1704" w:type="dxa"/>
            <w:gridSpan w:val="2"/>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100,0%</w:t>
            </w:r>
          </w:p>
        </w:tc>
        <w:tc>
          <w:tcPr>
            <w:tcW w:w="1748" w:type="dxa"/>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100,0%</w:t>
            </w:r>
          </w:p>
        </w:tc>
      </w:tr>
      <w:tr w:rsidR="00796DD7" w:rsidRPr="00130274" w:rsidTr="00130274">
        <w:tc>
          <w:tcPr>
            <w:tcW w:w="3969" w:type="dxa"/>
            <w:tcBorders>
              <w:top w:val="nil"/>
              <w:left w:val="single" w:sz="4" w:space="0" w:color="auto"/>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Мониторинг пожарной опасности в лесах и лесных пожаров</w:t>
            </w:r>
          </w:p>
        </w:tc>
        <w:tc>
          <w:tcPr>
            <w:tcW w:w="1202" w:type="dxa"/>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w:t>
            </w:r>
          </w:p>
        </w:tc>
        <w:tc>
          <w:tcPr>
            <w:tcW w:w="980" w:type="dxa"/>
            <w:gridSpan w:val="2"/>
            <w:tcBorders>
              <w:top w:val="nil"/>
              <w:left w:val="nil"/>
              <w:bottom w:val="single" w:sz="4" w:space="0" w:color="auto"/>
              <w:right w:val="single" w:sz="4" w:space="0" w:color="auto"/>
            </w:tcBorders>
            <w:shd w:val="clear" w:color="auto" w:fill="auto"/>
            <w:noWrap/>
            <w:vAlign w:val="bottom"/>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hAnsi="Arial Narrow"/>
                <w:color w:val="000000"/>
                <w:sz w:val="20"/>
                <w:szCs w:val="20"/>
              </w:rPr>
              <w:t>0,03</w:t>
            </w:r>
          </w:p>
        </w:tc>
        <w:tc>
          <w:tcPr>
            <w:tcW w:w="1704" w:type="dxa"/>
            <w:gridSpan w:val="2"/>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100,0%</w:t>
            </w:r>
          </w:p>
        </w:tc>
        <w:tc>
          <w:tcPr>
            <w:tcW w:w="1748" w:type="dxa"/>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100,0%</w:t>
            </w:r>
          </w:p>
        </w:tc>
      </w:tr>
      <w:tr w:rsidR="00796DD7" w:rsidRPr="00130274" w:rsidTr="00130274">
        <w:tc>
          <w:tcPr>
            <w:tcW w:w="3969" w:type="dxa"/>
            <w:tcBorders>
              <w:top w:val="nil"/>
              <w:left w:val="single" w:sz="4" w:space="0" w:color="auto"/>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Обработка неметаллических отходов и лома, обработка отходов бумаги и картона, отходов и лома стекла, обработка отходов и лома пластмасс</w:t>
            </w:r>
          </w:p>
        </w:tc>
        <w:tc>
          <w:tcPr>
            <w:tcW w:w="1202" w:type="dxa"/>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w:t>
            </w:r>
          </w:p>
        </w:tc>
        <w:tc>
          <w:tcPr>
            <w:tcW w:w="980" w:type="dxa"/>
            <w:gridSpan w:val="2"/>
            <w:tcBorders>
              <w:top w:val="nil"/>
              <w:left w:val="nil"/>
              <w:bottom w:val="single" w:sz="4" w:space="0" w:color="auto"/>
              <w:right w:val="single" w:sz="4" w:space="0" w:color="auto"/>
            </w:tcBorders>
            <w:shd w:val="clear" w:color="auto" w:fill="auto"/>
            <w:noWrap/>
            <w:vAlign w:val="bottom"/>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hAnsi="Arial Narrow"/>
                <w:color w:val="000000"/>
                <w:sz w:val="20"/>
                <w:szCs w:val="20"/>
              </w:rPr>
              <w:t>0,03</w:t>
            </w:r>
          </w:p>
        </w:tc>
        <w:tc>
          <w:tcPr>
            <w:tcW w:w="1704" w:type="dxa"/>
            <w:gridSpan w:val="2"/>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100,0%</w:t>
            </w:r>
          </w:p>
        </w:tc>
        <w:tc>
          <w:tcPr>
            <w:tcW w:w="1748" w:type="dxa"/>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100,0%</w:t>
            </w:r>
          </w:p>
        </w:tc>
      </w:tr>
      <w:tr w:rsidR="00796DD7" w:rsidRPr="00130274" w:rsidTr="00130274">
        <w:tc>
          <w:tcPr>
            <w:tcW w:w="3969" w:type="dxa"/>
            <w:tcBorders>
              <w:top w:val="nil"/>
              <w:left w:val="single" w:sz="4" w:space="0" w:color="auto"/>
              <w:bottom w:val="single" w:sz="4" w:space="0" w:color="auto"/>
              <w:right w:val="single" w:sz="4" w:space="0" w:color="auto"/>
            </w:tcBorders>
            <w:shd w:val="clear" w:color="auto" w:fill="auto"/>
            <w:noWrap/>
            <w:vAlign w:val="center"/>
            <w:hideMark/>
          </w:tcPr>
          <w:p w:rsidR="00796DD7" w:rsidRPr="00130274" w:rsidRDefault="00B13240" w:rsidP="00796DD7">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Предоставление в аренду транспортных средств</w:t>
            </w:r>
          </w:p>
        </w:tc>
        <w:tc>
          <w:tcPr>
            <w:tcW w:w="1202" w:type="dxa"/>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w:t>
            </w:r>
          </w:p>
        </w:tc>
        <w:tc>
          <w:tcPr>
            <w:tcW w:w="980" w:type="dxa"/>
            <w:gridSpan w:val="2"/>
            <w:tcBorders>
              <w:top w:val="nil"/>
              <w:left w:val="nil"/>
              <w:bottom w:val="single" w:sz="4" w:space="0" w:color="auto"/>
              <w:right w:val="single" w:sz="4" w:space="0" w:color="auto"/>
            </w:tcBorders>
            <w:shd w:val="clear" w:color="auto" w:fill="auto"/>
            <w:noWrap/>
            <w:vAlign w:val="bottom"/>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hAnsi="Arial Narrow"/>
                <w:color w:val="000000"/>
                <w:sz w:val="20"/>
                <w:szCs w:val="20"/>
              </w:rPr>
              <w:t>0,03</w:t>
            </w:r>
          </w:p>
        </w:tc>
        <w:tc>
          <w:tcPr>
            <w:tcW w:w="1704" w:type="dxa"/>
            <w:gridSpan w:val="2"/>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100,0%</w:t>
            </w:r>
          </w:p>
        </w:tc>
        <w:tc>
          <w:tcPr>
            <w:tcW w:w="1748" w:type="dxa"/>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100,0%</w:t>
            </w:r>
          </w:p>
        </w:tc>
      </w:tr>
      <w:tr w:rsidR="00796DD7" w:rsidRPr="00130274" w:rsidTr="00130274">
        <w:tc>
          <w:tcPr>
            <w:tcW w:w="3969" w:type="dxa"/>
            <w:tcBorders>
              <w:top w:val="nil"/>
              <w:left w:val="single" w:sz="4" w:space="0" w:color="auto"/>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Проведение обследования состояния делопроизводства и ведомственного хранения документов, упорядочение документов организаций</w:t>
            </w:r>
          </w:p>
        </w:tc>
        <w:tc>
          <w:tcPr>
            <w:tcW w:w="1202" w:type="dxa"/>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w:t>
            </w:r>
          </w:p>
        </w:tc>
        <w:tc>
          <w:tcPr>
            <w:tcW w:w="980" w:type="dxa"/>
            <w:gridSpan w:val="2"/>
            <w:tcBorders>
              <w:top w:val="nil"/>
              <w:left w:val="nil"/>
              <w:bottom w:val="single" w:sz="4" w:space="0" w:color="auto"/>
              <w:right w:val="single" w:sz="4" w:space="0" w:color="auto"/>
            </w:tcBorders>
            <w:shd w:val="clear" w:color="auto" w:fill="auto"/>
            <w:noWrap/>
            <w:vAlign w:val="bottom"/>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hAnsi="Arial Narrow"/>
                <w:color w:val="000000"/>
                <w:sz w:val="20"/>
                <w:szCs w:val="20"/>
              </w:rPr>
              <w:t>0,03</w:t>
            </w:r>
          </w:p>
        </w:tc>
        <w:tc>
          <w:tcPr>
            <w:tcW w:w="1704" w:type="dxa"/>
            <w:gridSpan w:val="2"/>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100,0%</w:t>
            </w:r>
          </w:p>
        </w:tc>
        <w:tc>
          <w:tcPr>
            <w:tcW w:w="1748" w:type="dxa"/>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100,0%</w:t>
            </w:r>
          </w:p>
        </w:tc>
      </w:tr>
      <w:tr w:rsidR="00796DD7" w:rsidRPr="00130274" w:rsidTr="00130274">
        <w:tc>
          <w:tcPr>
            <w:tcW w:w="3969" w:type="dxa"/>
            <w:tcBorders>
              <w:top w:val="nil"/>
              <w:left w:val="single" w:sz="4" w:space="0" w:color="auto"/>
              <w:bottom w:val="single" w:sz="4" w:space="0" w:color="auto"/>
              <w:right w:val="single" w:sz="4" w:space="0" w:color="auto"/>
            </w:tcBorders>
            <w:shd w:val="clear" w:color="auto" w:fill="auto"/>
            <w:noWrap/>
            <w:vAlign w:val="center"/>
            <w:hideMark/>
          </w:tcPr>
          <w:p w:rsidR="00796DD7" w:rsidRPr="00130274" w:rsidRDefault="00B13240" w:rsidP="00796DD7">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Проведение экспертизы ценности с организациями и описание документов</w:t>
            </w:r>
          </w:p>
        </w:tc>
        <w:tc>
          <w:tcPr>
            <w:tcW w:w="1202" w:type="dxa"/>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w:t>
            </w:r>
          </w:p>
        </w:tc>
        <w:tc>
          <w:tcPr>
            <w:tcW w:w="980" w:type="dxa"/>
            <w:gridSpan w:val="2"/>
            <w:tcBorders>
              <w:top w:val="nil"/>
              <w:left w:val="nil"/>
              <w:bottom w:val="single" w:sz="4" w:space="0" w:color="auto"/>
              <w:right w:val="single" w:sz="4" w:space="0" w:color="auto"/>
            </w:tcBorders>
            <w:shd w:val="clear" w:color="auto" w:fill="auto"/>
            <w:noWrap/>
            <w:vAlign w:val="bottom"/>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hAnsi="Arial Narrow"/>
                <w:color w:val="000000"/>
                <w:sz w:val="20"/>
                <w:szCs w:val="20"/>
              </w:rPr>
              <w:t>0,03</w:t>
            </w:r>
          </w:p>
        </w:tc>
        <w:tc>
          <w:tcPr>
            <w:tcW w:w="1704" w:type="dxa"/>
            <w:gridSpan w:val="2"/>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100,0%</w:t>
            </w:r>
          </w:p>
        </w:tc>
        <w:tc>
          <w:tcPr>
            <w:tcW w:w="1748" w:type="dxa"/>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100,0%</w:t>
            </w:r>
          </w:p>
        </w:tc>
      </w:tr>
      <w:tr w:rsidR="00796DD7" w:rsidRPr="00130274" w:rsidTr="00130274">
        <w:tc>
          <w:tcPr>
            <w:tcW w:w="3969" w:type="dxa"/>
            <w:tcBorders>
              <w:top w:val="nil"/>
              <w:left w:val="single" w:sz="4" w:space="0" w:color="auto"/>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Распределение газообразного топлива</w:t>
            </w:r>
          </w:p>
        </w:tc>
        <w:tc>
          <w:tcPr>
            <w:tcW w:w="1202" w:type="dxa"/>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w:t>
            </w:r>
          </w:p>
        </w:tc>
        <w:tc>
          <w:tcPr>
            <w:tcW w:w="980" w:type="dxa"/>
            <w:gridSpan w:val="2"/>
            <w:tcBorders>
              <w:top w:val="nil"/>
              <w:left w:val="nil"/>
              <w:bottom w:val="single" w:sz="4" w:space="0" w:color="auto"/>
              <w:right w:val="single" w:sz="4" w:space="0" w:color="auto"/>
            </w:tcBorders>
            <w:shd w:val="clear" w:color="auto" w:fill="auto"/>
            <w:noWrap/>
            <w:vAlign w:val="bottom"/>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hAnsi="Arial Narrow"/>
                <w:color w:val="000000"/>
                <w:sz w:val="20"/>
                <w:szCs w:val="20"/>
              </w:rPr>
              <w:t>0,03</w:t>
            </w:r>
          </w:p>
        </w:tc>
        <w:tc>
          <w:tcPr>
            <w:tcW w:w="1704" w:type="dxa"/>
            <w:gridSpan w:val="2"/>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100,0%</w:t>
            </w:r>
          </w:p>
        </w:tc>
        <w:tc>
          <w:tcPr>
            <w:tcW w:w="1748" w:type="dxa"/>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100,0%</w:t>
            </w:r>
          </w:p>
        </w:tc>
      </w:tr>
      <w:tr w:rsidR="00796DD7" w:rsidRPr="00130274" w:rsidTr="00130274">
        <w:tc>
          <w:tcPr>
            <w:tcW w:w="3969" w:type="dxa"/>
            <w:tcBorders>
              <w:top w:val="nil"/>
              <w:left w:val="single" w:sz="4" w:space="0" w:color="auto"/>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Рынок ипотечного кредитования</w:t>
            </w:r>
          </w:p>
        </w:tc>
        <w:tc>
          <w:tcPr>
            <w:tcW w:w="1202" w:type="dxa"/>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w:t>
            </w:r>
          </w:p>
        </w:tc>
        <w:tc>
          <w:tcPr>
            <w:tcW w:w="980" w:type="dxa"/>
            <w:gridSpan w:val="2"/>
            <w:tcBorders>
              <w:top w:val="nil"/>
              <w:left w:val="nil"/>
              <w:bottom w:val="single" w:sz="4" w:space="0" w:color="auto"/>
              <w:right w:val="single" w:sz="4" w:space="0" w:color="auto"/>
            </w:tcBorders>
            <w:shd w:val="clear" w:color="auto" w:fill="auto"/>
            <w:noWrap/>
            <w:vAlign w:val="bottom"/>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hAnsi="Arial Narrow"/>
                <w:color w:val="000000"/>
                <w:sz w:val="20"/>
                <w:szCs w:val="20"/>
              </w:rPr>
              <w:t>0,03</w:t>
            </w:r>
          </w:p>
        </w:tc>
        <w:tc>
          <w:tcPr>
            <w:tcW w:w="1704" w:type="dxa"/>
            <w:gridSpan w:val="2"/>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100,0%</w:t>
            </w:r>
          </w:p>
        </w:tc>
        <w:tc>
          <w:tcPr>
            <w:tcW w:w="1748" w:type="dxa"/>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100,0%</w:t>
            </w:r>
          </w:p>
        </w:tc>
      </w:tr>
      <w:tr w:rsidR="00796DD7" w:rsidRPr="00130274" w:rsidTr="00130274">
        <w:tc>
          <w:tcPr>
            <w:tcW w:w="3969" w:type="dxa"/>
            <w:tcBorders>
              <w:top w:val="nil"/>
              <w:left w:val="single" w:sz="4" w:space="0" w:color="auto"/>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Услуги по содействию росту регионального высокотехнологичного бизнеса</w:t>
            </w:r>
          </w:p>
        </w:tc>
        <w:tc>
          <w:tcPr>
            <w:tcW w:w="1202" w:type="dxa"/>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w:t>
            </w:r>
          </w:p>
        </w:tc>
        <w:tc>
          <w:tcPr>
            <w:tcW w:w="980" w:type="dxa"/>
            <w:gridSpan w:val="2"/>
            <w:tcBorders>
              <w:top w:val="nil"/>
              <w:left w:val="nil"/>
              <w:bottom w:val="single" w:sz="4" w:space="0" w:color="auto"/>
              <w:right w:val="single" w:sz="4" w:space="0" w:color="auto"/>
            </w:tcBorders>
            <w:shd w:val="clear" w:color="auto" w:fill="auto"/>
            <w:noWrap/>
            <w:vAlign w:val="bottom"/>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hAnsi="Arial Narrow"/>
                <w:color w:val="000000"/>
                <w:sz w:val="20"/>
                <w:szCs w:val="20"/>
              </w:rPr>
              <w:t>0,03</w:t>
            </w:r>
          </w:p>
        </w:tc>
        <w:tc>
          <w:tcPr>
            <w:tcW w:w="1704" w:type="dxa"/>
            <w:gridSpan w:val="2"/>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100,0%</w:t>
            </w:r>
          </w:p>
        </w:tc>
        <w:tc>
          <w:tcPr>
            <w:tcW w:w="1748" w:type="dxa"/>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100,0%</w:t>
            </w:r>
          </w:p>
        </w:tc>
      </w:tr>
      <w:tr w:rsidR="00796DD7" w:rsidRPr="00796DD7" w:rsidTr="00130274">
        <w:tc>
          <w:tcPr>
            <w:tcW w:w="3969" w:type="dxa"/>
            <w:tcBorders>
              <w:top w:val="nil"/>
              <w:left w:val="single" w:sz="4" w:space="0" w:color="auto"/>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Эксплуатация гаражей, стоянок для автотранспортных средств, велосипедов и т. д.</w:t>
            </w:r>
          </w:p>
        </w:tc>
        <w:tc>
          <w:tcPr>
            <w:tcW w:w="1202" w:type="dxa"/>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w:t>
            </w:r>
          </w:p>
        </w:tc>
        <w:tc>
          <w:tcPr>
            <w:tcW w:w="980" w:type="dxa"/>
            <w:gridSpan w:val="2"/>
            <w:tcBorders>
              <w:top w:val="nil"/>
              <w:left w:val="nil"/>
              <w:bottom w:val="single" w:sz="4" w:space="0" w:color="auto"/>
              <w:right w:val="single" w:sz="4" w:space="0" w:color="auto"/>
            </w:tcBorders>
            <w:shd w:val="clear" w:color="auto" w:fill="auto"/>
            <w:noWrap/>
            <w:vAlign w:val="bottom"/>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hAnsi="Arial Narrow"/>
                <w:color w:val="000000"/>
                <w:sz w:val="20"/>
                <w:szCs w:val="20"/>
              </w:rPr>
              <w:t>0,03</w:t>
            </w:r>
          </w:p>
        </w:tc>
        <w:tc>
          <w:tcPr>
            <w:tcW w:w="1704" w:type="dxa"/>
            <w:gridSpan w:val="2"/>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100,0%</w:t>
            </w:r>
          </w:p>
        </w:tc>
        <w:tc>
          <w:tcPr>
            <w:tcW w:w="1748" w:type="dxa"/>
            <w:tcBorders>
              <w:top w:val="nil"/>
              <w:left w:val="nil"/>
              <w:bottom w:val="single" w:sz="4" w:space="0" w:color="auto"/>
              <w:right w:val="single" w:sz="4" w:space="0" w:color="auto"/>
            </w:tcBorders>
            <w:shd w:val="clear" w:color="auto" w:fill="auto"/>
            <w:vAlign w:val="center"/>
            <w:hideMark/>
          </w:tcPr>
          <w:p w:rsidR="00796DD7" w:rsidRPr="00130274" w:rsidRDefault="00B13240" w:rsidP="00796DD7">
            <w:pPr>
              <w:spacing w:after="0" w:line="240" w:lineRule="auto"/>
              <w:jc w:val="center"/>
              <w:rPr>
                <w:rFonts w:ascii="Arial Narrow" w:eastAsia="Times New Roman" w:hAnsi="Arial Narrow" w:cs="Times New Roman"/>
                <w:sz w:val="20"/>
                <w:szCs w:val="20"/>
                <w:lang w:eastAsia="ru-RU"/>
              </w:rPr>
            </w:pPr>
            <w:r w:rsidRPr="00B13240">
              <w:rPr>
                <w:rFonts w:ascii="Arial Narrow" w:eastAsia="Times New Roman" w:hAnsi="Arial Narrow" w:cs="Times New Roman"/>
                <w:sz w:val="20"/>
                <w:szCs w:val="20"/>
                <w:lang w:eastAsia="ru-RU"/>
              </w:rPr>
              <w:t>100,0%</w:t>
            </w:r>
          </w:p>
        </w:tc>
      </w:tr>
    </w:tbl>
    <w:p w:rsidR="00B42143" w:rsidRDefault="00B42143" w:rsidP="00262F71">
      <w:pPr>
        <w:pStyle w:val="1"/>
        <w:jc w:val="both"/>
        <w:rPr>
          <w:rFonts w:ascii="Arial Narrow" w:hAnsi="Arial Narrow"/>
        </w:rPr>
      </w:pPr>
    </w:p>
    <w:p w:rsidR="00B42143" w:rsidRDefault="00B42143">
      <w:pPr>
        <w:rPr>
          <w:rFonts w:ascii="Arial Narrow" w:eastAsia="Times New Roman" w:hAnsi="Arial Narrow" w:cs="Times New Roman"/>
          <w:b/>
          <w:bCs/>
          <w:color w:val="000000"/>
          <w:sz w:val="32"/>
          <w:szCs w:val="32"/>
          <w:lang w:eastAsia="ru-RU"/>
        </w:rPr>
      </w:pPr>
      <w:r>
        <w:rPr>
          <w:rFonts w:ascii="Arial Narrow" w:hAnsi="Arial Narrow"/>
        </w:rPr>
        <w:br w:type="page"/>
      </w:r>
    </w:p>
    <w:p w:rsidR="00A64028" w:rsidRPr="0030560B" w:rsidRDefault="00A64028" w:rsidP="00262F71">
      <w:pPr>
        <w:pStyle w:val="1"/>
        <w:jc w:val="both"/>
        <w:rPr>
          <w:rFonts w:ascii="Arial Narrow" w:hAnsi="Arial Narrow"/>
        </w:rPr>
      </w:pPr>
      <w:r>
        <w:rPr>
          <w:rFonts w:ascii="Arial Narrow" w:hAnsi="Arial Narrow"/>
        </w:rPr>
        <w:lastRenderedPageBreak/>
        <w:t xml:space="preserve">7. </w:t>
      </w:r>
      <w:r w:rsidRPr="0030560B">
        <w:rPr>
          <w:rFonts w:ascii="Arial Narrow" w:hAnsi="Arial Narrow"/>
        </w:rPr>
        <w:t>Описание проблем, препятствующих нормальному оказанию услуг, выполнению работ, предоставлению товаров среди</w:t>
      </w:r>
      <w:r w:rsidRPr="0030560B">
        <w:rPr>
          <w:rFonts w:ascii="Arial Narrow" w:hAnsi="Arial Narrow"/>
          <w:i/>
        </w:rPr>
        <w:t xml:space="preserve"> </w:t>
      </w:r>
      <w:r w:rsidRPr="0030560B">
        <w:rPr>
          <w:rFonts w:ascii="Arial Narrow" w:hAnsi="Arial Narrow"/>
        </w:rPr>
        <w:t>субъектов предпринимательской деятельности и потребителей</w:t>
      </w:r>
      <w:bookmarkEnd w:id="113"/>
      <w:bookmarkEnd w:id="114"/>
    </w:p>
    <w:p w:rsidR="00A64028" w:rsidRPr="007417BA" w:rsidRDefault="00A64028" w:rsidP="00103148">
      <w:pPr>
        <w:pStyle w:val="a5"/>
        <w:spacing w:line="360" w:lineRule="auto"/>
        <w:ind w:firstLine="567"/>
        <w:jc w:val="both"/>
        <w:rPr>
          <w:rFonts w:ascii="Arial Narrow" w:hAnsi="Arial Narrow"/>
          <w:sz w:val="12"/>
          <w:szCs w:val="12"/>
        </w:rPr>
      </w:pPr>
    </w:p>
    <w:p w:rsidR="00A64028" w:rsidRPr="00130274" w:rsidRDefault="00B13240" w:rsidP="00F170CC">
      <w:pPr>
        <w:tabs>
          <w:tab w:val="left" w:pos="426"/>
          <w:tab w:val="left" w:pos="709"/>
        </w:tabs>
        <w:suppressAutoHyphens/>
        <w:spacing w:after="0" w:line="360" w:lineRule="auto"/>
        <w:ind w:firstLine="284"/>
        <w:jc w:val="both"/>
        <w:rPr>
          <w:rFonts w:ascii="Arial Narrow" w:hAnsi="Arial Narrow"/>
          <w:sz w:val="23"/>
          <w:szCs w:val="23"/>
          <w:u w:val="single"/>
        </w:rPr>
      </w:pPr>
      <w:r w:rsidRPr="00B13240">
        <w:rPr>
          <w:rFonts w:ascii="Arial Narrow" w:hAnsi="Arial Narrow"/>
          <w:sz w:val="23"/>
          <w:szCs w:val="23"/>
          <w:u w:val="single"/>
        </w:rPr>
        <w:t>По результатам опроса субъектов предпринимательства выделены основные проблемы, препятствующие развитию конкуренции на территории Новосибирской области:</w:t>
      </w:r>
    </w:p>
    <w:p w:rsidR="00A64028" w:rsidRPr="00130274" w:rsidRDefault="00B13240" w:rsidP="00F170CC">
      <w:pPr>
        <w:numPr>
          <w:ilvl w:val="0"/>
          <w:numId w:val="2"/>
        </w:numPr>
        <w:tabs>
          <w:tab w:val="left" w:pos="709"/>
        </w:tabs>
        <w:autoSpaceDN w:val="0"/>
        <w:spacing w:after="0" w:line="360" w:lineRule="auto"/>
        <w:ind w:left="0" w:firstLine="284"/>
        <w:contextualSpacing/>
        <w:jc w:val="both"/>
        <w:rPr>
          <w:rFonts w:ascii="Arial Narrow" w:eastAsia="Calibri" w:hAnsi="Arial Narrow"/>
          <w:bCs/>
          <w:sz w:val="23"/>
          <w:szCs w:val="23"/>
        </w:rPr>
      </w:pPr>
      <w:r w:rsidRPr="00B13240">
        <w:rPr>
          <w:rFonts w:ascii="Arial Narrow" w:eastAsia="Calibri" w:hAnsi="Arial Narrow"/>
          <w:bCs/>
          <w:sz w:val="23"/>
          <w:szCs w:val="23"/>
        </w:rPr>
        <w:t>Значительная доля неудовлетворительных оценок условий ведения предпринимательской деятельности в Новосибирской области (25 %).</w:t>
      </w:r>
    </w:p>
    <w:p w:rsidR="00A64028" w:rsidRPr="00130274" w:rsidRDefault="00B13240" w:rsidP="00F170CC">
      <w:pPr>
        <w:numPr>
          <w:ilvl w:val="0"/>
          <w:numId w:val="2"/>
        </w:numPr>
        <w:tabs>
          <w:tab w:val="left" w:pos="709"/>
        </w:tabs>
        <w:autoSpaceDN w:val="0"/>
        <w:spacing w:after="0" w:line="360" w:lineRule="auto"/>
        <w:ind w:left="0" w:firstLine="284"/>
        <w:contextualSpacing/>
        <w:jc w:val="both"/>
        <w:rPr>
          <w:rFonts w:ascii="Arial Narrow" w:eastAsia="Calibri" w:hAnsi="Arial Narrow"/>
          <w:bCs/>
          <w:sz w:val="23"/>
          <w:szCs w:val="23"/>
        </w:rPr>
      </w:pPr>
      <w:r w:rsidRPr="00B13240">
        <w:rPr>
          <w:rFonts w:ascii="Arial Narrow" w:eastAsia="Calibri" w:hAnsi="Arial Narrow"/>
          <w:bCs/>
          <w:sz w:val="23"/>
          <w:szCs w:val="23"/>
        </w:rPr>
        <w:t>Почти три четверти представителей бизнеса (73 %) считают сложным начать новый бизнес в Новосибирской области.</w:t>
      </w:r>
    </w:p>
    <w:p w:rsidR="00A64028" w:rsidRPr="00130274" w:rsidRDefault="00B13240" w:rsidP="00F170CC">
      <w:pPr>
        <w:numPr>
          <w:ilvl w:val="0"/>
          <w:numId w:val="2"/>
        </w:numPr>
        <w:tabs>
          <w:tab w:val="left" w:pos="709"/>
        </w:tabs>
        <w:autoSpaceDN w:val="0"/>
        <w:spacing w:after="0" w:line="360" w:lineRule="auto"/>
        <w:ind w:left="0" w:firstLine="284"/>
        <w:contextualSpacing/>
        <w:jc w:val="both"/>
        <w:rPr>
          <w:rFonts w:ascii="Arial Narrow" w:eastAsia="Calibri" w:hAnsi="Arial Narrow"/>
          <w:bCs/>
          <w:sz w:val="23"/>
          <w:szCs w:val="23"/>
        </w:rPr>
      </w:pPr>
      <w:r w:rsidRPr="00B13240">
        <w:rPr>
          <w:rFonts w:ascii="Arial Narrow" w:eastAsia="Calibri" w:hAnsi="Arial Narrow"/>
          <w:bCs/>
          <w:sz w:val="23"/>
          <w:szCs w:val="23"/>
        </w:rPr>
        <w:t xml:space="preserve">Не удалось реализовать свои планы по выходу на новый рынок трети предпринимателей, при этом у остальной части получилось реализовать свои планы лишь частично. Зафиксированы трудности выхода на новые рынки. </w:t>
      </w:r>
    </w:p>
    <w:p w:rsidR="00A64028" w:rsidRPr="00130274" w:rsidRDefault="00B13240" w:rsidP="00F170CC">
      <w:pPr>
        <w:numPr>
          <w:ilvl w:val="0"/>
          <w:numId w:val="2"/>
        </w:numPr>
        <w:tabs>
          <w:tab w:val="left" w:pos="709"/>
        </w:tabs>
        <w:autoSpaceDN w:val="0"/>
        <w:spacing w:after="0" w:line="360" w:lineRule="auto"/>
        <w:ind w:left="0" w:firstLine="284"/>
        <w:contextualSpacing/>
        <w:jc w:val="both"/>
        <w:rPr>
          <w:rFonts w:ascii="Arial Narrow" w:eastAsia="Calibri" w:hAnsi="Arial Narrow"/>
          <w:bCs/>
          <w:sz w:val="23"/>
          <w:szCs w:val="23"/>
        </w:rPr>
      </w:pPr>
      <w:r w:rsidRPr="00B13240">
        <w:rPr>
          <w:rFonts w:ascii="Arial Narrow" w:eastAsia="Calibri" w:hAnsi="Arial Narrow"/>
          <w:bCs/>
          <w:sz w:val="23"/>
          <w:szCs w:val="23"/>
        </w:rPr>
        <w:t>Наиболее существенные препятствия при входе на рынок: 1) высокие начальные издержки, 2) насыщенность новых рынков сбыта, 3) консерватизм рынка: жесткое противодействие традиционных участников рынка, привязанность поставщиков и  потребителей к традиционным участникам рынка, их поддержка местными властями.</w:t>
      </w:r>
    </w:p>
    <w:p w:rsidR="00A64028" w:rsidRPr="00130274" w:rsidRDefault="00B13240" w:rsidP="00F170CC">
      <w:pPr>
        <w:numPr>
          <w:ilvl w:val="0"/>
          <w:numId w:val="2"/>
        </w:numPr>
        <w:tabs>
          <w:tab w:val="left" w:pos="709"/>
        </w:tabs>
        <w:autoSpaceDN w:val="0"/>
        <w:spacing w:after="0" w:line="360" w:lineRule="auto"/>
        <w:ind w:left="0" w:firstLine="284"/>
        <w:contextualSpacing/>
        <w:jc w:val="both"/>
        <w:rPr>
          <w:rFonts w:ascii="Arial Narrow" w:eastAsia="Calibri" w:hAnsi="Arial Narrow"/>
          <w:bCs/>
          <w:sz w:val="23"/>
          <w:szCs w:val="23"/>
        </w:rPr>
      </w:pPr>
      <w:r w:rsidRPr="00B13240">
        <w:rPr>
          <w:rFonts w:ascii="Arial Narrow" w:eastAsia="Calibri" w:hAnsi="Arial Narrow"/>
          <w:bCs/>
          <w:sz w:val="23"/>
          <w:szCs w:val="23"/>
        </w:rPr>
        <w:t xml:space="preserve">Около четверти опрошенных не предпринимали за 3 года никаких мер по повышению конкурентоспособности своих компаний. </w:t>
      </w:r>
    </w:p>
    <w:p w:rsidR="00A64028" w:rsidRPr="00130274" w:rsidRDefault="00B13240" w:rsidP="00F170CC">
      <w:pPr>
        <w:numPr>
          <w:ilvl w:val="0"/>
          <w:numId w:val="2"/>
        </w:numPr>
        <w:tabs>
          <w:tab w:val="left" w:pos="709"/>
        </w:tabs>
        <w:autoSpaceDN w:val="0"/>
        <w:spacing w:after="0" w:line="360" w:lineRule="auto"/>
        <w:ind w:left="0" w:firstLine="284"/>
        <w:contextualSpacing/>
        <w:jc w:val="both"/>
        <w:rPr>
          <w:rFonts w:ascii="Arial Narrow" w:eastAsia="Calibri" w:hAnsi="Arial Narrow"/>
          <w:bCs/>
          <w:sz w:val="23"/>
          <w:szCs w:val="23"/>
        </w:rPr>
      </w:pPr>
      <w:r w:rsidRPr="00B13240">
        <w:rPr>
          <w:rFonts w:ascii="Arial Narrow" w:eastAsia="Calibri" w:hAnsi="Arial Narrow"/>
          <w:bCs/>
          <w:sz w:val="23"/>
          <w:szCs w:val="23"/>
        </w:rPr>
        <w:t xml:space="preserve">Отсутствие равных возможностей на рынке отмечают немногим более трети представителей бизнеса (37 %), при этом большинство предпринимателей отмечают высокий уровень конкуренции на рынке в Новосибирской области и повышение ее уровня в последние годы. </w:t>
      </w:r>
    </w:p>
    <w:p w:rsidR="00A64028" w:rsidRPr="00130274" w:rsidRDefault="00B13240" w:rsidP="00F170CC">
      <w:pPr>
        <w:numPr>
          <w:ilvl w:val="0"/>
          <w:numId w:val="2"/>
        </w:numPr>
        <w:tabs>
          <w:tab w:val="left" w:pos="709"/>
        </w:tabs>
        <w:autoSpaceDN w:val="0"/>
        <w:spacing w:after="0" w:line="360" w:lineRule="auto"/>
        <w:ind w:left="0" w:firstLine="284"/>
        <w:contextualSpacing/>
        <w:jc w:val="both"/>
        <w:rPr>
          <w:rFonts w:ascii="Arial Narrow" w:eastAsia="Calibri" w:hAnsi="Arial Narrow"/>
          <w:bCs/>
          <w:sz w:val="23"/>
          <w:szCs w:val="23"/>
        </w:rPr>
      </w:pPr>
      <w:r w:rsidRPr="00B13240">
        <w:rPr>
          <w:rFonts w:ascii="Arial Narrow" w:eastAsia="Calibri" w:hAnsi="Arial Narrow"/>
          <w:bCs/>
          <w:sz w:val="23"/>
          <w:szCs w:val="23"/>
        </w:rPr>
        <w:t>Самая слабая конкуренция – на рынке услуг психолого-педагогического сопровождения детей с ограниченными возможностями и услуг социального обслуживания населения. Ослабление конкуренции за последний год чаще всего отмечали представители сферы услуг дошкольного образования, услуг в сфере культуры, услуг ЖКХ.</w:t>
      </w:r>
    </w:p>
    <w:p w:rsidR="00A64028" w:rsidRPr="00130274" w:rsidRDefault="00B13240" w:rsidP="00F170CC">
      <w:pPr>
        <w:numPr>
          <w:ilvl w:val="0"/>
          <w:numId w:val="2"/>
        </w:numPr>
        <w:tabs>
          <w:tab w:val="left" w:pos="709"/>
        </w:tabs>
        <w:autoSpaceDN w:val="0"/>
        <w:spacing w:after="0" w:line="360" w:lineRule="auto"/>
        <w:ind w:left="0" w:firstLine="284"/>
        <w:contextualSpacing/>
        <w:jc w:val="both"/>
        <w:rPr>
          <w:rFonts w:ascii="Arial Narrow" w:eastAsia="Calibri" w:hAnsi="Arial Narrow"/>
          <w:bCs/>
          <w:sz w:val="23"/>
          <w:szCs w:val="23"/>
        </w:rPr>
      </w:pPr>
      <w:r w:rsidRPr="00B13240">
        <w:rPr>
          <w:rFonts w:ascii="Arial Narrow" w:eastAsia="Calibri" w:hAnsi="Arial Narrow"/>
          <w:bCs/>
          <w:sz w:val="23"/>
          <w:szCs w:val="23"/>
        </w:rPr>
        <w:t xml:space="preserve">Примерно половина опрошенных предпринимателей отмечает факты ценового демпинга на своем рынке, как в 2015, так и в 2016 году. </w:t>
      </w:r>
    </w:p>
    <w:p w:rsidR="00A64028" w:rsidRPr="00130274" w:rsidRDefault="00B13240" w:rsidP="00F170CC">
      <w:pPr>
        <w:numPr>
          <w:ilvl w:val="0"/>
          <w:numId w:val="2"/>
        </w:numPr>
        <w:tabs>
          <w:tab w:val="left" w:pos="709"/>
        </w:tabs>
        <w:autoSpaceDN w:val="0"/>
        <w:spacing w:after="0" w:line="360" w:lineRule="auto"/>
        <w:ind w:left="0" w:firstLine="284"/>
        <w:contextualSpacing/>
        <w:jc w:val="both"/>
        <w:rPr>
          <w:rFonts w:ascii="Arial Narrow" w:eastAsia="Calibri" w:hAnsi="Arial Narrow"/>
          <w:bCs/>
          <w:sz w:val="23"/>
          <w:szCs w:val="23"/>
        </w:rPr>
      </w:pPr>
      <w:r w:rsidRPr="00B13240">
        <w:rPr>
          <w:rFonts w:ascii="Arial Narrow" w:eastAsia="Calibri" w:hAnsi="Arial Narrow"/>
          <w:bCs/>
          <w:sz w:val="23"/>
          <w:szCs w:val="23"/>
        </w:rPr>
        <w:t xml:space="preserve">11% представителей бизнеса считают, что органы власти помогают бизнесу. В целом, степень влияния органов власти на конкурентную среду Новосибирской области оценивается низко. </w:t>
      </w:r>
    </w:p>
    <w:p w:rsidR="00A64028" w:rsidRPr="00130274" w:rsidRDefault="00B13240" w:rsidP="00F170CC">
      <w:pPr>
        <w:numPr>
          <w:ilvl w:val="0"/>
          <w:numId w:val="2"/>
        </w:numPr>
        <w:tabs>
          <w:tab w:val="left" w:pos="709"/>
        </w:tabs>
        <w:autoSpaceDN w:val="0"/>
        <w:spacing w:after="0" w:line="360" w:lineRule="auto"/>
        <w:ind w:left="0" w:firstLine="284"/>
        <w:contextualSpacing/>
        <w:jc w:val="both"/>
        <w:rPr>
          <w:rFonts w:ascii="Arial Narrow" w:eastAsia="Calibri" w:hAnsi="Arial Narrow"/>
          <w:bCs/>
          <w:sz w:val="23"/>
          <w:szCs w:val="23"/>
        </w:rPr>
      </w:pPr>
      <w:r w:rsidRPr="00B13240">
        <w:rPr>
          <w:rFonts w:ascii="Arial Narrow" w:eastAsia="Calibri" w:hAnsi="Arial Narrow"/>
          <w:bCs/>
          <w:sz w:val="23"/>
          <w:szCs w:val="23"/>
        </w:rPr>
        <w:t>42% представителей бизнеса отмечают наличие административных барьеров на рынке, в т.ч. каждый десятый отмечает наличие непреодолимых административных барьеров.</w:t>
      </w:r>
    </w:p>
    <w:p w:rsidR="00130274" w:rsidRDefault="00B13240" w:rsidP="00F170CC">
      <w:pPr>
        <w:numPr>
          <w:ilvl w:val="0"/>
          <w:numId w:val="2"/>
        </w:numPr>
        <w:tabs>
          <w:tab w:val="left" w:pos="709"/>
        </w:tabs>
        <w:spacing w:after="0" w:line="360" w:lineRule="auto"/>
        <w:ind w:left="0" w:firstLine="284"/>
        <w:contextualSpacing/>
        <w:jc w:val="both"/>
        <w:rPr>
          <w:rFonts w:ascii="Arial Narrow" w:eastAsia="Calibri" w:hAnsi="Arial Narrow"/>
          <w:bCs/>
          <w:sz w:val="23"/>
          <w:szCs w:val="23"/>
        </w:rPr>
      </w:pPr>
      <w:r w:rsidRPr="00B13240">
        <w:rPr>
          <w:rFonts w:ascii="Arial Narrow" w:eastAsia="Calibri" w:hAnsi="Arial Narrow"/>
          <w:bCs/>
          <w:sz w:val="23"/>
          <w:szCs w:val="23"/>
        </w:rPr>
        <w:t xml:space="preserve">Наиболее существенные административные барьеры: 1) нестабильность законодательства, регулирующего предпринимательскую деятельность (25 %), 2) сложность, затянутость процедуры получения лицензий, средств государственной поддержки, разрешений, согласований (19 %). Эти барьеры напрямую связаны с деятельностью органов власти. </w:t>
      </w:r>
      <w:bookmarkStart w:id="116" w:name="_Toc469663948"/>
    </w:p>
    <w:p w:rsidR="00130274" w:rsidRDefault="00130274">
      <w:pPr>
        <w:rPr>
          <w:rFonts w:ascii="Arial Narrow" w:eastAsia="Calibri" w:hAnsi="Arial Narrow"/>
          <w:bCs/>
          <w:sz w:val="23"/>
          <w:szCs w:val="23"/>
        </w:rPr>
      </w:pPr>
      <w:r>
        <w:rPr>
          <w:rFonts w:ascii="Arial Narrow" w:eastAsia="Calibri" w:hAnsi="Arial Narrow"/>
          <w:bCs/>
          <w:sz w:val="23"/>
          <w:szCs w:val="23"/>
        </w:rPr>
        <w:br w:type="page"/>
      </w:r>
    </w:p>
    <w:p w:rsidR="00A64028" w:rsidRPr="0030560B" w:rsidRDefault="00A64028" w:rsidP="00262F71">
      <w:pPr>
        <w:pStyle w:val="1"/>
        <w:jc w:val="both"/>
        <w:rPr>
          <w:rFonts w:ascii="Arial Narrow" w:hAnsi="Arial Narrow"/>
        </w:rPr>
      </w:pPr>
      <w:bookmarkStart w:id="117" w:name="_Toc473725886"/>
      <w:r>
        <w:rPr>
          <w:rFonts w:ascii="Arial Narrow" w:hAnsi="Arial Narrow"/>
        </w:rPr>
        <w:lastRenderedPageBreak/>
        <w:t xml:space="preserve">8. </w:t>
      </w:r>
      <w:r w:rsidRPr="0030560B">
        <w:rPr>
          <w:rFonts w:ascii="Arial Narrow" w:hAnsi="Arial Narrow"/>
        </w:rPr>
        <w:t>Описание проблем, препятствующих развитию конкуренции на территории Новосибирской области, а также качественному оказанию услуг, выполнению работ, предоставлению товаров среди</w:t>
      </w:r>
      <w:r w:rsidRPr="0030560B">
        <w:rPr>
          <w:rFonts w:ascii="Arial Narrow" w:hAnsi="Arial Narrow"/>
          <w:i/>
        </w:rPr>
        <w:t xml:space="preserve"> </w:t>
      </w:r>
      <w:r w:rsidRPr="0030560B">
        <w:rPr>
          <w:rFonts w:ascii="Arial Narrow" w:hAnsi="Arial Narrow"/>
        </w:rPr>
        <w:t>субъектов предпринимательской деятельности и потребителей</w:t>
      </w:r>
      <w:bookmarkEnd w:id="116"/>
      <w:bookmarkEnd w:id="117"/>
    </w:p>
    <w:p w:rsidR="00A64028" w:rsidRPr="0030560B" w:rsidRDefault="00A64028" w:rsidP="00103148">
      <w:pPr>
        <w:pStyle w:val="a5"/>
        <w:ind w:firstLine="567"/>
        <w:jc w:val="both"/>
        <w:rPr>
          <w:rFonts w:ascii="Arial Narrow" w:hAnsi="Arial Narrow"/>
          <w:sz w:val="22"/>
          <w:szCs w:val="24"/>
        </w:rPr>
      </w:pPr>
    </w:p>
    <w:p w:rsidR="00A64028" w:rsidRPr="002C1E93" w:rsidRDefault="00A64028" w:rsidP="00F170CC">
      <w:pPr>
        <w:spacing w:after="0" w:line="360" w:lineRule="auto"/>
        <w:ind w:firstLine="284"/>
        <w:jc w:val="both"/>
        <w:rPr>
          <w:rFonts w:ascii="Arial Narrow" w:eastAsia="Calibri" w:hAnsi="Arial Narrow"/>
          <w:sz w:val="24"/>
        </w:rPr>
      </w:pPr>
      <w:r w:rsidRPr="002C1E93">
        <w:rPr>
          <w:rFonts w:ascii="Arial Narrow" w:eastAsia="Calibri" w:hAnsi="Arial Narrow"/>
          <w:sz w:val="24"/>
        </w:rPr>
        <w:t xml:space="preserve">В текущих условиях </w:t>
      </w:r>
      <w:r>
        <w:rPr>
          <w:rFonts w:ascii="Arial Narrow" w:eastAsia="Calibri" w:hAnsi="Arial Narrow"/>
          <w:sz w:val="24"/>
        </w:rPr>
        <w:t xml:space="preserve">на </w:t>
      </w:r>
      <w:r w:rsidRPr="002C1E93">
        <w:rPr>
          <w:rFonts w:ascii="Arial Narrow" w:eastAsia="Calibri" w:hAnsi="Arial Narrow"/>
          <w:sz w:val="24"/>
        </w:rPr>
        <w:t xml:space="preserve">состояние конкурентной среды в Новосибирской области </w:t>
      </w:r>
      <w:r>
        <w:rPr>
          <w:rFonts w:ascii="Arial Narrow" w:eastAsia="Calibri" w:hAnsi="Arial Narrow"/>
          <w:sz w:val="24"/>
        </w:rPr>
        <w:t>влияют следующие проблемы</w:t>
      </w:r>
      <w:r w:rsidRPr="002C1E93">
        <w:rPr>
          <w:rFonts w:ascii="Arial Narrow" w:eastAsia="Calibri" w:hAnsi="Arial Narrow"/>
          <w:sz w:val="24"/>
        </w:rPr>
        <w:t xml:space="preserve">: </w:t>
      </w:r>
    </w:p>
    <w:p w:rsidR="00A64028" w:rsidRPr="005A1E98" w:rsidRDefault="00A64028" w:rsidP="00F170CC">
      <w:pPr>
        <w:spacing w:after="0" w:line="360" w:lineRule="auto"/>
        <w:ind w:firstLine="284"/>
        <w:jc w:val="both"/>
        <w:rPr>
          <w:rFonts w:ascii="Arial Narrow" w:eastAsia="Calibri" w:hAnsi="Arial Narrow"/>
          <w:sz w:val="24"/>
        </w:rPr>
      </w:pPr>
      <w:r w:rsidRPr="002C1E93">
        <w:rPr>
          <w:rFonts w:ascii="Arial Narrow" w:eastAsia="Calibri" w:hAnsi="Arial Narrow"/>
          <w:sz w:val="24"/>
        </w:rPr>
        <w:t>-</w:t>
      </w:r>
      <w:r>
        <w:rPr>
          <w:rFonts w:ascii="Arial Narrow" w:eastAsia="Calibri" w:hAnsi="Arial Narrow"/>
          <w:sz w:val="24"/>
        </w:rPr>
        <w:t xml:space="preserve"> низкая платежеспособность и дальнейшее</w:t>
      </w:r>
      <w:r w:rsidRPr="002C1E93">
        <w:rPr>
          <w:rFonts w:ascii="Arial Narrow" w:eastAsia="Calibri" w:hAnsi="Arial Narrow"/>
          <w:sz w:val="24"/>
        </w:rPr>
        <w:t xml:space="preserve"> </w:t>
      </w:r>
      <w:r>
        <w:rPr>
          <w:rFonts w:ascii="Arial Narrow" w:eastAsia="Calibri" w:hAnsi="Arial Narrow"/>
          <w:sz w:val="24"/>
        </w:rPr>
        <w:t xml:space="preserve">снижение </w:t>
      </w:r>
      <w:r w:rsidRPr="002C1E93">
        <w:rPr>
          <w:rFonts w:ascii="Arial Narrow" w:eastAsia="Calibri" w:hAnsi="Arial Narrow"/>
          <w:sz w:val="24"/>
        </w:rPr>
        <w:t>платежеспособности</w:t>
      </w:r>
      <w:r w:rsidRPr="005A1E98">
        <w:rPr>
          <w:rFonts w:ascii="Arial Narrow" w:eastAsia="Calibri" w:hAnsi="Arial Narrow"/>
          <w:sz w:val="24"/>
        </w:rPr>
        <w:t xml:space="preserve"> потребителей, </w:t>
      </w:r>
    </w:p>
    <w:p w:rsidR="00A64028" w:rsidRDefault="00A64028" w:rsidP="00F170CC">
      <w:pPr>
        <w:spacing w:after="0" w:line="360" w:lineRule="auto"/>
        <w:ind w:firstLine="284"/>
        <w:jc w:val="both"/>
        <w:rPr>
          <w:rFonts w:ascii="Arial Narrow" w:eastAsia="Calibri" w:hAnsi="Arial Narrow"/>
          <w:sz w:val="24"/>
        </w:rPr>
      </w:pPr>
      <w:r w:rsidRPr="005A1E98">
        <w:rPr>
          <w:rFonts w:ascii="Arial Narrow" w:eastAsia="Calibri" w:hAnsi="Arial Narrow"/>
          <w:sz w:val="24"/>
        </w:rPr>
        <w:t xml:space="preserve">- </w:t>
      </w:r>
      <w:r>
        <w:rPr>
          <w:rFonts w:ascii="Arial Narrow" w:eastAsia="Calibri" w:hAnsi="Arial Narrow"/>
          <w:sz w:val="24"/>
        </w:rPr>
        <w:t xml:space="preserve">недостаточно эффективное </w:t>
      </w:r>
      <w:r w:rsidRPr="005A1E98">
        <w:rPr>
          <w:rFonts w:ascii="Arial Narrow" w:eastAsia="Calibri" w:hAnsi="Arial Narrow"/>
          <w:sz w:val="24"/>
        </w:rPr>
        <w:t>управлени</w:t>
      </w:r>
      <w:r>
        <w:rPr>
          <w:rFonts w:ascii="Arial Narrow" w:eastAsia="Calibri" w:hAnsi="Arial Narrow"/>
          <w:sz w:val="24"/>
        </w:rPr>
        <w:t>е</w:t>
      </w:r>
      <w:r w:rsidRPr="005A1E98">
        <w:rPr>
          <w:rFonts w:ascii="Arial Narrow" w:eastAsia="Calibri" w:hAnsi="Arial Narrow"/>
          <w:sz w:val="24"/>
        </w:rPr>
        <w:t xml:space="preserve"> государственной собственностью (в том числе предприятиями с долей государственной</w:t>
      </w:r>
      <w:r>
        <w:rPr>
          <w:rFonts w:ascii="Arial Narrow" w:eastAsia="Calibri" w:hAnsi="Arial Narrow"/>
          <w:sz w:val="24"/>
        </w:rPr>
        <w:t xml:space="preserve"> и муниципальной</w:t>
      </w:r>
      <w:r w:rsidRPr="005A1E98">
        <w:rPr>
          <w:rFonts w:ascii="Arial Narrow" w:eastAsia="Calibri" w:hAnsi="Arial Narrow"/>
          <w:sz w:val="24"/>
        </w:rPr>
        <w:t xml:space="preserve"> собственности 50</w:t>
      </w:r>
      <w:r>
        <w:rPr>
          <w:rFonts w:ascii="Arial Narrow" w:eastAsia="Calibri" w:hAnsi="Arial Narrow"/>
          <w:sz w:val="24"/>
        </w:rPr>
        <w:t xml:space="preserve"> </w:t>
      </w:r>
      <w:r w:rsidRPr="005A1E98">
        <w:rPr>
          <w:rFonts w:ascii="Arial Narrow" w:eastAsia="Calibri" w:hAnsi="Arial Narrow"/>
          <w:sz w:val="24"/>
        </w:rPr>
        <w:t>% и более</w:t>
      </w:r>
      <w:r>
        <w:rPr>
          <w:rFonts w:ascii="Arial Narrow" w:eastAsia="Calibri" w:hAnsi="Arial Narrow"/>
          <w:sz w:val="24"/>
        </w:rPr>
        <w:t>, а также имущественным комплексом</w:t>
      </w:r>
      <w:r w:rsidRPr="005A1E98">
        <w:rPr>
          <w:rFonts w:ascii="Arial Narrow" w:eastAsia="Calibri" w:hAnsi="Arial Narrow"/>
          <w:sz w:val="24"/>
        </w:rPr>
        <w:t>). Это особенно актуально для рынков, где присутствует большое количество предприяти</w:t>
      </w:r>
      <w:r>
        <w:rPr>
          <w:rFonts w:ascii="Arial Narrow" w:eastAsia="Calibri" w:hAnsi="Arial Narrow"/>
          <w:sz w:val="24"/>
        </w:rPr>
        <w:t>й</w:t>
      </w:r>
      <w:r w:rsidRPr="005A1E98">
        <w:rPr>
          <w:rFonts w:ascii="Arial Narrow" w:eastAsia="Calibri" w:hAnsi="Arial Narrow"/>
          <w:sz w:val="24"/>
        </w:rPr>
        <w:t xml:space="preserve"> с долей муниципальной и государственной собственности 50</w:t>
      </w:r>
      <w:r>
        <w:rPr>
          <w:rFonts w:ascii="Arial Narrow" w:eastAsia="Calibri" w:hAnsi="Arial Narrow"/>
          <w:sz w:val="24"/>
        </w:rPr>
        <w:t xml:space="preserve"> </w:t>
      </w:r>
      <w:r w:rsidRPr="005A1E98">
        <w:rPr>
          <w:rFonts w:ascii="Arial Narrow" w:eastAsia="Calibri" w:hAnsi="Arial Narrow"/>
          <w:sz w:val="24"/>
        </w:rPr>
        <w:t>% и более</w:t>
      </w:r>
      <w:r>
        <w:rPr>
          <w:rFonts w:ascii="Arial Narrow" w:eastAsia="Calibri" w:hAnsi="Arial Narrow"/>
          <w:sz w:val="24"/>
        </w:rPr>
        <w:t>,</w:t>
      </w:r>
      <w:r w:rsidRPr="005A1E98">
        <w:rPr>
          <w:rFonts w:ascii="Arial Narrow" w:eastAsia="Calibri" w:hAnsi="Arial Narrow"/>
          <w:sz w:val="24"/>
        </w:rPr>
        <w:t xml:space="preserve"> </w:t>
      </w:r>
      <w:r>
        <w:rPr>
          <w:rFonts w:ascii="Arial Narrow" w:eastAsia="Calibri" w:hAnsi="Arial Narrow"/>
          <w:sz w:val="24"/>
        </w:rPr>
        <w:t>–</w:t>
      </w:r>
      <w:r w:rsidRPr="005A1E98">
        <w:rPr>
          <w:rFonts w:ascii="Arial Narrow" w:eastAsia="Calibri" w:hAnsi="Arial Narrow"/>
          <w:sz w:val="24"/>
        </w:rPr>
        <w:t xml:space="preserve"> рын</w:t>
      </w:r>
      <w:r>
        <w:rPr>
          <w:rFonts w:ascii="Arial Narrow" w:eastAsia="Calibri" w:hAnsi="Arial Narrow"/>
          <w:sz w:val="24"/>
        </w:rPr>
        <w:t>ка</w:t>
      </w:r>
      <w:r w:rsidRPr="005A1E98">
        <w:rPr>
          <w:rFonts w:ascii="Arial Narrow" w:eastAsia="Calibri" w:hAnsi="Arial Narrow"/>
          <w:sz w:val="24"/>
        </w:rPr>
        <w:t xml:space="preserve"> дошкольного образования, дополнительного образования детей, рынка социальных услуг для населения, </w:t>
      </w:r>
      <w:r>
        <w:rPr>
          <w:rFonts w:ascii="Arial Narrow" w:eastAsia="Calibri" w:hAnsi="Arial Narrow"/>
          <w:sz w:val="24"/>
        </w:rPr>
        <w:t xml:space="preserve">рынка услуг в сфере культуры, </w:t>
      </w:r>
      <w:r w:rsidRPr="005A1E98">
        <w:rPr>
          <w:rFonts w:ascii="Arial Narrow" w:eastAsia="Calibri" w:hAnsi="Arial Narrow"/>
          <w:sz w:val="24"/>
        </w:rPr>
        <w:t xml:space="preserve">рынка </w:t>
      </w:r>
      <w:r>
        <w:rPr>
          <w:rFonts w:ascii="Arial Narrow" w:eastAsia="Calibri" w:hAnsi="Arial Narrow"/>
          <w:sz w:val="24"/>
        </w:rPr>
        <w:t>психолого-педагогических</w:t>
      </w:r>
      <w:r w:rsidRPr="005A1E98">
        <w:rPr>
          <w:rFonts w:ascii="Arial Narrow" w:eastAsia="Calibri" w:hAnsi="Arial Narrow"/>
          <w:sz w:val="24"/>
        </w:rPr>
        <w:t xml:space="preserve"> услуг для детей с ограниченными возможностями здоровья, рынка медицинских услуг. </w:t>
      </w:r>
    </w:p>
    <w:p w:rsidR="00A64028" w:rsidRPr="005A1E98" w:rsidRDefault="00A64028" w:rsidP="00F170CC">
      <w:pPr>
        <w:spacing w:after="0" w:line="360" w:lineRule="auto"/>
        <w:ind w:firstLine="284"/>
        <w:jc w:val="both"/>
        <w:rPr>
          <w:rFonts w:ascii="Arial Narrow" w:eastAsia="Calibri" w:hAnsi="Arial Narrow"/>
          <w:sz w:val="24"/>
        </w:rPr>
      </w:pPr>
      <w:r w:rsidRPr="005A1E98">
        <w:rPr>
          <w:rFonts w:ascii="Arial Narrow" w:eastAsia="Calibri" w:hAnsi="Arial Narrow"/>
          <w:sz w:val="24"/>
        </w:rPr>
        <w:t>- формировани</w:t>
      </w:r>
      <w:r>
        <w:rPr>
          <w:rFonts w:ascii="Arial Narrow" w:eastAsia="Calibri" w:hAnsi="Arial Narrow"/>
          <w:sz w:val="24"/>
        </w:rPr>
        <w:t>е</w:t>
      </w:r>
      <w:r w:rsidRPr="005A1E98">
        <w:rPr>
          <w:rFonts w:ascii="Arial Narrow" w:eastAsia="Calibri" w:hAnsi="Arial Narrow"/>
          <w:sz w:val="24"/>
        </w:rPr>
        <w:t xml:space="preserve"> вертикально интегрированных компаний, сетевых компаний, влияющих на деятельность малых, средних и микропредприятий. В настоящее время на рынках розничной торговли, медицинских услуг, связи, рынк</w:t>
      </w:r>
      <w:r>
        <w:rPr>
          <w:rFonts w:ascii="Arial Narrow" w:eastAsia="Calibri" w:hAnsi="Arial Narrow"/>
          <w:sz w:val="24"/>
        </w:rPr>
        <w:t>е</w:t>
      </w:r>
      <w:r w:rsidRPr="005A1E98">
        <w:rPr>
          <w:rFonts w:ascii="Arial Narrow" w:eastAsia="Calibri" w:hAnsi="Arial Narrow"/>
          <w:sz w:val="24"/>
        </w:rPr>
        <w:t xml:space="preserve"> услуг транспортных пассажирских наземных перевозок, развития, производства, переработки сельскохозяйственной продукции отмечается данная тенденция. Вытеснение малых и средних предприятий крупным бизнесом является основной перспективой развития конкуренции в Новосибирской области, имеющей тенденцию к увеличению значимости. Управление данной ситуацией целесообразно с учетом </w:t>
      </w:r>
      <w:r>
        <w:rPr>
          <w:rFonts w:ascii="Arial Narrow" w:eastAsia="Calibri" w:hAnsi="Arial Narrow"/>
          <w:sz w:val="24"/>
        </w:rPr>
        <w:t xml:space="preserve">фактора </w:t>
      </w:r>
      <w:r w:rsidRPr="005A1E98">
        <w:rPr>
          <w:rFonts w:ascii="Arial Narrow" w:eastAsia="Calibri" w:hAnsi="Arial Narrow"/>
          <w:sz w:val="24"/>
        </w:rPr>
        <w:t xml:space="preserve">доходов бюджета от сбора региональных налогов, а также учета </w:t>
      </w:r>
      <w:r>
        <w:rPr>
          <w:rFonts w:ascii="Arial Narrow" w:eastAsia="Calibri" w:hAnsi="Arial Narrow"/>
          <w:sz w:val="24"/>
        </w:rPr>
        <w:t>специфики отдельных</w:t>
      </w:r>
      <w:r w:rsidRPr="005A1E98">
        <w:rPr>
          <w:rFonts w:ascii="Arial Narrow" w:eastAsia="Calibri" w:hAnsi="Arial Narrow"/>
          <w:sz w:val="24"/>
        </w:rPr>
        <w:t xml:space="preserve"> рынк</w:t>
      </w:r>
      <w:r>
        <w:rPr>
          <w:rFonts w:ascii="Arial Narrow" w:eastAsia="Calibri" w:hAnsi="Arial Narrow"/>
          <w:sz w:val="24"/>
        </w:rPr>
        <w:t>ов;</w:t>
      </w:r>
    </w:p>
    <w:p w:rsidR="00A64028" w:rsidRPr="005A1E98" w:rsidRDefault="00A64028" w:rsidP="00F170CC">
      <w:pPr>
        <w:spacing w:after="0" w:line="360" w:lineRule="auto"/>
        <w:ind w:firstLine="284"/>
        <w:jc w:val="both"/>
        <w:rPr>
          <w:rFonts w:ascii="Arial Narrow" w:eastAsia="Calibri" w:hAnsi="Arial Narrow"/>
          <w:sz w:val="24"/>
        </w:rPr>
      </w:pPr>
      <w:r w:rsidRPr="005A1E98">
        <w:rPr>
          <w:rFonts w:ascii="Arial Narrow" w:eastAsia="Calibri" w:hAnsi="Arial Narrow"/>
          <w:sz w:val="24"/>
        </w:rPr>
        <w:t>- влияни</w:t>
      </w:r>
      <w:r>
        <w:rPr>
          <w:rFonts w:ascii="Arial Narrow" w:eastAsia="Calibri" w:hAnsi="Arial Narrow"/>
          <w:sz w:val="24"/>
        </w:rPr>
        <w:t>е</w:t>
      </w:r>
      <w:r w:rsidRPr="005A1E98">
        <w:rPr>
          <w:rFonts w:ascii="Arial Narrow" w:eastAsia="Calibri" w:hAnsi="Arial Narrow"/>
          <w:sz w:val="24"/>
        </w:rPr>
        <w:t xml:space="preserve"> административных барьеров, проявляющихся в основном в виде трудности получения государственных и муниципальных услуг, таких, как лицензирование, сертификация, разрешени</w:t>
      </w:r>
      <w:r>
        <w:rPr>
          <w:rFonts w:ascii="Arial Narrow" w:eastAsia="Calibri" w:hAnsi="Arial Narrow"/>
          <w:sz w:val="24"/>
        </w:rPr>
        <w:t>й</w:t>
      </w:r>
      <w:r w:rsidRPr="005A1E98">
        <w:rPr>
          <w:rFonts w:ascii="Arial Narrow" w:eastAsia="Calibri" w:hAnsi="Arial Narrow"/>
          <w:sz w:val="24"/>
        </w:rPr>
        <w:t xml:space="preserve"> на строительство, а также доступа к ресурсам, прежде всего, недвижимому имуществу (помещениям и земельным ресурсам). Второй из административных барьеров, влияющий на состояние конкуренции</w:t>
      </w:r>
      <w:r>
        <w:rPr>
          <w:rFonts w:ascii="Arial Narrow" w:eastAsia="Calibri" w:hAnsi="Arial Narrow"/>
          <w:sz w:val="24"/>
        </w:rPr>
        <w:t>,</w:t>
      </w:r>
      <w:r w:rsidRPr="005A1E98">
        <w:rPr>
          <w:rFonts w:ascii="Arial Narrow" w:eastAsia="Calibri" w:hAnsi="Arial Narrow"/>
          <w:sz w:val="24"/>
        </w:rPr>
        <w:t xml:space="preserve"> – это коррупционные действия представителей органов власти. Перспектива влияния фактора административных барьеров оценивается как снижающая</w:t>
      </w:r>
      <w:r>
        <w:rPr>
          <w:rFonts w:ascii="Arial Narrow" w:eastAsia="Calibri" w:hAnsi="Arial Narrow"/>
          <w:sz w:val="24"/>
        </w:rPr>
        <w:t xml:space="preserve"> свою</w:t>
      </w:r>
      <w:r w:rsidRPr="005A1E98">
        <w:rPr>
          <w:rFonts w:ascii="Arial Narrow" w:eastAsia="Calibri" w:hAnsi="Arial Narrow"/>
          <w:sz w:val="24"/>
        </w:rPr>
        <w:t xml:space="preserve"> актуальность ввиду работы над данным фактором развития конкурентной среды </w:t>
      </w:r>
      <w:r>
        <w:rPr>
          <w:rFonts w:ascii="Arial Narrow" w:eastAsia="Calibri" w:hAnsi="Arial Narrow"/>
          <w:sz w:val="24"/>
        </w:rPr>
        <w:t>на всех уровнях власти;</w:t>
      </w:r>
    </w:p>
    <w:p w:rsidR="00A64028" w:rsidRPr="005A1E98" w:rsidRDefault="00A64028" w:rsidP="00F170CC">
      <w:pPr>
        <w:spacing w:after="0" w:line="360" w:lineRule="auto"/>
        <w:ind w:firstLine="284"/>
        <w:jc w:val="both"/>
        <w:rPr>
          <w:rFonts w:ascii="Arial Narrow" w:eastAsia="Calibri" w:hAnsi="Arial Narrow"/>
          <w:sz w:val="24"/>
        </w:rPr>
      </w:pPr>
      <w:r w:rsidRPr="005A1E98">
        <w:rPr>
          <w:rFonts w:ascii="Arial Narrow" w:eastAsia="Calibri" w:hAnsi="Arial Narrow"/>
          <w:sz w:val="24"/>
        </w:rPr>
        <w:t xml:space="preserve">- изменения федерального законодательства, регулирующего деятельность на отдельных рынках, порядка взаимодействия контролирующих органов с субъектами предпринимательства. В частности, представители бизнеса отмечают негативное влияние постоянных изменений в налоговом законодательстве и высокие риски с точки зрения защиты бизнеса от влияния международных внешнеэкономических санкций (в частности, для рынка розничной торговли и развития, производства сельскохозяйственной продукции). Перспектива развития данной тенденции является в настоящее </w:t>
      </w:r>
      <w:r w:rsidRPr="005A1E98">
        <w:rPr>
          <w:rFonts w:ascii="Arial Narrow" w:eastAsia="Calibri" w:hAnsi="Arial Narrow"/>
          <w:sz w:val="24"/>
        </w:rPr>
        <w:lastRenderedPageBreak/>
        <w:t>время стабильно малопредсказуемой, поскольку зависит от большого количества факторов и не поддается контролю со стороны региональных органов власти</w:t>
      </w:r>
      <w:r>
        <w:rPr>
          <w:rFonts w:ascii="Arial Narrow" w:eastAsia="Calibri" w:hAnsi="Arial Narrow"/>
          <w:sz w:val="24"/>
        </w:rPr>
        <w:t>;</w:t>
      </w:r>
    </w:p>
    <w:p w:rsidR="00A64028" w:rsidRPr="005A1E98" w:rsidRDefault="00A64028" w:rsidP="00F170CC">
      <w:pPr>
        <w:spacing w:after="0" w:line="360" w:lineRule="auto"/>
        <w:ind w:firstLine="284"/>
        <w:jc w:val="both"/>
        <w:rPr>
          <w:rFonts w:ascii="Arial Narrow" w:eastAsia="Calibri" w:hAnsi="Arial Narrow"/>
          <w:sz w:val="24"/>
        </w:rPr>
      </w:pPr>
      <w:r w:rsidRPr="005A1E98">
        <w:rPr>
          <w:rFonts w:ascii="Arial Narrow" w:eastAsia="Calibri" w:hAnsi="Arial Narrow"/>
          <w:sz w:val="24"/>
        </w:rPr>
        <w:t>- сохранени</w:t>
      </w:r>
      <w:r>
        <w:rPr>
          <w:rFonts w:ascii="Arial Narrow" w:eastAsia="Calibri" w:hAnsi="Arial Narrow"/>
          <w:sz w:val="24"/>
        </w:rPr>
        <w:t>е</w:t>
      </w:r>
      <w:r w:rsidRPr="005A1E98">
        <w:rPr>
          <w:rFonts w:ascii="Arial Narrow" w:eastAsia="Calibri" w:hAnsi="Arial Narrow"/>
          <w:sz w:val="24"/>
        </w:rPr>
        <w:t xml:space="preserve"> теневого сектора экономики, несмотря на предпринимаемые государственные меры по легитимации бизнеса и борьбе с незаконными доходами и сделками. Данная тенденция сохраняется на рынках с наиболее неблагоприятной конъюнктурой, доходностью (при снижении платежеспособного спроса</w:t>
      </w:r>
      <w:r>
        <w:rPr>
          <w:rFonts w:ascii="Arial Narrow" w:eastAsia="Calibri" w:hAnsi="Arial Narrow"/>
          <w:sz w:val="24"/>
        </w:rPr>
        <w:t xml:space="preserve"> потребителей</w:t>
      </w:r>
      <w:r w:rsidRPr="005A1E98">
        <w:rPr>
          <w:rFonts w:ascii="Arial Narrow" w:eastAsia="Calibri" w:hAnsi="Arial Narrow"/>
          <w:sz w:val="24"/>
        </w:rPr>
        <w:t>), а также на рынках с недостаточным государственным регулированием</w:t>
      </w:r>
      <w:r>
        <w:rPr>
          <w:rFonts w:ascii="Arial Narrow" w:eastAsia="Calibri" w:hAnsi="Arial Narrow"/>
          <w:sz w:val="24"/>
        </w:rPr>
        <w:t>;</w:t>
      </w:r>
      <w:r w:rsidRPr="005A1E98">
        <w:rPr>
          <w:rFonts w:ascii="Arial Narrow" w:eastAsia="Calibri" w:hAnsi="Arial Narrow"/>
          <w:sz w:val="24"/>
        </w:rPr>
        <w:t xml:space="preserve"> </w:t>
      </w:r>
    </w:p>
    <w:p w:rsidR="00A64028" w:rsidRDefault="00A64028" w:rsidP="00F170CC">
      <w:pPr>
        <w:spacing w:after="0" w:line="360" w:lineRule="auto"/>
        <w:ind w:firstLine="284"/>
        <w:jc w:val="both"/>
        <w:rPr>
          <w:rFonts w:ascii="Arial Narrow" w:eastAsia="Calibri" w:hAnsi="Arial Narrow"/>
          <w:sz w:val="24"/>
        </w:rPr>
      </w:pPr>
      <w:r w:rsidRPr="005A1E98">
        <w:rPr>
          <w:rFonts w:ascii="Arial Narrow" w:eastAsia="Calibri" w:hAnsi="Arial Narrow"/>
          <w:sz w:val="24"/>
        </w:rPr>
        <w:t>- сохранени</w:t>
      </w:r>
      <w:r>
        <w:rPr>
          <w:rFonts w:ascii="Arial Narrow" w:eastAsia="Calibri" w:hAnsi="Arial Narrow"/>
          <w:sz w:val="24"/>
        </w:rPr>
        <w:t>е демпинга на ряде рынков (в том числе, в сферах деятельности, связанных</w:t>
      </w:r>
      <w:r w:rsidRPr="005A1E98">
        <w:rPr>
          <w:rFonts w:ascii="Arial Narrow" w:eastAsia="Calibri" w:hAnsi="Arial Narrow"/>
          <w:sz w:val="24"/>
        </w:rPr>
        <w:t xml:space="preserve"> с государственны</w:t>
      </w:r>
      <w:r>
        <w:rPr>
          <w:rFonts w:ascii="Arial Narrow" w:eastAsia="Calibri" w:hAnsi="Arial Narrow"/>
          <w:sz w:val="24"/>
        </w:rPr>
        <w:t>ми и муниципальными контрактами,</w:t>
      </w:r>
    </w:p>
    <w:p w:rsidR="00A64028" w:rsidRPr="005A1E98" w:rsidRDefault="00A64028" w:rsidP="00F170CC">
      <w:pPr>
        <w:spacing w:after="0" w:line="360" w:lineRule="auto"/>
        <w:ind w:firstLine="284"/>
        <w:jc w:val="both"/>
        <w:rPr>
          <w:rFonts w:ascii="Arial Narrow" w:eastAsia="Calibri" w:hAnsi="Arial Narrow"/>
          <w:sz w:val="24"/>
        </w:rPr>
      </w:pPr>
      <w:r>
        <w:rPr>
          <w:rFonts w:ascii="Arial Narrow" w:eastAsia="Calibri" w:hAnsi="Arial Narrow"/>
          <w:sz w:val="24"/>
        </w:rPr>
        <w:t>- неоднозначная динамика качества товаров, работ и услуг в условиях низкой платежеспособности населения, сохранения спроса (особенно на товары, работы и услуги, неэластичные по цене) и роста конкуренции. Качество товаров, работ и услуг повышается в благоприятных экономических условиях, при наличии доступных финансовых и кадровых ресурсов, новых технологий. В настоящее время данные факторы развития доступны чаще всего лишь предприятиям, уже обладающим значительной долей рынка.</w:t>
      </w:r>
    </w:p>
    <w:p w:rsidR="00A64028" w:rsidRPr="0030560B" w:rsidRDefault="00A64028" w:rsidP="00103148">
      <w:pPr>
        <w:spacing w:after="0"/>
        <w:rPr>
          <w:rFonts w:ascii="Arial Narrow" w:hAnsi="Arial Narrow"/>
          <w:b/>
          <w:bCs/>
          <w:sz w:val="32"/>
          <w:szCs w:val="32"/>
        </w:rPr>
      </w:pPr>
      <w:bookmarkStart w:id="118" w:name="_Toc469663949"/>
    </w:p>
    <w:p w:rsidR="00A64028" w:rsidRPr="0030560B" w:rsidRDefault="00A64028" w:rsidP="00262F71">
      <w:pPr>
        <w:pStyle w:val="1"/>
        <w:jc w:val="both"/>
        <w:rPr>
          <w:rFonts w:ascii="Arial Narrow" w:hAnsi="Arial Narrow"/>
        </w:rPr>
      </w:pPr>
      <w:bookmarkStart w:id="119" w:name="_Toc473725887"/>
      <w:r>
        <w:rPr>
          <w:rFonts w:ascii="Arial Narrow" w:hAnsi="Arial Narrow"/>
        </w:rPr>
        <w:t xml:space="preserve">9. </w:t>
      </w:r>
      <w:r w:rsidRPr="0030560B">
        <w:rPr>
          <w:rFonts w:ascii="Arial Narrow" w:hAnsi="Arial Narrow"/>
        </w:rPr>
        <w:t>Предложения по совершенствованию и развитию конкуренции на приоритетных и социально</w:t>
      </w:r>
      <w:r>
        <w:rPr>
          <w:rFonts w:ascii="Arial Narrow" w:hAnsi="Arial Narrow"/>
        </w:rPr>
        <w:t xml:space="preserve"> </w:t>
      </w:r>
      <w:r w:rsidRPr="0030560B">
        <w:rPr>
          <w:rFonts w:ascii="Arial Narrow" w:hAnsi="Arial Narrow"/>
        </w:rPr>
        <w:t>значимых рынк</w:t>
      </w:r>
      <w:r>
        <w:rPr>
          <w:rFonts w:ascii="Arial Narrow" w:hAnsi="Arial Narrow"/>
        </w:rPr>
        <w:t>ах</w:t>
      </w:r>
      <w:r w:rsidRPr="0030560B">
        <w:rPr>
          <w:rFonts w:ascii="Arial Narrow" w:hAnsi="Arial Narrow"/>
        </w:rPr>
        <w:t>, включая необходимость совершенствования федерального и регионального законодательства, полномочий органов государственной власти и других аспектов</w:t>
      </w:r>
      <w:bookmarkEnd w:id="118"/>
      <w:bookmarkEnd w:id="119"/>
      <w:r>
        <w:rPr>
          <w:rFonts w:ascii="Arial Narrow" w:hAnsi="Arial Narrow"/>
        </w:rPr>
        <w:t xml:space="preserve">. </w:t>
      </w:r>
      <w:r w:rsidRPr="0030560B">
        <w:rPr>
          <w:rFonts w:ascii="Arial Narrow" w:hAnsi="Arial Narrow"/>
          <w:color w:val="auto"/>
        </w:rPr>
        <w:t>Предложения по улучшению деятельности исполнительных органов государственной власти Новосибирской области в сфере содействия развитию конкуренции в Новосибирской области на приоритетных и социально-значимых рынках</w:t>
      </w:r>
    </w:p>
    <w:p w:rsidR="00A64028" w:rsidRPr="0030560B" w:rsidRDefault="00A64028" w:rsidP="00103148">
      <w:pPr>
        <w:spacing w:after="0"/>
        <w:rPr>
          <w:rFonts w:ascii="Arial Narrow" w:hAnsi="Arial Narrow"/>
        </w:rPr>
      </w:pPr>
    </w:p>
    <w:p w:rsidR="00A64028" w:rsidRPr="00123EB2" w:rsidRDefault="00A64028" w:rsidP="00F170CC">
      <w:pPr>
        <w:spacing w:after="0" w:line="360" w:lineRule="auto"/>
        <w:ind w:firstLine="284"/>
        <w:jc w:val="both"/>
        <w:rPr>
          <w:rFonts w:ascii="Arial Narrow" w:hAnsi="Arial Narrow"/>
          <w:sz w:val="24"/>
          <w:szCs w:val="24"/>
        </w:rPr>
      </w:pPr>
      <w:r w:rsidRPr="00123EB2">
        <w:rPr>
          <w:rFonts w:ascii="Arial Narrow" w:hAnsi="Arial Narrow"/>
          <w:sz w:val="24"/>
          <w:szCs w:val="24"/>
        </w:rPr>
        <w:t>Предложенные мероприятия направлены на:</w:t>
      </w:r>
    </w:p>
    <w:p w:rsidR="00A64028" w:rsidRPr="00123EB2" w:rsidRDefault="00A64028" w:rsidP="00F170CC">
      <w:pPr>
        <w:spacing w:after="0" w:line="360" w:lineRule="auto"/>
        <w:ind w:firstLine="284"/>
        <w:jc w:val="both"/>
        <w:rPr>
          <w:rFonts w:ascii="Arial Narrow" w:hAnsi="Arial Narrow"/>
          <w:bCs/>
          <w:sz w:val="24"/>
          <w:szCs w:val="24"/>
        </w:rPr>
      </w:pPr>
      <w:r w:rsidRPr="00123EB2">
        <w:rPr>
          <w:rFonts w:ascii="Arial Narrow" w:hAnsi="Arial Narrow"/>
          <w:bCs/>
          <w:sz w:val="24"/>
          <w:szCs w:val="24"/>
        </w:rPr>
        <w:t>а) формирование прозрачной системы работы региональных органов государственной власти в части реализации результативных и эффективных мер по развитию конкуренции в интересах конечного потребителя товаров и услуг, субъектов предпринимательской деятельности;</w:t>
      </w:r>
    </w:p>
    <w:p w:rsidR="00A64028" w:rsidRPr="000A79B3" w:rsidRDefault="00A64028" w:rsidP="00F170CC">
      <w:pPr>
        <w:spacing w:after="0" w:line="360" w:lineRule="auto"/>
        <w:ind w:firstLine="284"/>
        <w:jc w:val="both"/>
        <w:rPr>
          <w:rFonts w:ascii="Arial Narrow" w:hAnsi="Arial Narrow"/>
          <w:bCs/>
          <w:sz w:val="24"/>
          <w:szCs w:val="24"/>
        </w:rPr>
      </w:pPr>
      <w:r w:rsidRPr="00123EB2">
        <w:rPr>
          <w:rFonts w:ascii="Arial Narrow" w:hAnsi="Arial Narrow"/>
          <w:bCs/>
          <w:sz w:val="24"/>
          <w:szCs w:val="24"/>
        </w:rPr>
        <w:t xml:space="preserve">б) создание стимулов и условий для развития и защиты субъектов малого и среднего </w:t>
      </w:r>
      <w:r w:rsidRPr="000A79B3">
        <w:rPr>
          <w:rFonts w:ascii="Arial Narrow" w:hAnsi="Arial Narrow"/>
          <w:bCs/>
          <w:sz w:val="24"/>
          <w:szCs w:val="24"/>
        </w:rPr>
        <w:t>предпринимательства, устранения административных барьеров;</w:t>
      </w:r>
    </w:p>
    <w:p w:rsidR="00A64028" w:rsidRPr="000A79B3" w:rsidRDefault="00A64028" w:rsidP="00F170CC">
      <w:pPr>
        <w:spacing w:after="0" w:line="360" w:lineRule="auto"/>
        <w:ind w:firstLine="284"/>
        <w:jc w:val="both"/>
        <w:rPr>
          <w:rFonts w:ascii="Arial Narrow" w:hAnsi="Arial Narrow"/>
          <w:bCs/>
          <w:sz w:val="24"/>
          <w:szCs w:val="24"/>
        </w:rPr>
      </w:pPr>
      <w:r w:rsidRPr="000A79B3">
        <w:rPr>
          <w:rFonts w:ascii="Arial Narrow" w:hAnsi="Arial Narrow"/>
          <w:bCs/>
          <w:sz w:val="24"/>
          <w:szCs w:val="24"/>
        </w:rPr>
        <w:t>в) выявление ожиданий потребителей, субъектов предпринимательской деятельности, а также направления совершенствования деятельности исполнительных органов государственной власти Новосибирской области, обеспечивающих достижение эффективности и результативности деятельности по развитию конкуренции на системной основе.</w:t>
      </w:r>
    </w:p>
    <w:p w:rsidR="00A64028" w:rsidRPr="000A79B3" w:rsidRDefault="00A64028" w:rsidP="00F170CC">
      <w:pPr>
        <w:spacing w:after="0" w:line="360" w:lineRule="auto"/>
        <w:ind w:firstLine="284"/>
        <w:jc w:val="both"/>
        <w:rPr>
          <w:rFonts w:ascii="Arial Narrow" w:hAnsi="Arial Narrow" w:cs="Arial"/>
          <w:b/>
          <w:sz w:val="24"/>
          <w:szCs w:val="24"/>
          <w:u w:val="single"/>
        </w:rPr>
      </w:pPr>
      <w:r w:rsidRPr="000A79B3">
        <w:rPr>
          <w:rFonts w:ascii="Arial Narrow" w:hAnsi="Arial Narrow" w:cs="Arial"/>
          <w:b/>
          <w:sz w:val="24"/>
          <w:szCs w:val="24"/>
          <w:u w:val="single"/>
        </w:rPr>
        <w:lastRenderedPageBreak/>
        <w:t>Часть 1. Предложения по улучшению состояния социально значимых и приоритетных рынков, конкурентной среды, снижению административных барьеров и негативного влияния государственных организаций на конкурентную среду</w:t>
      </w:r>
    </w:p>
    <w:p w:rsidR="00A64028" w:rsidRPr="000A79B3" w:rsidRDefault="00A64028" w:rsidP="00F170CC">
      <w:pPr>
        <w:spacing w:after="0" w:line="360" w:lineRule="auto"/>
        <w:ind w:firstLine="284"/>
        <w:rPr>
          <w:rFonts w:ascii="Arial Narrow" w:hAnsi="Arial Narrow"/>
          <w:b/>
          <w:sz w:val="24"/>
          <w:szCs w:val="24"/>
          <w:u w:val="single"/>
        </w:rPr>
      </w:pPr>
      <w:r w:rsidRPr="000A79B3">
        <w:rPr>
          <w:rFonts w:ascii="Arial Narrow" w:hAnsi="Arial Narrow"/>
          <w:b/>
          <w:sz w:val="24"/>
          <w:szCs w:val="24"/>
          <w:u w:val="single"/>
        </w:rPr>
        <w:t>Предложения ля всех социально значимых и приоритетных рынков</w:t>
      </w:r>
    </w:p>
    <w:p w:rsidR="00A64028" w:rsidRPr="000A79B3" w:rsidRDefault="00A64028" w:rsidP="00F170CC">
      <w:pPr>
        <w:spacing w:after="0" w:line="360" w:lineRule="auto"/>
        <w:ind w:firstLine="284"/>
        <w:contextualSpacing/>
        <w:jc w:val="both"/>
        <w:rPr>
          <w:rFonts w:ascii="Arial Narrow" w:hAnsi="Arial Narrow"/>
          <w:b/>
          <w:sz w:val="24"/>
          <w:szCs w:val="24"/>
        </w:rPr>
      </w:pPr>
      <w:r w:rsidRPr="000A79B3">
        <w:rPr>
          <w:rFonts w:ascii="Arial Narrow" w:hAnsi="Arial Narrow"/>
          <w:sz w:val="24"/>
          <w:szCs w:val="24"/>
        </w:rPr>
        <w:t xml:space="preserve">1. </w:t>
      </w:r>
      <w:r w:rsidRPr="000A79B3">
        <w:rPr>
          <w:rFonts w:ascii="Arial Narrow" w:hAnsi="Arial Narrow"/>
          <w:b/>
          <w:sz w:val="24"/>
          <w:szCs w:val="24"/>
        </w:rPr>
        <w:t>Обеспечить равный доступ к ресурсам и отсутствие преференций на рынках.</w:t>
      </w:r>
    </w:p>
    <w:p w:rsidR="00A64028" w:rsidRPr="000A79B3" w:rsidRDefault="00A64028" w:rsidP="00F170CC">
      <w:pPr>
        <w:spacing w:after="0" w:line="360" w:lineRule="auto"/>
        <w:ind w:firstLine="284"/>
        <w:contextualSpacing/>
        <w:jc w:val="both"/>
        <w:rPr>
          <w:rFonts w:ascii="Arial Narrow" w:hAnsi="Arial Narrow"/>
          <w:sz w:val="24"/>
          <w:szCs w:val="24"/>
        </w:rPr>
      </w:pPr>
      <w:r w:rsidRPr="000A79B3">
        <w:rPr>
          <w:rFonts w:ascii="Arial Narrow" w:hAnsi="Arial Narrow"/>
          <w:sz w:val="24"/>
          <w:szCs w:val="24"/>
        </w:rPr>
        <w:t>Обратить особое внимание на обеспечение равных возможностей и равного доступа к ресурсам, а также на отсутствие преференций на рынках, менее половины участников которых дали положительные оценки состоянию конкурентной среды:</w:t>
      </w:r>
    </w:p>
    <w:p w:rsidR="00A64028" w:rsidRPr="000A79B3" w:rsidRDefault="00A64028" w:rsidP="00F170CC">
      <w:pPr>
        <w:numPr>
          <w:ilvl w:val="0"/>
          <w:numId w:val="31"/>
        </w:numPr>
        <w:spacing w:after="0" w:line="360" w:lineRule="auto"/>
        <w:ind w:left="0" w:firstLine="284"/>
        <w:contextualSpacing/>
        <w:jc w:val="both"/>
        <w:rPr>
          <w:rFonts w:ascii="Arial Narrow" w:hAnsi="Arial Narrow"/>
          <w:sz w:val="24"/>
          <w:szCs w:val="24"/>
        </w:rPr>
      </w:pPr>
      <w:r w:rsidRPr="000A79B3">
        <w:rPr>
          <w:rFonts w:ascii="Arial Narrow" w:hAnsi="Arial Narrow"/>
          <w:sz w:val="24"/>
          <w:szCs w:val="24"/>
        </w:rPr>
        <w:t>рынок медицинских услуг;</w:t>
      </w:r>
    </w:p>
    <w:p w:rsidR="00A64028" w:rsidRPr="000A79B3" w:rsidRDefault="00A64028" w:rsidP="00F170CC">
      <w:pPr>
        <w:numPr>
          <w:ilvl w:val="0"/>
          <w:numId w:val="31"/>
        </w:numPr>
        <w:spacing w:after="0" w:line="360" w:lineRule="auto"/>
        <w:ind w:left="0" w:firstLine="284"/>
        <w:contextualSpacing/>
        <w:jc w:val="both"/>
        <w:rPr>
          <w:rFonts w:ascii="Arial Narrow" w:hAnsi="Arial Narrow"/>
          <w:sz w:val="24"/>
          <w:szCs w:val="24"/>
        </w:rPr>
      </w:pPr>
      <w:r w:rsidRPr="000A79B3">
        <w:rPr>
          <w:rFonts w:ascii="Arial Narrow" w:hAnsi="Arial Narrow"/>
          <w:sz w:val="24"/>
          <w:szCs w:val="24"/>
        </w:rPr>
        <w:t>рынок услуг психолого-педагогического сопровождения детей с ограниченными возможностями здоровья;</w:t>
      </w:r>
    </w:p>
    <w:p w:rsidR="00A64028" w:rsidRPr="000A79B3" w:rsidRDefault="00A64028" w:rsidP="00F170CC">
      <w:pPr>
        <w:numPr>
          <w:ilvl w:val="0"/>
          <w:numId w:val="31"/>
        </w:numPr>
        <w:spacing w:after="0" w:line="360" w:lineRule="auto"/>
        <w:ind w:left="0" w:firstLine="284"/>
        <w:contextualSpacing/>
        <w:jc w:val="both"/>
        <w:rPr>
          <w:rFonts w:ascii="Arial Narrow" w:hAnsi="Arial Narrow"/>
          <w:sz w:val="24"/>
          <w:szCs w:val="24"/>
        </w:rPr>
      </w:pPr>
      <w:r w:rsidRPr="000A79B3">
        <w:rPr>
          <w:rFonts w:ascii="Arial Narrow" w:hAnsi="Arial Narrow"/>
          <w:sz w:val="24"/>
          <w:szCs w:val="24"/>
        </w:rPr>
        <w:t>рынок услуг в сфере культуры;</w:t>
      </w:r>
    </w:p>
    <w:p w:rsidR="00A64028" w:rsidRPr="000A79B3" w:rsidRDefault="00A64028" w:rsidP="00F170CC">
      <w:pPr>
        <w:numPr>
          <w:ilvl w:val="0"/>
          <w:numId w:val="31"/>
        </w:numPr>
        <w:spacing w:after="0" w:line="360" w:lineRule="auto"/>
        <w:ind w:left="0" w:firstLine="284"/>
        <w:contextualSpacing/>
        <w:jc w:val="both"/>
        <w:rPr>
          <w:rFonts w:ascii="Arial Narrow" w:hAnsi="Arial Narrow"/>
          <w:sz w:val="24"/>
          <w:szCs w:val="24"/>
        </w:rPr>
      </w:pPr>
      <w:r w:rsidRPr="000A79B3">
        <w:rPr>
          <w:rFonts w:ascii="Arial Narrow" w:hAnsi="Arial Narrow"/>
          <w:sz w:val="24"/>
          <w:szCs w:val="24"/>
        </w:rPr>
        <w:t>рынок услуг перевозок пассажиров наземным транспортом;</w:t>
      </w:r>
    </w:p>
    <w:p w:rsidR="00A64028" w:rsidRPr="000A79B3" w:rsidRDefault="00A64028" w:rsidP="00F170CC">
      <w:pPr>
        <w:numPr>
          <w:ilvl w:val="0"/>
          <w:numId w:val="31"/>
        </w:numPr>
        <w:spacing w:after="0" w:line="360" w:lineRule="auto"/>
        <w:ind w:left="0" w:firstLine="284"/>
        <w:contextualSpacing/>
        <w:jc w:val="both"/>
        <w:rPr>
          <w:rFonts w:ascii="Arial Narrow" w:hAnsi="Arial Narrow"/>
          <w:sz w:val="24"/>
          <w:szCs w:val="24"/>
        </w:rPr>
      </w:pPr>
      <w:r w:rsidRPr="000A79B3">
        <w:rPr>
          <w:rFonts w:ascii="Arial Narrow" w:hAnsi="Arial Narrow"/>
          <w:sz w:val="24"/>
          <w:szCs w:val="24"/>
        </w:rPr>
        <w:t>рынок услуг связи;</w:t>
      </w:r>
    </w:p>
    <w:p w:rsidR="00A64028" w:rsidRPr="000A79B3" w:rsidRDefault="00A64028" w:rsidP="00F170CC">
      <w:pPr>
        <w:numPr>
          <w:ilvl w:val="0"/>
          <w:numId w:val="31"/>
        </w:numPr>
        <w:spacing w:after="0" w:line="360" w:lineRule="auto"/>
        <w:ind w:left="0" w:firstLine="284"/>
        <w:contextualSpacing/>
        <w:jc w:val="both"/>
        <w:rPr>
          <w:rFonts w:ascii="Arial Narrow" w:hAnsi="Arial Narrow"/>
          <w:sz w:val="24"/>
          <w:szCs w:val="24"/>
        </w:rPr>
      </w:pPr>
      <w:r w:rsidRPr="000A79B3">
        <w:rPr>
          <w:rFonts w:ascii="Arial Narrow" w:hAnsi="Arial Narrow"/>
          <w:sz w:val="24"/>
          <w:szCs w:val="24"/>
        </w:rPr>
        <w:t>рынок услуг социального обслуживания населения;</w:t>
      </w:r>
    </w:p>
    <w:p w:rsidR="00A64028" w:rsidRPr="000A79B3" w:rsidRDefault="00A64028" w:rsidP="00F170CC">
      <w:pPr>
        <w:numPr>
          <w:ilvl w:val="0"/>
          <w:numId w:val="31"/>
        </w:numPr>
        <w:spacing w:after="0" w:line="360" w:lineRule="auto"/>
        <w:ind w:left="0" w:firstLine="284"/>
        <w:contextualSpacing/>
        <w:jc w:val="both"/>
        <w:rPr>
          <w:rFonts w:ascii="Arial Narrow" w:hAnsi="Arial Narrow"/>
          <w:sz w:val="24"/>
          <w:szCs w:val="24"/>
        </w:rPr>
      </w:pPr>
      <w:r w:rsidRPr="000A79B3">
        <w:rPr>
          <w:rFonts w:ascii="Arial Narrow" w:hAnsi="Arial Narrow"/>
          <w:sz w:val="24"/>
          <w:szCs w:val="24"/>
        </w:rPr>
        <w:t>рынок развития, производства, переработки и хранения сельскохозяйственной продукции.</w:t>
      </w:r>
    </w:p>
    <w:p w:rsidR="00A64028" w:rsidRPr="000A79B3" w:rsidRDefault="00A64028" w:rsidP="00F170CC">
      <w:pPr>
        <w:spacing w:after="0" w:line="360" w:lineRule="auto"/>
        <w:ind w:firstLine="284"/>
        <w:contextualSpacing/>
        <w:jc w:val="both"/>
        <w:rPr>
          <w:rFonts w:ascii="Arial Narrow" w:hAnsi="Arial Narrow"/>
          <w:sz w:val="24"/>
          <w:szCs w:val="24"/>
        </w:rPr>
      </w:pPr>
      <w:r w:rsidRPr="000A79B3">
        <w:rPr>
          <w:rFonts w:ascii="Arial Narrow" w:hAnsi="Arial Narrow"/>
          <w:sz w:val="24"/>
          <w:szCs w:val="24"/>
        </w:rPr>
        <w:t xml:space="preserve">Обратить внимание на разработку и принятие мер по развитию конкуренции в </w:t>
      </w:r>
      <w:r w:rsidRPr="000A79B3">
        <w:rPr>
          <w:rFonts w:ascii="Arial Narrow" w:hAnsi="Arial Narrow" w:cs="Arial"/>
          <w:sz w:val="24"/>
          <w:szCs w:val="24"/>
        </w:rPr>
        <w:t xml:space="preserve">территориях, где 50 % и более отметили отсутствие возможности конкуренции: в </w:t>
      </w:r>
      <w:r w:rsidRPr="000A79B3">
        <w:rPr>
          <w:rFonts w:ascii="Arial Narrow" w:hAnsi="Arial Narrow"/>
          <w:sz w:val="24"/>
          <w:szCs w:val="24"/>
        </w:rPr>
        <w:t>Баганском, Венгеровском, Доволенском, Искитимском, Каргатском, Краснозерском, Кочковском, Новосибирском, Сузунском, Чулымском, Тогучинском, Чановском, Черепановском, Чистоозерном районах.</w:t>
      </w:r>
    </w:p>
    <w:p w:rsidR="00A64028" w:rsidRPr="000A79B3" w:rsidRDefault="00A64028" w:rsidP="00F170CC">
      <w:pPr>
        <w:spacing w:after="0" w:line="360" w:lineRule="auto"/>
        <w:ind w:firstLine="284"/>
        <w:contextualSpacing/>
        <w:jc w:val="both"/>
        <w:rPr>
          <w:rFonts w:ascii="Arial Narrow" w:hAnsi="Arial Narrow"/>
          <w:b/>
          <w:sz w:val="24"/>
          <w:szCs w:val="24"/>
        </w:rPr>
      </w:pPr>
      <w:r w:rsidRPr="000A79B3">
        <w:rPr>
          <w:rFonts w:ascii="Arial Narrow" w:hAnsi="Arial Narrow"/>
          <w:b/>
          <w:sz w:val="24"/>
          <w:szCs w:val="24"/>
        </w:rPr>
        <w:t>2. Провести работу по выявлению и устранению фактов поддержки местными властями действующих участников рынка (на наличие данных фактов указали 10,5 % опрошенных представителей бизнеса)</w:t>
      </w:r>
    </w:p>
    <w:p w:rsidR="00A64028" w:rsidRPr="000A79B3" w:rsidRDefault="00A64028" w:rsidP="00F170CC">
      <w:pPr>
        <w:spacing w:after="0" w:line="360" w:lineRule="auto"/>
        <w:ind w:firstLine="284"/>
        <w:contextualSpacing/>
        <w:jc w:val="both"/>
        <w:rPr>
          <w:rFonts w:ascii="Arial Narrow" w:hAnsi="Arial Narrow"/>
          <w:sz w:val="24"/>
          <w:szCs w:val="24"/>
        </w:rPr>
      </w:pPr>
      <w:r w:rsidRPr="000A79B3">
        <w:rPr>
          <w:rFonts w:ascii="Arial Narrow" w:hAnsi="Arial Narrow"/>
          <w:sz w:val="24"/>
          <w:szCs w:val="24"/>
        </w:rPr>
        <w:t>Особое внимание обратить на рынки, где 15 % и более отметили наличие данной проблемы:</w:t>
      </w:r>
      <w:r>
        <w:rPr>
          <w:rFonts w:ascii="Arial Narrow" w:hAnsi="Arial Narrow"/>
          <w:sz w:val="24"/>
          <w:szCs w:val="24"/>
        </w:rPr>
        <w:t xml:space="preserve"> </w:t>
      </w:r>
      <w:r w:rsidRPr="000A79B3">
        <w:rPr>
          <w:rFonts w:ascii="Arial Narrow" w:hAnsi="Arial Narrow"/>
          <w:sz w:val="24"/>
          <w:szCs w:val="24"/>
        </w:rPr>
        <w:t>рынок услуг дошкольного образования;</w:t>
      </w:r>
      <w:r>
        <w:rPr>
          <w:rFonts w:ascii="Arial Narrow" w:hAnsi="Arial Narrow"/>
          <w:sz w:val="24"/>
          <w:szCs w:val="24"/>
        </w:rPr>
        <w:t xml:space="preserve"> </w:t>
      </w:r>
      <w:r w:rsidRPr="000A79B3">
        <w:rPr>
          <w:rFonts w:ascii="Arial Narrow" w:hAnsi="Arial Narrow"/>
          <w:sz w:val="24"/>
          <w:szCs w:val="24"/>
        </w:rPr>
        <w:t>рынок услуг социального обслуживания населения;</w:t>
      </w:r>
      <w:r>
        <w:rPr>
          <w:rFonts w:ascii="Arial Narrow" w:hAnsi="Arial Narrow"/>
          <w:sz w:val="24"/>
          <w:szCs w:val="24"/>
        </w:rPr>
        <w:t xml:space="preserve"> </w:t>
      </w:r>
      <w:r w:rsidRPr="000A79B3">
        <w:rPr>
          <w:rFonts w:ascii="Arial Narrow" w:hAnsi="Arial Narrow"/>
          <w:sz w:val="24"/>
          <w:szCs w:val="24"/>
        </w:rPr>
        <w:t>рынок услуг ЖКХ.</w:t>
      </w:r>
    </w:p>
    <w:p w:rsidR="00A64028" w:rsidRPr="000A79B3" w:rsidRDefault="00A64028" w:rsidP="00F170CC">
      <w:pPr>
        <w:spacing w:after="0" w:line="360" w:lineRule="auto"/>
        <w:ind w:firstLine="284"/>
        <w:contextualSpacing/>
        <w:jc w:val="both"/>
        <w:rPr>
          <w:rFonts w:ascii="Arial Narrow" w:hAnsi="Arial Narrow"/>
          <w:sz w:val="24"/>
          <w:szCs w:val="24"/>
        </w:rPr>
      </w:pPr>
      <w:r w:rsidRPr="000A79B3">
        <w:rPr>
          <w:rFonts w:ascii="Arial Narrow" w:hAnsi="Arial Narrow"/>
          <w:sz w:val="24"/>
          <w:szCs w:val="24"/>
        </w:rPr>
        <w:t>Провести работу по устранению и профилактике фактов поддержки местными властями традиционных участников рынка в муниципальных образованиях, где поддержку традиционных участников рынка со стороны местной власти в качестве препятствия выхода на рынок отмечали 20 % респондентов и более: в Баганском, Болотнинском, Искитимском, Каргатском, Колыванском, Коченевском, Купинском, Чулымском районах.</w:t>
      </w:r>
    </w:p>
    <w:p w:rsidR="00A64028" w:rsidRPr="000A79B3" w:rsidRDefault="00A64028" w:rsidP="00F170CC">
      <w:pPr>
        <w:pStyle w:val="aff4"/>
        <w:widowControl/>
        <w:autoSpaceDE/>
        <w:autoSpaceDN/>
        <w:adjustRightInd/>
        <w:spacing w:line="360" w:lineRule="auto"/>
        <w:ind w:left="0" w:firstLine="284"/>
        <w:jc w:val="both"/>
        <w:rPr>
          <w:rFonts w:ascii="Arial Narrow" w:hAnsi="Arial Narrow"/>
          <w:b/>
          <w:sz w:val="24"/>
          <w:szCs w:val="24"/>
        </w:rPr>
      </w:pPr>
      <w:r w:rsidRPr="000A79B3">
        <w:rPr>
          <w:rFonts w:ascii="Arial Narrow" w:hAnsi="Arial Narrow"/>
          <w:b/>
          <w:sz w:val="24"/>
          <w:szCs w:val="24"/>
        </w:rPr>
        <w:t>3. Осуществлять поддержку (в т. ч. финансовую либо по обеспечению доступа к финансовым ресурсам) начинающих предприятий на социально значимых и приоритетных рынках.</w:t>
      </w:r>
    </w:p>
    <w:p w:rsidR="00A64028" w:rsidRPr="000A79B3" w:rsidRDefault="00A64028" w:rsidP="00F170CC">
      <w:pPr>
        <w:spacing w:after="0" w:line="360" w:lineRule="auto"/>
        <w:ind w:firstLine="284"/>
        <w:contextualSpacing/>
        <w:jc w:val="both"/>
        <w:rPr>
          <w:rFonts w:ascii="Arial Narrow" w:hAnsi="Arial Narrow"/>
          <w:sz w:val="24"/>
          <w:szCs w:val="24"/>
        </w:rPr>
      </w:pPr>
      <w:r w:rsidRPr="000A79B3">
        <w:rPr>
          <w:rFonts w:ascii="Arial Narrow" w:hAnsi="Arial Narrow"/>
          <w:sz w:val="24"/>
          <w:szCs w:val="24"/>
        </w:rPr>
        <w:t>Особое внимание обратить на рынки, выход на которые требует высоких начальных вложений, по оценкам самих участников:</w:t>
      </w:r>
      <w:r>
        <w:rPr>
          <w:rFonts w:ascii="Arial Narrow" w:hAnsi="Arial Narrow"/>
          <w:sz w:val="24"/>
          <w:szCs w:val="24"/>
        </w:rPr>
        <w:t xml:space="preserve"> </w:t>
      </w:r>
      <w:r w:rsidRPr="000A79B3">
        <w:rPr>
          <w:rFonts w:ascii="Arial Narrow" w:hAnsi="Arial Narrow"/>
          <w:sz w:val="24"/>
          <w:szCs w:val="24"/>
        </w:rPr>
        <w:t>рынок услуг детского отдыха и оздоровления;</w:t>
      </w:r>
      <w:r>
        <w:rPr>
          <w:rFonts w:ascii="Arial Narrow" w:hAnsi="Arial Narrow"/>
          <w:sz w:val="24"/>
          <w:szCs w:val="24"/>
        </w:rPr>
        <w:t xml:space="preserve"> </w:t>
      </w:r>
      <w:r w:rsidRPr="000A79B3">
        <w:rPr>
          <w:rFonts w:ascii="Arial Narrow" w:hAnsi="Arial Narrow"/>
          <w:sz w:val="24"/>
          <w:szCs w:val="24"/>
        </w:rPr>
        <w:t>рынок медицинских услуг;</w:t>
      </w:r>
      <w:r>
        <w:rPr>
          <w:rFonts w:ascii="Arial Narrow" w:hAnsi="Arial Narrow"/>
          <w:sz w:val="24"/>
          <w:szCs w:val="24"/>
        </w:rPr>
        <w:t xml:space="preserve"> </w:t>
      </w:r>
      <w:r w:rsidRPr="000A79B3">
        <w:rPr>
          <w:rFonts w:ascii="Arial Narrow" w:hAnsi="Arial Narrow"/>
          <w:sz w:val="24"/>
          <w:szCs w:val="24"/>
        </w:rPr>
        <w:lastRenderedPageBreak/>
        <w:t>рынок услуг связи;</w:t>
      </w:r>
      <w:r>
        <w:rPr>
          <w:rFonts w:ascii="Arial Narrow" w:hAnsi="Arial Narrow"/>
          <w:sz w:val="24"/>
          <w:szCs w:val="24"/>
        </w:rPr>
        <w:t xml:space="preserve"> </w:t>
      </w:r>
      <w:r w:rsidRPr="000A79B3">
        <w:rPr>
          <w:rFonts w:ascii="Arial Narrow" w:hAnsi="Arial Narrow"/>
          <w:sz w:val="24"/>
          <w:szCs w:val="24"/>
        </w:rPr>
        <w:t>рынок развития, производства, переработки и хранения сельскохозяйственной продукции.</w:t>
      </w:r>
    </w:p>
    <w:p w:rsidR="00A64028" w:rsidRPr="000A79B3" w:rsidRDefault="00A64028" w:rsidP="00F170CC">
      <w:pPr>
        <w:spacing w:after="0" w:line="360" w:lineRule="auto"/>
        <w:ind w:firstLine="284"/>
        <w:contextualSpacing/>
        <w:jc w:val="both"/>
        <w:rPr>
          <w:rFonts w:ascii="Arial Narrow" w:hAnsi="Arial Narrow"/>
          <w:b/>
          <w:sz w:val="24"/>
          <w:szCs w:val="24"/>
        </w:rPr>
      </w:pPr>
      <w:r>
        <w:rPr>
          <w:rFonts w:ascii="Arial Narrow" w:hAnsi="Arial Narrow"/>
          <w:b/>
          <w:sz w:val="24"/>
          <w:szCs w:val="24"/>
        </w:rPr>
        <w:t>4</w:t>
      </w:r>
      <w:r w:rsidRPr="000A79B3">
        <w:rPr>
          <w:rFonts w:ascii="Arial Narrow" w:hAnsi="Arial Narrow"/>
          <w:b/>
          <w:sz w:val="24"/>
          <w:szCs w:val="24"/>
        </w:rPr>
        <w:t>. Проводить целенаправленную работу по снижению административных барьеров, ограничивающих конкуренцию среди предприятий, фактически осуществляющих деятельности на рынке.</w:t>
      </w:r>
    </w:p>
    <w:p w:rsidR="00A64028" w:rsidRPr="000A79B3" w:rsidRDefault="00A64028" w:rsidP="00F170CC">
      <w:pPr>
        <w:spacing w:after="0" w:line="360" w:lineRule="auto"/>
        <w:ind w:firstLine="284"/>
        <w:contextualSpacing/>
        <w:jc w:val="both"/>
        <w:rPr>
          <w:rFonts w:ascii="Arial Narrow" w:hAnsi="Arial Narrow" w:cs="Arial"/>
          <w:sz w:val="24"/>
          <w:szCs w:val="24"/>
        </w:rPr>
      </w:pPr>
      <w:r w:rsidRPr="000A79B3">
        <w:rPr>
          <w:rFonts w:ascii="Arial Narrow" w:hAnsi="Arial Narrow" w:cs="Arial"/>
          <w:sz w:val="24"/>
          <w:szCs w:val="24"/>
        </w:rPr>
        <w:t>В рамках проведения данной работы требуется учитывать специфичность ситуации на социально значимых и приоритетных рынках:</w:t>
      </w:r>
    </w:p>
    <w:p w:rsidR="00A64028" w:rsidRPr="000A79B3" w:rsidRDefault="00A64028" w:rsidP="00F170CC">
      <w:pPr>
        <w:numPr>
          <w:ilvl w:val="3"/>
          <w:numId w:val="43"/>
        </w:numPr>
        <w:tabs>
          <w:tab w:val="left" w:pos="993"/>
        </w:tabs>
        <w:spacing w:after="0" w:line="360" w:lineRule="auto"/>
        <w:ind w:left="0" w:firstLine="284"/>
        <w:contextualSpacing/>
        <w:jc w:val="both"/>
        <w:rPr>
          <w:rFonts w:ascii="Arial Narrow" w:hAnsi="Arial Narrow" w:cs="Arial"/>
          <w:sz w:val="24"/>
          <w:szCs w:val="24"/>
        </w:rPr>
      </w:pPr>
      <w:r w:rsidRPr="000A79B3">
        <w:rPr>
          <w:rFonts w:ascii="Arial Narrow" w:hAnsi="Arial Narrow" w:cs="Arial"/>
          <w:sz w:val="24"/>
          <w:szCs w:val="24"/>
        </w:rPr>
        <w:t>Принять меры по снижению административных барьеров и обеспечению добросовестной конкуренции на рынках с наиболее неблагоприятной ситуацией: на рынке медицинских услуг, услуг ЖКХ, услуг перевозок пассажиров наземным транспортом.</w:t>
      </w:r>
    </w:p>
    <w:p w:rsidR="00A64028" w:rsidRPr="000A79B3" w:rsidRDefault="00A64028" w:rsidP="00F170CC">
      <w:pPr>
        <w:numPr>
          <w:ilvl w:val="3"/>
          <w:numId w:val="43"/>
        </w:numPr>
        <w:tabs>
          <w:tab w:val="left" w:pos="993"/>
        </w:tabs>
        <w:spacing w:after="0" w:line="360" w:lineRule="auto"/>
        <w:ind w:left="0" w:firstLine="284"/>
        <w:contextualSpacing/>
        <w:jc w:val="both"/>
        <w:rPr>
          <w:rFonts w:ascii="Arial Narrow" w:hAnsi="Arial Narrow" w:cs="Arial"/>
          <w:sz w:val="24"/>
          <w:szCs w:val="24"/>
        </w:rPr>
      </w:pPr>
      <w:r w:rsidRPr="000A79B3">
        <w:rPr>
          <w:rFonts w:ascii="Arial Narrow" w:hAnsi="Arial Narrow" w:cs="Arial"/>
          <w:sz w:val="24"/>
          <w:szCs w:val="24"/>
        </w:rPr>
        <w:t>Проводить планомерную работу по снижению административных барьеров на других рынках с неблагоприятной ситуацией: рынке услуг дошкольного образования, услуг психолого-педагогического сопровождения детей с ограниченными возможностями здоровья, услуг по сбору, сортировке и переработке твердых коммунальных отходов.</w:t>
      </w:r>
    </w:p>
    <w:p w:rsidR="00A64028" w:rsidRPr="000A79B3" w:rsidRDefault="00A64028" w:rsidP="00F170CC">
      <w:pPr>
        <w:numPr>
          <w:ilvl w:val="3"/>
          <w:numId w:val="43"/>
        </w:numPr>
        <w:tabs>
          <w:tab w:val="left" w:pos="993"/>
        </w:tabs>
        <w:spacing w:after="0" w:line="360" w:lineRule="auto"/>
        <w:ind w:left="0" w:firstLine="284"/>
        <w:contextualSpacing/>
        <w:jc w:val="both"/>
        <w:rPr>
          <w:rFonts w:ascii="Arial Narrow" w:hAnsi="Arial Narrow" w:cs="Arial"/>
          <w:sz w:val="24"/>
          <w:szCs w:val="24"/>
        </w:rPr>
      </w:pPr>
      <w:r w:rsidRPr="000A79B3">
        <w:rPr>
          <w:rFonts w:ascii="Arial Narrow" w:hAnsi="Arial Narrow" w:cs="Arial"/>
          <w:sz w:val="24"/>
          <w:szCs w:val="24"/>
        </w:rPr>
        <w:t>Продолжить работу по снижению уровня административных барьеров на рынках, где уровень благоприятности ситуации в плане влияния административных барьеров на развитие конкуренции можно охарактеризовать, как средний: на рынке дополнительного образования детей, рынке услуг в сфере культуры, рынке услуг социального обслуживания населения, рынке розничной торговли, рынке развития, производства, переработки и хранения сельскохозяйственной продукции.</w:t>
      </w:r>
    </w:p>
    <w:p w:rsidR="00A64028" w:rsidRPr="000A79B3" w:rsidRDefault="00A64028" w:rsidP="00F170CC">
      <w:pPr>
        <w:numPr>
          <w:ilvl w:val="3"/>
          <w:numId w:val="43"/>
        </w:numPr>
        <w:tabs>
          <w:tab w:val="left" w:pos="993"/>
        </w:tabs>
        <w:spacing w:after="0" w:line="360" w:lineRule="auto"/>
        <w:ind w:left="0" w:firstLine="284"/>
        <w:contextualSpacing/>
        <w:jc w:val="both"/>
        <w:rPr>
          <w:rFonts w:ascii="Arial Narrow" w:hAnsi="Arial Narrow" w:cs="Arial"/>
          <w:sz w:val="24"/>
          <w:szCs w:val="24"/>
        </w:rPr>
      </w:pPr>
      <w:r w:rsidRPr="000A79B3">
        <w:rPr>
          <w:rFonts w:ascii="Arial Narrow" w:hAnsi="Arial Narrow" w:cs="Arial"/>
          <w:sz w:val="24"/>
          <w:szCs w:val="24"/>
        </w:rPr>
        <w:t xml:space="preserve">Отслеживать уровень административных барьеров и проводить профилактические меры по недопущению его повышения на рынках, где </w:t>
      </w:r>
      <w:r w:rsidRPr="000A79B3">
        <w:rPr>
          <w:rFonts w:ascii="Arial Narrow" w:eastAsia="Calibri" w:hAnsi="Arial Narrow"/>
          <w:sz w:val="24"/>
          <w:szCs w:val="24"/>
        </w:rPr>
        <w:t>уровень и сила административных барьеров ниже среднего уровня, а крайне отрицательное влияние со стороны органов власти отсутствует, – рынке</w:t>
      </w:r>
      <w:r w:rsidRPr="000A79B3">
        <w:rPr>
          <w:rFonts w:ascii="Arial Narrow" w:hAnsi="Arial Narrow" w:cs="Arial"/>
          <w:sz w:val="24"/>
          <w:szCs w:val="24"/>
        </w:rPr>
        <w:t xml:space="preserve"> услуг детского отдыха и оздоровления и рынке услуг связи.</w:t>
      </w:r>
    </w:p>
    <w:p w:rsidR="00A64028" w:rsidRPr="000A79B3" w:rsidRDefault="00A64028" w:rsidP="00F170CC">
      <w:pPr>
        <w:spacing w:after="0" w:line="360" w:lineRule="auto"/>
        <w:ind w:firstLine="284"/>
        <w:contextualSpacing/>
        <w:jc w:val="both"/>
        <w:rPr>
          <w:rFonts w:ascii="Arial Narrow" w:hAnsi="Arial Narrow"/>
          <w:sz w:val="24"/>
          <w:szCs w:val="24"/>
        </w:rPr>
      </w:pPr>
      <w:r w:rsidRPr="000A79B3">
        <w:rPr>
          <w:rFonts w:ascii="Arial Narrow" w:eastAsia="Calibri" w:hAnsi="Arial Narrow"/>
          <w:sz w:val="24"/>
          <w:szCs w:val="24"/>
        </w:rPr>
        <w:t xml:space="preserve">Муниципальные образования с наиболее неблагоприятной ситуацией требуют принятия </w:t>
      </w:r>
      <w:r w:rsidRPr="000A79B3">
        <w:rPr>
          <w:rFonts w:ascii="Arial Narrow" w:hAnsi="Arial Narrow" w:cs="Arial"/>
          <w:sz w:val="24"/>
          <w:szCs w:val="24"/>
        </w:rPr>
        <w:t>экстренных мер по снижению административных барьеров и обеспечению добросовестной конкуренции</w:t>
      </w:r>
      <w:r w:rsidRPr="000A79B3">
        <w:rPr>
          <w:rFonts w:ascii="Arial Narrow" w:eastAsia="Calibri" w:hAnsi="Arial Narrow"/>
          <w:sz w:val="24"/>
          <w:szCs w:val="24"/>
        </w:rPr>
        <w:t>:</w:t>
      </w:r>
      <w:r>
        <w:rPr>
          <w:rFonts w:ascii="Arial Narrow" w:eastAsia="Calibri" w:hAnsi="Arial Narrow"/>
          <w:sz w:val="24"/>
          <w:szCs w:val="24"/>
        </w:rPr>
        <w:t xml:space="preserve"> </w:t>
      </w:r>
      <w:r w:rsidRPr="000A79B3">
        <w:rPr>
          <w:rFonts w:ascii="Arial Narrow" w:hAnsi="Arial Narrow"/>
          <w:sz w:val="24"/>
          <w:szCs w:val="24"/>
        </w:rPr>
        <w:t>Доволенский МР;</w:t>
      </w:r>
      <w:r>
        <w:rPr>
          <w:rFonts w:ascii="Arial Narrow" w:hAnsi="Arial Narrow"/>
          <w:sz w:val="24"/>
          <w:szCs w:val="24"/>
        </w:rPr>
        <w:t xml:space="preserve"> </w:t>
      </w:r>
      <w:r w:rsidRPr="000A79B3">
        <w:rPr>
          <w:rFonts w:ascii="Arial Narrow" w:hAnsi="Arial Narrow"/>
          <w:sz w:val="24"/>
          <w:szCs w:val="24"/>
        </w:rPr>
        <w:t>Искитимский МР;</w:t>
      </w:r>
      <w:r>
        <w:rPr>
          <w:rFonts w:ascii="Arial Narrow" w:hAnsi="Arial Narrow"/>
          <w:sz w:val="24"/>
          <w:szCs w:val="24"/>
        </w:rPr>
        <w:t xml:space="preserve"> </w:t>
      </w:r>
      <w:r w:rsidRPr="000A79B3">
        <w:rPr>
          <w:rFonts w:ascii="Arial Narrow" w:hAnsi="Arial Narrow"/>
          <w:sz w:val="24"/>
          <w:szCs w:val="24"/>
        </w:rPr>
        <w:t>Каргатский МР;</w:t>
      </w:r>
      <w:r>
        <w:rPr>
          <w:rFonts w:ascii="Arial Narrow" w:hAnsi="Arial Narrow"/>
          <w:sz w:val="24"/>
          <w:szCs w:val="24"/>
        </w:rPr>
        <w:t xml:space="preserve"> </w:t>
      </w:r>
      <w:r w:rsidRPr="000A79B3">
        <w:rPr>
          <w:rFonts w:ascii="Arial Narrow" w:hAnsi="Arial Narrow"/>
          <w:sz w:val="24"/>
          <w:szCs w:val="24"/>
        </w:rPr>
        <w:t>Мошковский МР;</w:t>
      </w:r>
      <w:r>
        <w:rPr>
          <w:rFonts w:ascii="Arial Narrow" w:hAnsi="Arial Narrow"/>
          <w:sz w:val="24"/>
          <w:szCs w:val="24"/>
        </w:rPr>
        <w:t xml:space="preserve"> </w:t>
      </w:r>
      <w:r w:rsidRPr="000A79B3">
        <w:rPr>
          <w:rFonts w:ascii="Arial Narrow" w:hAnsi="Arial Narrow"/>
          <w:sz w:val="24"/>
          <w:szCs w:val="24"/>
        </w:rPr>
        <w:t>Северный МР;</w:t>
      </w:r>
      <w:r>
        <w:rPr>
          <w:rFonts w:ascii="Arial Narrow" w:hAnsi="Arial Narrow"/>
          <w:sz w:val="24"/>
          <w:szCs w:val="24"/>
        </w:rPr>
        <w:t xml:space="preserve"> </w:t>
      </w:r>
      <w:r w:rsidRPr="000A79B3">
        <w:rPr>
          <w:rFonts w:ascii="Arial Narrow" w:hAnsi="Arial Narrow"/>
          <w:sz w:val="24"/>
          <w:szCs w:val="24"/>
        </w:rPr>
        <w:t>Убинский МР;</w:t>
      </w:r>
      <w:r>
        <w:rPr>
          <w:rFonts w:ascii="Arial Narrow" w:hAnsi="Arial Narrow"/>
          <w:sz w:val="24"/>
          <w:szCs w:val="24"/>
        </w:rPr>
        <w:t xml:space="preserve"> </w:t>
      </w:r>
      <w:r w:rsidRPr="000A79B3">
        <w:rPr>
          <w:rFonts w:ascii="Arial Narrow" w:hAnsi="Arial Narrow"/>
          <w:sz w:val="24"/>
          <w:szCs w:val="24"/>
        </w:rPr>
        <w:t>Усть-Таркский МР.</w:t>
      </w:r>
    </w:p>
    <w:p w:rsidR="00A64028" w:rsidRPr="000A79B3" w:rsidRDefault="00A64028" w:rsidP="00F170CC">
      <w:pPr>
        <w:spacing w:after="0" w:line="360" w:lineRule="auto"/>
        <w:ind w:firstLine="284"/>
        <w:contextualSpacing/>
        <w:jc w:val="both"/>
        <w:rPr>
          <w:rFonts w:ascii="Arial Narrow" w:hAnsi="Arial Narrow"/>
          <w:b/>
          <w:sz w:val="24"/>
          <w:szCs w:val="24"/>
        </w:rPr>
      </w:pPr>
      <w:r>
        <w:rPr>
          <w:rFonts w:ascii="Arial Narrow" w:hAnsi="Arial Narrow"/>
          <w:b/>
          <w:sz w:val="24"/>
          <w:szCs w:val="24"/>
        </w:rPr>
        <w:t>5</w:t>
      </w:r>
      <w:r w:rsidRPr="000A79B3">
        <w:rPr>
          <w:rFonts w:ascii="Arial Narrow" w:hAnsi="Arial Narrow"/>
          <w:b/>
          <w:sz w:val="24"/>
          <w:szCs w:val="24"/>
        </w:rPr>
        <w:t>. Проводить работу по повышению доступности государственных и муниципальных услуг для представителей бизнес-сообщества: упрощению процедур получения лицензий, средств государственной поддержки, разрешений, согласований и т. д., в т. ч. сокращению сроков и снижению стоимости данных услуг.</w:t>
      </w:r>
    </w:p>
    <w:p w:rsidR="00A64028" w:rsidRPr="000A79B3" w:rsidRDefault="00A64028" w:rsidP="00F170CC">
      <w:pPr>
        <w:spacing w:after="0" w:line="360" w:lineRule="auto"/>
        <w:ind w:firstLine="284"/>
        <w:jc w:val="both"/>
        <w:rPr>
          <w:rFonts w:ascii="Arial Narrow" w:eastAsia="Calibri" w:hAnsi="Arial Narrow"/>
          <w:sz w:val="24"/>
          <w:szCs w:val="24"/>
        </w:rPr>
      </w:pPr>
      <w:r w:rsidRPr="000A79B3">
        <w:rPr>
          <w:rFonts w:ascii="Arial Narrow" w:eastAsia="Calibri" w:hAnsi="Arial Narrow"/>
          <w:sz w:val="24"/>
          <w:szCs w:val="24"/>
        </w:rPr>
        <w:t>Особое внимание обратить на доступность различных бюрократических процедур (получения лицензии, согласования и т. п.) на рынках, где данные сложности являются наиболее существенным барьером:</w:t>
      </w:r>
    </w:p>
    <w:p w:rsidR="00A64028" w:rsidRPr="000A79B3" w:rsidRDefault="00A64028" w:rsidP="00F170CC">
      <w:pPr>
        <w:numPr>
          <w:ilvl w:val="0"/>
          <w:numId w:val="14"/>
        </w:numPr>
        <w:spacing w:after="0" w:line="360" w:lineRule="auto"/>
        <w:ind w:left="0" w:firstLine="284"/>
        <w:contextualSpacing/>
        <w:jc w:val="both"/>
        <w:rPr>
          <w:rFonts w:ascii="Arial Narrow" w:hAnsi="Arial Narrow"/>
          <w:sz w:val="24"/>
          <w:szCs w:val="24"/>
        </w:rPr>
      </w:pPr>
      <w:r w:rsidRPr="000A79B3">
        <w:rPr>
          <w:rFonts w:ascii="Arial Narrow" w:hAnsi="Arial Narrow"/>
          <w:sz w:val="24"/>
          <w:szCs w:val="24"/>
        </w:rPr>
        <w:t>рынке медицинских услуг;</w:t>
      </w:r>
    </w:p>
    <w:p w:rsidR="00A64028" w:rsidRPr="000A79B3" w:rsidRDefault="00A64028" w:rsidP="00F170CC">
      <w:pPr>
        <w:numPr>
          <w:ilvl w:val="0"/>
          <w:numId w:val="14"/>
        </w:numPr>
        <w:spacing w:after="0" w:line="360" w:lineRule="auto"/>
        <w:ind w:left="0" w:firstLine="284"/>
        <w:contextualSpacing/>
        <w:jc w:val="both"/>
        <w:rPr>
          <w:rFonts w:ascii="Arial Narrow" w:hAnsi="Arial Narrow"/>
          <w:sz w:val="24"/>
          <w:szCs w:val="24"/>
        </w:rPr>
      </w:pPr>
      <w:r w:rsidRPr="000A79B3">
        <w:rPr>
          <w:rFonts w:ascii="Arial Narrow" w:hAnsi="Arial Narrow"/>
          <w:sz w:val="24"/>
          <w:szCs w:val="24"/>
        </w:rPr>
        <w:lastRenderedPageBreak/>
        <w:t>рынке услуг связи;</w:t>
      </w:r>
    </w:p>
    <w:p w:rsidR="00A64028" w:rsidRPr="000A79B3" w:rsidRDefault="00A64028" w:rsidP="00F170CC">
      <w:pPr>
        <w:numPr>
          <w:ilvl w:val="0"/>
          <w:numId w:val="14"/>
        </w:numPr>
        <w:spacing w:after="0" w:line="360" w:lineRule="auto"/>
        <w:ind w:left="0" w:firstLine="284"/>
        <w:contextualSpacing/>
        <w:jc w:val="both"/>
        <w:rPr>
          <w:rFonts w:ascii="Arial Narrow" w:hAnsi="Arial Narrow"/>
          <w:sz w:val="24"/>
          <w:szCs w:val="24"/>
        </w:rPr>
      </w:pPr>
      <w:r w:rsidRPr="000A79B3">
        <w:rPr>
          <w:rFonts w:ascii="Arial Narrow" w:hAnsi="Arial Narrow"/>
          <w:sz w:val="24"/>
          <w:szCs w:val="24"/>
        </w:rPr>
        <w:t>рынке услуг психолого-педагогического сопровождения детей с ограниченными возможностями здоровья;</w:t>
      </w:r>
    </w:p>
    <w:p w:rsidR="00A64028" w:rsidRPr="000A79B3" w:rsidRDefault="00A64028" w:rsidP="00F170CC">
      <w:pPr>
        <w:numPr>
          <w:ilvl w:val="0"/>
          <w:numId w:val="14"/>
        </w:numPr>
        <w:spacing w:after="0" w:line="360" w:lineRule="auto"/>
        <w:ind w:left="0" w:firstLine="284"/>
        <w:contextualSpacing/>
        <w:jc w:val="both"/>
        <w:rPr>
          <w:rFonts w:ascii="Arial Narrow" w:hAnsi="Arial Narrow"/>
          <w:sz w:val="24"/>
          <w:szCs w:val="24"/>
        </w:rPr>
      </w:pPr>
      <w:r w:rsidRPr="000A79B3">
        <w:rPr>
          <w:rFonts w:ascii="Arial Narrow" w:hAnsi="Arial Narrow"/>
          <w:sz w:val="24"/>
          <w:szCs w:val="24"/>
        </w:rPr>
        <w:t xml:space="preserve">рынке услуг в сфере культуры. </w:t>
      </w:r>
    </w:p>
    <w:p w:rsidR="00A64028" w:rsidRPr="000A79B3" w:rsidRDefault="00A64028" w:rsidP="00F170CC">
      <w:pPr>
        <w:spacing w:after="0" w:line="360" w:lineRule="auto"/>
        <w:ind w:firstLine="284"/>
        <w:jc w:val="both"/>
        <w:rPr>
          <w:rFonts w:ascii="Arial Narrow" w:eastAsia="Calibri" w:hAnsi="Arial Narrow"/>
          <w:sz w:val="24"/>
          <w:szCs w:val="24"/>
        </w:rPr>
      </w:pPr>
      <w:r w:rsidRPr="000A79B3">
        <w:rPr>
          <w:rFonts w:ascii="Arial Narrow" w:eastAsia="Calibri" w:hAnsi="Arial Narrow"/>
          <w:sz w:val="24"/>
          <w:szCs w:val="24"/>
        </w:rPr>
        <w:t>Обратить особое внимание на работу по повышению доступности муниципальных услуг для представителей бизнес-сообщества в Новосибирском и Чановском районах, где 36 % респондентов считают бюрократические барьеры наиболее значимыми.</w:t>
      </w:r>
    </w:p>
    <w:p w:rsidR="00A64028" w:rsidRPr="000A79B3" w:rsidRDefault="00A64028" w:rsidP="00F170CC">
      <w:pPr>
        <w:spacing w:after="0" w:line="360" w:lineRule="auto"/>
        <w:ind w:firstLine="284"/>
        <w:contextualSpacing/>
        <w:jc w:val="both"/>
        <w:rPr>
          <w:rFonts w:ascii="Arial Narrow" w:hAnsi="Arial Narrow"/>
          <w:b/>
          <w:sz w:val="24"/>
          <w:szCs w:val="24"/>
        </w:rPr>
      </w:pPr>
      <w:r>
        <w:rPr>
          <w:rFonts w:ascii="Arial Narrow" w:hAnsi="Arial Narrow"/>
          <w:b/>
          <w:sz w:val="24"/>
          <w:szCs w:val="24"/>
        </w:rPr>
        <w:t>6</w:t>
      </w:r>
      <w:r w:rsidRPr="000A79B3">
        <w:rPr>
          <w:rFonts w:ascii="Arial Narrow" w:hAnsi="Arial Narrow"/>
          <w:b/>
          <w:sz w:val="24"/>
          <w:szCs w:val="24"/>
        </w:rPr>
        <w:t xml:space="preserve">. Обеспечить соблюдение законодательства, регулирующего проведение госзакупок, органами государственной власти и местного самоуправления </w:t>
      </w:r>
      <w:r w:rsidRPr="0029730E">
        <w:rPr>
          <w:rFonts w:ascii="Arial Narrow" w:hAnsi="Arial Narrow"/>
          <w:sz w:val="24"/>
          <w:szCs w:val="24"/>
        </w:rPr>
        <w:t>(в 2016 г. в Новосибирское УФАС поступило 1200 жалоб от участников закупок, из них 31 % – на областных заказчиков и 30 % – на муниципальных заказчиков, остальные – на федеральных).</w:t>
      </w:r>
    </w:p>
    <w:p w:rsidR="00A64028" w:rsidRPr="000A79B3" w:rsidRDefault="00A64028" w:rsidP="00F170CC">
      <w:pPr>
        <w:spacing w:after="0" w:line="360" w:lineRule="auto"/>
        <w:ind w:firstLine="284"/>
        <w:contextualSpacing/>
        <w:jc w:val="both"/>
        <w:rPr>
          <w:rFonts w:ascii="Arial Narrow" w:hAnsi="Arial Narrow"/>
          <w:b/>
          <w:sz w:val="24"/>
          <w:szCs w:val="24"/>
        </w:rPr>
      </w:pPr>
      <w:r>
        <w:rPr>
          <w:rFonts w:ascii="Arial Narrow" w:hAnsi="Arial Narrow"/>
          <w:b/>
          <w:sz w:val="24"/>
          <w:szCs w:val="24"/>
        </w:rPr>
        <w:t>7.</w:t>
      </w:r>
      <w:r w:rsidRPr="000A79B3">
        <w:rPr>
          <w:rFonts w:ascii="Arial Narrow" w:hAnsi="Arial Narrow"/>
          <w:b/>
          <w:sz w:val="24"/>
          <w:szCs w:val="24"/>
        </w:rPr>
        <w:t xml:space="preserve"> Принять меры по повышению доступности и прозрачности закупок компаний с госучастием и субъектов естественных монополий.</w:t>
      </w:r>
    </w:p>
    <w:p w:rsidR="00A64028" w:rsidRPr="000A79B3" w:rsidRDefault="00A64028" w:rsidP="00F170CC">
      <w:pPr>
        <w:spacing w:after="0" w:line="360" w:lineRule="auto"/>
        <w:ind w:firstLine="284"/>
        <w:jc w:val="both"/>
        <w:rPr>
          <w:rFonts w:ascii="Arial Narrow" w:eastAsia="Calibri" w:hAnsi="Arial Narrow"/>
          <w:sz w:val="24"/>
          <w:szCs w:val="24"/>
        </w:rPr>
      </w:pPr>
      <w:r w:rsidRPr="000A79B3">
        <w:rPr>
          <w:rFonts w:ascii="Arial Narrow" w:eastAsia="Calibri" w:hAnsi="Arial Narrow"/>
          <w:sz w:val="24"/>
          <w:szCs w:val="24"/>
        </w:rPr>
        <w:t>Особое внимание следует обратить на ограничение доступа к закупкам компаний с госучастием и субъектов естественных монополий на рынке услуг связи, где 16 % считают ограничение доступа к данным закупкам наиболее значимым барьером.</w:t>
      </w:r>
    </w:p>
    <w:p w:rsidR="00A64028" w:rsidRPr="000A79B3" w:rsidRDefault="00A64028" w:rsidP="00F170CC">
      <w:pPr>
        <w:spacing w:after="0" w:line="360" w:lineRule="auto"/>
        <w:ind w:firstLine="284"/>
        <w:jc w:val="both"/>
        <w:rPr>
          <w:rFonts w:ascii="Arial Narrow" w:eastAsia="Calibri" w:hAnsi="Arial Narrow"/>
          <w:sz w:val="24"/>
          <w:szCs w:val="24"/>
        </w:rPr>
      </w:pPr>
      <w:r w:rsidRPr="000A79B3">
        <w:rPr>
          <w:rFonts w:ascii="Arial Narrow" w:eastAsia="Calibri" w:hAnsi="Arial Narrow"/>
          <w:sz w:val="24"/>
          <w:szCs w:val="24"/>
        </w:rPr>
        <w:t>Необходимо принять меры по обеспечению равного доступа к закупкам компаний с госучастием и субъектов естественных монополий в Купинском, Карасукском и Здвинском районах, где более 30 % представителей бизнеса отмечают ограничение доступа к данным закупкам в качестве наиболее значимого барьера.</w:t>
      </w:r>
    </w:p>
    <w:p w:rsidR="00A64028" w:rsidRPr="000A79B3" w:rsidRDefault="00A64028" w:rsidP="00F170CC">
      <w:pPr>
        <w:spacing w:after="0" w:line="360" w:lineRule="auto"/>
        <w:ind w:firstLine="284"/>
        <w:contextualSpacing/>
        <w:jc w:val="both"/>
        <w:rPr>
          <w:rFonts w:ascii="Arial Narrow" w:hAnsi="Arial Narrow"/>
          <w:b/>
          <w:sz w:val="24"/>
          <w:szCs w:val="24"/>
        </w:rPr>
      </w:pPr>
      <w:r>
        <w:rPr>
          <w:rFonts w:ascii="Arial Narrow" w:hAnsi="Arial Narrow"/>
          <w:b/>
          <w:sz w:val="24"/>
          <w:szCs w:val="24"/>
        </w:rPr>
        <w:t>8</w:t>
      </w:r>
      <w:r w:rsidRPr="000A79B3">
        <w:rPr>
          <w:rFonts w:ascii="Arial Narrow" w:hAnsi="Arial Narrow"/>
          <w:b/>
          <w:sz w:val="24"/>
          <w:szCs w:val="24"/>
        </w:rPr>
        <w:t>. Обеспечить соблюдение законодательства, регулирующего проведение торгов, в частности при аренде и продаже земельных участков, находящихся в государственной или муниципальной собственности, при аренде, получении в безвозмездное пользование, передаче прав владения или пользования в отношении государственного или муниципального имущества, при отборе управляющей организации для управления многоквартирным домом (в 2016 г. в Новосибирское УФАС поступило 224 жалобы на нарушения при проведении торгов).</w:t>
      </w:r>
    </w:p>
    <w:p w:rsidR="00A64028" w:rsidRPr="000A79B3" w:rsidRDefault="00A64028" w:rsidP="00F170CC">
      <w:pPr>
        <w:spacing w:after="0" w:line="360" w:lineRule="auto"/>
        <w:ind w:firstLine="284"/>
        <w:jc w:val="both"/>
        <w:rPr>
          <w:rFonts w:ascii="Arial Narrow" w:eastAsia="Calibri" w:hAnsi="Arial Narrow"/>
          <w:sz w:val="24"/>
          <w:szCs w:val="24"/>
        </w:rPr>
      </w:pPr>
      <w:r w:rsidRPr="000A79B3">
        <w:rPr>
          <w:rFonts w:ascii="Arial Narrow" w:eastAsia="Calibri" w:hAnsi="Arial Narrow"/>
          <w:sz w:val="24"/>
          <w:szCs w:val="24"/>
        </w:rPr>
        <w:t>Повысить доступность земельных участков для участников рынков услуг по сбору, сортировке и переработке твердых коммунальных отходов, развития, производства, переработки и хранения сельскохозяйственной продукции,</w:t>
      </w:r>
      <w:r w:rsidRPr="000A79B3">
        <w:rPr>
          <w:rFonts w:ascii="Arial Narrow" w:eastAsia="Calibri" w:hAnsi="Arial Narrow" w:cs="Arial Narrow"/>
          <w:sz w:val="24"/>
          <w:szCs w:val="24"/>
        </w:rPr>
        <w:t xml:space="preserve"> а также р</w:t>
      </w:r>
      <w:r w:rsidRPr="000A79B3">
        <w:rPr>
          <w:rFonts w:ascii="Arial Narrow" w:eastAsia="Calibri" w:hAnsi="Arial Narrow"/>
          <w:sz w:val="24"/>
          <w:szCs w:val="24"/>
        </w:rPr>
        <w:t>ынка дополнительного образования детей (16–20 % от числа опрошенных в этих сферах считают сложность получения доступа к земельным участкам основным административным барьером).</w:t>
      </w:r>
    </w:p>
    <w:p w:rsidR="00A64028" w:rsidRPr="000A79B3" w:rsidRDefault="00A64028" w:rsidP="00F170CC">
      <w:pPr>
        <w:spacing w:after="0" w:line="360" w:lineRule="auto"/>
        <w:ind w:firstLine="284"/>
        <w:jc w:val="both"/>
        <w:rPr>
          <w:rFonts w:ascii="Arial Narrow" w:eastAsia="Calibri" w:hAnsi="Arial Narrow"/>
          <w:sz w:val="24"/>
          <w:szCs w:val="24"/>
        </w:rPr>
      </w:pPr>
      <w:r w:rsidRPr="000A79B3">
        <w:rPr>
          <w:rFonts w:ascii="Arial Narrow" w:eastAsia="Calibri" w:hAnsi="Arial Narrow"/>
          <w:sz w:val="24"/>
          <w:szCs w:val="24"/>
        </w:rPr>
        <w:t>Провести работу по повышению доступности земельных участков в Баганском и Усть-Таркском районах, где более 30 % представителей бизнеса считают сложность получения доступа к земельным участкам основным административным барьером.</w:t>
      </w:r>
    </w:p>
    <w:p w:rsidR="00A64028" w:rsidRPr="000A79B3" w:rsidRDefault="00A64028" w:rsidP="00F170CC">
      <w:pPr>
        <w:spacing w:after="0" w:line="360" w:lineRule="auto"/>
        <w:ind w:firstLine="284"/>
        <w:jc w:val="both"/>
        <w:rPr>
          <w:rFonts w:ascii="Arial Narrow" w:hAnsi="Arial Narrow"/>
          <w:sz w:val="24"/>
          <w:szCs w:val="24"/>
        </w:rPr>
      </w:pPr>
      <w:r>
        <w:rPr>
          <w:rFonts w:ascii="Arial Narrow" w:hAnsi="Arial Narrow"/>
          <w:b/>
          <w:sz w:val="24"/>
          <w:szCs w:val="24"/>
        </w:rPr>
        <w:lastRenderedPageBreak/>
        <w:t>9.</w:t>
      </w:r>
      <w:r w:rsidRPr="0029730E">
        <w:rPr>
          <w:rFonts w:ascii="Arial Narrow" w:hAnsi="Arial Narrow"/>
          <w:b/>
          <w:sz w:val="24"/>
          <w:szCs w:val="24"/>
        </w:rPr>
        <w:t xml:space="preserve"> Рассмотреть возможность снижения влияния государственных</w:t>
      </w:r>
      <w:r>
        <w:rPr>
          <w:rFonts w:ascii="Arial Narrow" w:hAnsi="Arial Narrow"/>
          <w:b/>
          <w:sz w:val="24"/>
          <w:szCs w:val="24"/>
        </w:rPr>
        <w:t xml:space="preserve"> /муниципальных</w:t>
      </w:r>
      <w:r w:rsidRPr="0029730E">
        <w:rPr>
          <w:rFonts w:ascii="Arial Narrow" w:hAnsi="Arial Narrow"/>
          <w:b/>
          <w:sz w:val="24"/>
          <w:szCs w:val="24"/>
        </w:rPr>
        <w:t xml:space="preserve"> хозяйствующих субъектов</w:t>
      </w:r>
      <w:r w:rsidRPr="000A79B3">
        <w:rPr>
          <w:rFonts w:ascii="Arial Narrow" w:hAnsi="Arial Narrow"/>
          <w:sz w:val="24"/>
          <w:szCs w:val="24"/>
        </w:rPr>
        <w:t xml:space="preserve"> на деятельность негосударственных организаций, увеличить долю рынка/количество обслуживаемых потребителей частных организаций (посредством передачи данных долей или передачи государственных/ муниципальных организаций в частную собственность).</w:t>
      </w:r>
    </w:p>
    <w:p w:rsidR="00A64028" w:rsidRPr="000A79B3" w:rsidRDefault="00A64028" w:rsidP="00F170CC">
      <w:pPr>
        <w:spacing w:after="0" w:line="360" w:lineRule="auto"/>
        <w:ind w:firstLine="284"/>
        <w:jc w:val="both"/>
        <w:rPr>
          <w:rFonts w:ascii="Arial Narrow" w:hAnsi="Arial Narrow"/>
          <w:sz w:val="24"/>
          <w:szCs w:val="24"/>
        </w:rPr>
      </w:pPr>
      <w:r w:rsidRPr="0029730E">
        <w:rPr>
          <w:rFonts w:ascii="Arial Narrow" w:hAnsi="Arial Narrow"/>
          <w:b/>
          <w:sz w:val="24"/>
          <w:szCs w:val="24"/>
        </w:rPr>
        <w:t>1</w:t>
      </w:r>
      <w:r>
        <w:rPr>
          <w:rFonts w:ascii="Arial Narrow" w:hAnsi="Arial Narrow"/>
          <w:b/>
          <w:sz w:val="24"/>
          <w:szCs w:val="24"/>
        </w:rPr>
        <w:t>0</w:t>
      </w:r>
      <w:r w:rsidRPr="0029730E">
        <w:rPr>
          <w:rFonts w:ascii="Arial Narrow" w:hAnsi="Arial Narrow"/>
          <w:b/>
          <w:sz w:val="24"/>
          <w:szCs w:val="24"/>
        </w:rPr>
        <w:t>. Рассмотреть новые и инновационные возможности снижения издержек малых и средних предприятий</w:t>
      </w:r>
      <w:r w:rsidRPr="000A79B3">
        <w:rPr>
          <w:rFonts w:ascii="Arial Narrow" w:hAnsi="Arial Narrow"/>
          <w:sz w:val="24"/>
          <w:szCs w:val="24"/>
        </w:rPr>
        <w:t>, в том числе, за счет:</w:t>
      </w:r>
    </w:p>
    <w:p w:rsidR="00A64028" w:rsidRPr="000A79B3" w:rsidRDefault="00A64028" w:rsidP="00F170CC">
      <w:pPr>
        <w:spacing w:after="0" w:line="360" w:lineRule="auto"/>
        <w:ind w:firstLine="284"/>
        <w:jc w:val="both"/>
        <w:rPr>
          <w:rFonts w:ascii="Arial Narrow" w:hAnsi="Arial Narrow"/>
          <w:sz w:val="24"/>
          <w:szCs w:val="24"/>
        </w:rPr>
      </w:pPr>
      <w:r w:rsidRPr="000A79B3">
        <w:rPr>
          <w:rFonts w:ascii="Arial Narrow" w:hAnsi="Arial Narrow"/>
          <w:sz w:val="24"/>
          <w:szCs w:val="24"/>
        </w:rPr>
        <w:t>- использования новых информационно-коммуникационных технологий (в частности, продвижения товаров, работ и услуг в сети Интернет, предоставления услуг в он-лайн формате, использования систем учета, банковских услуг в он-лайн формате),</w:t>
      </w:r>
    </w:p>
    <w:p w:rsidR="00A64028" w:rsidRPr="000A79B3" w:rsidRDefault="00A64028" w:rsidP="00F170CC">
      <w:pPr>
        <w:spacing w:after="0" w:line="360" w:lineRule="auto"/>
        <w:ind w:firstLine="284"/>
        <w:jc w:val="both"/>
        <w:rPr>
          <w:rFonts w:ascii="Arial Narrow" w:hAnsi="Arial Narrow"/>
          <w:sz w:val="24"/>
          <w:szCs w:val="24"/>
        </w:rPr>
      </w:pPr>
      <w:r w:rsidRPr="000A79B3">
        <w:rPr>
          <w:rFonts w:ascii="Arial Narrow" w:hAnsi="Arial Narrow"/>
          <w:sz w:val="24"/>
          <w:szCs w:val="24"/>
        </w:rPr>
        <w:t xml:space="preserve">- коллективных закупок, </w:t>
      </w:r>
    </w:p>
    <w:p w:rsidR="00A64028" w:rsidRPr="000A79B3" w:rsidRDefault="00A64028" w:rsidP="00F170CC">
      <w:pPr>
        <w:spacing w:after="0" w:line="360" w:lineRule="auto"/>
        <w:ind w:firstLine="284"/>
        <w:jc w:val="both"/>
        <w:rPr>
          <w:rFonts w:ascii="Arial Narrow" w:hAnsi="Arial Narrow"/>
          <w:sz w:val="24"/>
          <w:szCs w:val="24"/>
        </w:rPr>
      </w:pPr>
      <w:r w:rsidRPr="000A79B3">
        <w:rPr>
          <w:rFonts w:ascii="Arial Narrow" w:hAnsi="Arial Narrow"/>
          <w:sz w:val="24"/>
          <w:szCs w:val="24"/>
        </w:rPr>
        <w:t>- льготных условий обучения и повышения квалификации работников малых предприятий,</w:t>
      </w:r>
    </w:p>
    <w:p w:rsidR="00A64028" w:rsidRPr="000A79B3" w:rsidRDefault="00A64028" w:rsidP="00F170CC">
      <w:pPr>
        <w:spacing w:after="0" w:line="360" w:lineRule="auto"/>
        <w:ind w:firstLine="284"/>
        <w:jc w:val="both"/>
        <w:rPr>
          <w:rFonts w:ascii="Arial Narrow" w:hAnsi="Arial Narrow"/>
          <w:sz w:val="24"/>
          <w:szCs w:val="24"/>
        </w:rPr>
      </w:pPr>
      <w:r w:rsidRPr="000A79B3">
        <w:rPr>
          <w:rFonts w:ascii="Arial Narrow" w:hAnsi="Arial Narrow"/>
          <w:sz w:val="24"/>
          <w:szCs w:val="24"/>
        </w:rPr>
        <w:t>- осуществлении информационно-методической поддержки по вопросам ведения бизнеса (в том числе, в муниципальных образованиях). Проведение обучения работников органов местного самоуправления по данному направлению,</w:t>
      </w:r>
    </w:p>
    <w:p w:rsidR="00A64028" w:rsidRDefault="00A64028" w:rsidP="00F170CC">
      <w:pPr>
        <w:spacing w:after="0" w:line="360" w:lineRule="auto"/>
        <w:ind w:firstLine="284"/>
        <w:jc w:val="both"/>
        <w:rPr>
          <w:rFonts w:ascii="Arial Narrow" w:hAnsi="Arial Narrow"/>
          <w:sz w:val="24"/>
          <w:szCs w:val="24"/>
        </w:rPr>
      </w:pPr>
      <w:r w:rsidRPr="000A79B3">
        <w:rPr>
          <w:rFonts w:ascii="Arial Narrow" w:hAnsi="Arial Narrow"/>
          <w:sz w:val="24"/>
          <w:szCs w:val="24"/>
        </w:rPr>
        <w:t>- отсрочка выплат заемных средств, выданных хозяйствующим субъектам в рамках реализации мер поддержки малого и среднего предпринимательства.</w:t>
      </w:r>
    </w:p>
    <w:p w:rsidR="00A64028" w:rsidRPr="000A79B3" w:rsidRDefault="00A64028" w:rsidP="00F170CC">
      <w:pPr>
        <w:spacing w:after="0" w:line="360" w:lineRule="auto"/>
        <w:ind w:firstLine="284"/>
        <w:rPr>
          <w:rFonts w:ascii="Arial Narrow" w:hAnsi="Arial Narrow"/>
          <w:b/>
          <w:sz w:val="24"/>
          <w:szCs w:val="24"/>
          <w:u w:val="single"/>
        </w:rPr>
      </w:pPr>
      <w:r w:rsidRPr="000A79B3">
        <w:rPr>
          <w:rFonts w:ascii="Arial Narrow" w:hAnsi="Arial Narrow"/>
          <w:b/>
          <w:sz w:val="24"/>
          <w:szCs w:val="24"/>
          <w:u w:val="single"/>
        </w:rPr>
        <w:t>Предложения для отдельных социально значимых и приоритетных рынков</w:t>
      </w:r>
    </w:p>
    <w:p w:rsidR="00A64028" w:rsidRPr="000A79B3" w:rsidRDefault="00A64028" w:rsidP="00F170CC">
      <w:pPr>
        <w:spacing w:after="0" w:line="360" w:lineRule="auto"/>
        <w:ind w:firstLine="284"/>
        <w:rPr>
          <w:rFonts w:ascii="Arial Narrow" w:hAnsi="Arial Narrow"/>
          <w:sz w:val="24"/>
          <w:szCs w:val="24"/>
          <w:u w:val="single"/>
        </w:rPr>
      </w:pPr>
      <w:r w:rsidRPr="000A79B3">
        <w:rPr>
          <w:rFonts w:ascii="Arial Narrow" w:hAnsi="Arial Narrow"/>
          <w:sz w:val="24"/>
          <w:szCs w:val="24"/>
          <w:u w:val="single"/>
        </w:rPr>
        <w:t xml:space="preserve">Рынок услуг дошкольного образования: </w:t>
      </w:r>
    </w:p>
    <w:p w:rsidR="00A64028" w:rsidRPr="000A79B3" w:rsidRDefault="00A64028" w:rsidP="00F170CC">
      <w:pPr>
        <w:spacing w:after="0" w:line="360" w:lineRule="auto"/>
        <w:ind w:firstLine="284"/>
        <w:jc w:val="both"/>
        <w:rPr>
          <w:rFonts w:ascii="Arial Narrow" w:hAnsi="Arial Narrow"/>
          <w:sz w:val="24"/>
          <w:szCs w:val="24"/>
        </w:rPr>
      </w:pPr>
      <w:r w:rsidRPr="000A79B3">
        <w:rPr>
          <w:rFonts w:ascii="Arial Narrow" w:hAnsi="Arial Narrow"/>
          <w:sz w:val="24"/>
          <w:szCs w:val="24"/>
        </w:rPr>
        <w:t>1</w:t>
      </w:r>
      <w:r>
        <w:rPr>
          <w:rFonts w:ascii="Arial Narrow" w:hAnsi="Arial Narrow"/>
          <w:sz w:val="24"/>
          <w:szCs w:val="24"/>
        </w:rPr>
        <w:t>1</w:t>
      </w:r>
      <w:r w:rsidRPr="000A79B3">
        <w:rPr>
          <w:rFonts w:ascii="Arial Narrow" w:hAnsi="Arial Narrow"/>
          <w:sz w:val="24"/>
          <w:szCs w:val="24"/>
        </w:rPr>
        <w:t>. Развитие «семейных» детских садов в территориях с низкой доступностью дошкольного образования. Методическая поддержка и проведение регулярных проверок качества предоставления услуг.</w:t>
      </w:r>
    </w:p>
    <w:p w:rsidR="00A64028" w:rsidRPr="000A79B3" w:rsidRDefault="00A64028" w:rsidP="00F170CC">
      <w:pPr>
        <w:spacing w:after="0" w:line="360" w:lineRule="auto"/>
        <w:ind w:firstLine="284"/>
        <w:jc w:val="both"/>
        <w:rPr>
          <w:rFonts w:ascii="Arial Narrow" w:hAnsi="Arial Narrow"/>
          <w:sz w:val="24"/>
          <w:szCs w:val="24"/>
        </w:rPr>
      </w:pPr>
      <w:r w:rsidRPr="000A79B3">
        <w:rPr>
          <w:rFonts w:ascii="Arial Narrow" w:hAnsi="Arial Narrow"/>
          <w:sz w:val="24"/>
          <w:szCs w:val="24"/>
        </w:rPr>
        <w:t>1</w:t>
      </w:r>
      <w:r>
        <w:rPr>
          <w:rFonts w:ascii="Arial Narrow" w:hAnsi="Arial Narrow"/>
          <w:sz w:val="24"/>
          <w:szCs w:val="24"/>
        </w:rPr>
        <w:t>2</w:t>
      </w:r>
      <w:r w:rsidRPr="000A79B3">
        <w:rPr>
          <w:rFonts w:ascii="Arial Narrow" w:hAnsi="Arial Narrow"/>
          <w:sz w:val="24"/>
          <w:szCs w:val="24"/>
        </w:rPr>
        <w:t>. Развитие услуг пребывания детей неполного дня (4 часа и менее), в том числе, в территориях с низкой доступностью дошкольного образования.</w:t>
      </w:r>
    </w:p>
    <w:p w:rsidR="00A64028" w:rsidRPr="000A79B3" w:rsidRDefault="00A64028" w:rsidP="00F170CC">
      <w:pPr>
        <w:spacing w:after="0" w:line="360" w:lineRule="auto"/>
        <w:ind w:firstLine="284"/>
        <w:jc w:val="both"/>
        <w:rPr>
          <w:rFonts w:ascii="Arial Narrow" w:hAnsi="Arial Narrow"/>
          <w:sz w:val="24"/>
          <w:szCs w:val="24"/>
          <w:u w:val="single"/>
        </w:rPr>
      </w:pPr>
      <w:r w:rsidRPr="000A79B3">
        <w:rPr>
          <w:rFonts w:ascii="Arial Narrow" w:hAnsi="Arial Narrow"/>
          <w:sz w:val="24"/>
          <w:szCs w:val="24"/>
          <w:u w:val="single"/>
        </w:rPr>
        <w:t>Рынок услуг детского отдыха и оздоровления:</w:t>
      </w:r>
    </w:p>
    <w:p w:rsidR="00A64028" w:rsidRPr="000A79B3" w:rsidRDefault="00A64028" w:rsidP="00F170CC">
      <w:pPr>
        <w:spacing w:after="0" w:line="360" w:lineRule="auto"/>
        <w:ind w:firstLine="284"/>
        <w:jc w:val="both"/>
        <w:rPr>
          <w:rFonts w:ascii="Arial Narrow" w:hAnsi="Arial Narrow"/>
          <w:sz w:val="24"/>
          <w:szCs w:val="24"/>
        </w:rPr>
      </w:pPr>
      <w:r w:rsidRPr="000A79B3">
        <w:rPr>
          <w:rFonts w:ascii="Arial Narrow" w:hAnsi="Arial Narrow"/>
          <w:sz w:val="24"/>
          <w:szCs w:val="24"/>
        </w:rPr>
        <w:t>1</w:t>
      </w:r>
      <w:r>
        <w:rPr>
          <w:rFonts w:ascii="Arial Narrow" w:hAnsi="Arial Narrow"/>
          <w:sz w:val="24"/>
          <w:szCs w:val="24"/>
        </w:rPr>
        <w:t>3</w:t>
      </w:r>
      <w:r w:rsidRPr="000A79B3">
        <w:rPr>
          <w:rFonts w:ascii="Arial Narrow" w:hAnsi="Arial Narrow"/>
          <w:sz w:val="24"/>
          <w:szCs w:val="24"/>
        </w:rPr>
        <w:t xml:space="preserve">. Увеличение количества путевок в действующих организациях путем компенсации части затрат организаций на расширение деятельности организации или предоставления налоговых льгот в течение последующих 2 лет работы, либо предоставление заемных средств на льготных условиях. </w:t>
      </w:r>
    </w:p>
    <w:p w:rsidR="00A64028" w:rsidRPr="000A79B3" w:rsidRDefault="00A64028" w:rsidP="00F170CC">
      <w:pPr>
        <w:spacing w:after="0" w:line="360" w:lineRule="auto"/>
        <w:ind w:firstLine="284"/>
        <w:jc w:val="both"/>
        <w:rPr>
          <w:rFonts w:ascii="Arial Narrow" w:hAnsi="Arial Narrow"/>
          <w:sz w:val="24"/>
          <w:szCs w:val="24"/>
        </w:rPr>
      </w:pPr>
      <w:r w:rsidRPr="000A79B3">
        <w:rPr>
          <w:rFonts w:ascii="Arial Narrow" w:hAnsi="Arial Narrow"/>
          <w:sz w:val="24"/>
          <w:szCs w:val="24"/>
        </w:rPr>
        <w:t>1</w:t>
      </w:r>
      <w:r>
        <w:rPr>
          <w:rFonts w:ascii="Arial Narrow" w:hAnsi="Arial Narrow"/>
          <w:sz w:val="24"/>
          <w:szCs w:val="24"/>
        </w:rPr>
        <w:t>4</w:t>
      </w:r>
      <w:r w:rsidRPr="000A79B3">
        <w:rPr>
          <w:rFonts w:ascii="Arial Narrow" w:hAnsi="Arial Narrow"/>
          <w:sz w:val="24"/>
          <w:szCs w:val="24"/>
        </w:rPr>
        <w:t>. Обеспечение гарантии выкупа 80% предоставляемых организацией услуг детского отдыха и оздоровления с помощью предоставления получателям услуг льготных путевок.</w:t>
      </w:r>
    </w:p>
    <w:p w:rsidR="00A64028" w:rsidRPr="000A79B3" w:rsidRDefault="00A64028" w:rsidP="00F170CC">
      <w:pPr>
        <w:spacing w:after="0" w:line="360" w:lineRule="auto"/>
        <w:ind w:firstLine="284"/>
        <w:jc w:val="both"/>
        <w:rPr>
          <w:rFonts w:ascii="Arial Narrow" w:hAnsi="Arial Narrow"/>
          <w:sz w:val="24"/>
          <w:szCs w:val="24"/>
          <w:u w:val="single"/>
        </w:rPr>
      </w:pPr>
      <w:r w:rsidRPr="000A79B3">
        <w:rPr>
          <w:rFonts w:ascii="Arial Narrow" w:hAnsi="Arial Narrow"/>
          <w:sz w:val="24"/>
          <w:szCs w:val="24"/>
          <w:u w:val="single"/>
        </w:rPr>
        <w:t>Рынок услуг дополнительного образования детей:</w:t>
      </w:r>
    </w:p>
    <w:p w:rsidR="00A64028" w:rsidRPr="000A79B3" w:rsidRDefault="00A64028" w:rsidP="00F170CC">
      <w:pPr>
        <w:spacing w:after="0" w:line="360" w:lineRule="auto"/>
        <w:ind w:firstLine="284"/>
        <w:jc w:val="both"/>
        <w:rPr>
          <w:rFonts w:ascii="Arial Narrow" w:hAnsi="Arial Narrow"/>
          <w:sz w:val="24"/>
          <w:szCs w:val="24"/>
        </w:rPr>
      </w:pPr>
      <w:r w:rsidRPr="000A79B3">
        <w:rPr>
          <w:rFonts w:ascii="Arial Narrow" w:hAnsi="Arial Narrow"/>
          <w:sz w:val="24"/>
          <w:szCs w:val="24"/>
        </w:rPr>
        <w:t>1</w:t>
      </w:r>
      <w:r>
        <w:rPr>
          <w:rFonts w:ascii="Arial Narrow" w:hAnsi="Arial Narrow"/>
          <w:sz w:val="24"/>
          <w:szCs w:val="24"/>
        </w:rPr>
        <w:t>5</w:t>
      </w:r>
      <w:r w:rsidRPr="000A79B3">
        <w:rPr>
          <w:rFonts w:ascii="Arial Narrow" w:hAnsi="Arial Narrow"/>
          <w:sz w:val="24"/>
          <w:szCs w:val="24"/>
        </w:rPr>
        <w:t>. Проведение исследования востребованности услуг дополнительного образования, разработка методики самостоятельной оценки организациями востребованности услуг и их качества.</w:t>
      </w:r>
    </w:p>
    <w:p w:rsidR="00A64028" w:rsidRPr="000A79B3" w:rsidRDefault="00A64028" w:rsidP="00F170CC">
      <w:pPr>
        <w:spacing w:after="0" w:line="360" w:lineRule="auto"/>
        <w:ind w:firstLine="284"/>
        <w:jc w:val="both"/>
        <w:rPr>
          <w:rFonts w:ascii="Arial Narrow" w:hAnsi="Arial Narrow"/>
          <w:sz w:val="24"/>
          <w:szCs w:val="24"/>
        </w:rPr>
      </w:pPr>
      <w:r>
        <w:rPr>
          <w:rFonts w:ascii="Arial Narrow" w:hAnsi="Arial Narrow"/>
          <w:sz w:val="24"/>
          <w:szCs w:val="24"/>
        </w:rPr>
        <w:t>16</w:t>
      </w:r>
      <w:r w:rsidRPr="000A79B3">
        <w:rPr>
          <w:rFonts w:ascii="Arial Narrow" w:hAnsi="Arial Narrow"/>
          <w:sz w:val="24"/>
          <w:szCs w:val="24"/>
        </w:rPr>
        <w:t>. Поддержка общественных инициатив жителей муниципальных образований области с целью развития сферы услуг дополнительного образования.</w:t>
      </w:r>
    </w:p>
    <w:p w:rsidR="00A64028" w:rsidRPr="000A79B3" w:rsidRDefault="00A64028" w:rsidP="00F170CC">
      <w:pPr>
        <w:spacing w:after="0" w:line="360" w:lineRule="auto"/>
        <w:ind w:firstLine="284"/>
        <w:jc w:val="both"/>
        <w:rPr>
          <w:rFonts w:ascii="Arial Narrow" w:hAnsi="Arial Narrow"/>
          <w:sz w:val="24"/>
          <w:szCs w:val="24"/>
          <w:u w:val="single"/>
        </w:rPr>
      </w:pPr>
      <w:r w:rsidRPr="000A79B3">
        <w:rPr>
          <w:rFonts w:ascii="Arial Narrow" w:hAnsi="Arial Narrow"/>
          <w:sz w:val="24"/>
          <w:szCs w:val="24"/>
          <w:u w:val="single"/>
        </w:rPr>
        <w:t>Рынок медицинских услуг:</w:t>
      </w:r>
    </w:p>
    <w:p w:rsidR="00A64028" w:rsidRPr="000A79B3" w:rsidRDefault="00A64028" w:rsidP="00F170CC">
      <w:pPr>
        <w:spacing w:after="0" w:line="360" w:lineRule="auto"/>
        <w:ind w:firstLine="284"/>
        <w:jc w:val="both"/>
        <w:rPr>
          <w:rFonts w:ascii="Arial Narrow" w:hAnsi="Arial Narrow"/>
          <w:sz w:val="24"/>
          <w:szCs w:val="24"/>
        </w:rPr>
      </w:pPr>
      <w:r>
        <w:rPr>
          <w:rFonts w:ascii="Arial Narrow" w:hAnsi="Arial Narrow"/>
          <w:sz w:val="24"/>
          <w:szCs w:val="24"/>
        </w:rPr>
        <w:lastRenderedPageBreak/>
        <w:t>17</w:t>
      </w:r>
      <w:r w:rsidRPr="000A79B3">
        <w:rPr>
          <w:rFonts w:ascii="Arial Narrow" w:hAnsi="Arial Narrow"/>
          <w:sz w:val="24"/>
          <w:szCs w:val="24"/>
        </w:rPr>
        <w:t>. Разработка и внедрение единого алгоритма распределения медицинской помощи между медицинскими организациями, отвечающими единым критериям и требованиям.</w:t>
      </w:r>
    </w:p>
    <w:p w:rsidR="00A64028" w:rsidRPr="000A79B3" w:rsidRDefault="00A64028" w:rsidP="00F170CC">
      <w:pPr>
        <w:spacing w:after="0" w:line="360" w:lineRule="auto"/>
        <w:ind w:firstLine="284"/>
        <w:jc w:val="both"/>
        <w:rPr>
          <w:rFonts w:ascii="Arial Narrow" w:hAnsi="Arial Narrow"/>
          <w:sz w:val="24"/>
          <w:szCs w:val="24"/>
        </w:rPr>
      </w:pPr>
      <w:r>
        <w:rPr>
          <w:rFonts w:ascii="Arial Narrow" w:hAnsi="Arial Narrow"/>
          <w:sz w:val="24"/>
          <w:szCs w:val="24"/>
        </w:rPr>
        <w:t>18</w:t>
      </w:r>
      <w:r w:rsidRPr="000A79B3">
        <w:rPr>
          <w:rFonts w:ascii="Arial Narrow" w:hAnsi="Arial Narrow"/>
          <w:sz w:val="24"/>
          <w:szCs w:val="24"/>
        </w:rPr>
        <w:t>. Разработка методики ценообразования и учета платных медицинских услуг, предоставляемых государственными медицинскими организациями.</w:t>
      </w:r>
    </w:p>
    <w:p w:rsidR="00A64028" w:rsidRPr="000A79B3" w:rsidRDefault="00A64028" w:rsidP="00F170CC">
      <w:pPr>
        <w:spacing w:after="0" w:line="360" w:lineRule="auto"/>
        <w:ind w:firstLine="284"/>
        <w:jc w:val="both"/>
        <w:rPr>
          <w:rFonts w:ascii="Arial Narrow" w:hAnsi="Arial Narrow"/>
          <w:sz w:val="24"/>
          <w:szCs w:val="24"/>
        </w:rPr>
      </w:pPr>
      <w:r>
        <w:rPr>
          <w:rFonts w:ascii="Arial Narrow" w:hAnsi="Arial Narrow"/>
          <w:sz w:val="24"/>
          <w:szCs w:val="24"/>
        </w:rPr>
        <w:t>19</w:t>
      </w:r>
      <w:r w:rsidRPr="000A79B3">
        <w:rPr>
          <w:rFonts w:ascii="Arial Narrow" w:hAnsi="Arial Narrow"/>
          <w:sz w:val="24"/>
          <w:szCs w:val="24"/>
        </w:rPr>
        <w:t>. Создание и ведение реестра востребованных медицинских услуг на территории муниципальных образований Новосибирской области, предоставление данной информации участникам рынка.</w:t>
      </w:r>
    </w:p>
    <w:p w:rsidR="00A64028" w:rsidRPr="000A79B3" w:rsidRDefault="00A64028" w:rsidP="00F170CC">
      <w:pPr>
        <w:spacing w:after="0" w:line="360" w:lineRule="auto"/>
        <w:ind w:firstLine="284"/>
        <w:jc w:val="both"/>
        <w:rPr>
          <w:rFonts w:ascii="Arial Narrow" w:hAnsi="Arial Narrow"/>
          <w:sz w:val="24"/>
          <w:szCs w:val="24"/>
          <w:u w:val="single"/>
        </w:rPr>
      </w:pPr>
      <w:r w:rsidRPr="000A79B3">
        <w:rPr>
          <w:rFonts w:ascii="Arial Narrow" w:hAnsi="Arial Narrow"/>
          <w:sz w:val="24"/>
          <w:szCs w:val="24"/>
          <w:u w:val="single"/>
        </w:rPr>
        <w:t>Рынок услуг психолого-педагогического сопровождения детей с ограниченными возможностями здоровья и Рынок услуг социального обслуживания населения:</w:t>
      </w:r>
    </w:p>
    <w:p w:rsidR="00A64028" w:rsidRPr="000A79B3" w:rsidRDefault="00A64028" w:rsidP="00F170CC">
      <w:pPr>
        <w:spacing w:after="0" w:line="360" w:lineRule="auto"/>
        <w:ind w:firstLine="284"/>
        <w:jc w:val="both"/>
        <w:rPr>
          <w:rFonts w:ascii="Arial Narrow" w:hAnsi="Arial Narrow"/>
          <w:sz w:val="24"/>
          <w:szCs w:val="24"/>
        </w:rPr>
      </w:pPr>
      <w:r w:rsidRPr="000A79B3">
        <w:rPr>
          <w:rFonts w:ascii="Arial Narrow" w:hAnsi="Arial Narrow"/>
          <w:sz w:val="24"/>
          <w:szCs w:val="24"/>
        </w:rPr>
        <w:t>2</w:t>
      </w:r>
      <w:r>
        <w:rPr>
          <w:rFonts w:ascii="Arial Narrow" w:hAnsi="Arial Narrow"/>
          <w:sz w:val="24"/>
          <w:szCs w:val="24"/>
        </w:rPr>
        <w:t>0</w:t>
      </w:r>
      <w:r w:rsidRPr="000A79B3">
        <w:rPr>
          <w:rFonts w:ascii="Arial Narrow" w:hAnsi="Arial Narrow"/>
          <w:sz w:val="24"/>
          <w:szCs w:val="24"/>
        </w:rPr>
        <w:t>. Разработка и реализация системы поддержки негосударственных предприятий данного рынка, включающей налоговые льготы, возможность получения помещений в аренду с правом выкупа, обеспечение методических рекомендаций по вопросам ведения хозяйственной деятельности, прямых грантов и субсидий.</w:t>
      </w:r>
    </w:p>
    <w:p w:rsidR="00A64028" w:rsidRPr="000A79B3" w:rsidRDefault="00A64028" w:rsidP="00F170CC">
      <w:pPr>
        <w:spacing w:after="0" w:line="360" w:lineRule="auto"/>
        <w:ind w:firstLine="284"/>
        <w:jc w:val="both"/>
        <w:rPr>
          <w:rFonts w:ascii="Arial Narrow" w:hAnsi="Arial Narrow"/>
          <w:sz w:val="24"/>
          <w:szCs w:val="24"/>
          <w:u w:val="single"/>
        </w:rPr>
      </w:pPr>
      <w:r w:rsidRPr="000A79B3">
        <w:rPr>
          <w:rFonts w:ascii="Arial Narrow" w:hAnsi="Arial Narrow"/>
          <w:sz w:val="24"/>
          <w:szCs w:val="24"/>
          <w:u w:val="single"/>
        </w:rPr>
        <w:t>Рынок услуг в сфере культуры:</w:t>
      </w:r>
    </w:p>
    <w:p w:rsidR="00A64028" w:rsidRPr="000A79B3" w:rsidRDefault="00A64028" w:rsidP="00F170CC">
      <w:pPr>
        <w:spacing w:after="0" w:line="360" w:lineRule="auto"/>
        <w:ind w:firstLine="284"/>
        <w:jc w:val="both"/>
        <w:rPr>
          <w:rFonts w:ascii="Arial Narrow" w:hAnsi="Arial Narrow"/>
          <w:sz w:val="24"/>
          <w:szCs w:val="24"/>
        </w:rPr>
      </w:pPr>
      <w:r w:rsidRPr="000A79B3">
        <w:rPr>
          <w:rFonts w:ascii="Arial Narrow" w:hAnsi="Arial Narrow"/>
          <w:sz w:val="24"/>
          <w:szCs w:val="24"/>
        </w:rPr>
        <w:t>2</w:t>
      </w:r>
      <w:r>
        <w:rPr>
          <w:rFonts w:ascii="Arial Narrow" w:hAnsi="Arial Narrow"/>
          <w:sz w:val="24"/>
          <w:szCs w:val="24"/>
        </w:rPr>
        <w:t>1</w:t>
      </w:r>
      <w:r w:rsidRPr="000A79B3">
        <w:rPr>
          <w:rFonts w:ascii="Arial Narrow" w:hAnsi="Arial Narrow"/>
          <w:sz w:val="24"/>
          <w:szCs w:val="24"/>
        </w:rPr>
        <w:t>. Поддержка общественных инициатив жителей муниципальных образований области с целью развития услуг сферы культуры.</w:t>
      </w:r>
    </w:p>
    <w:p w:rsidR="00A64028" w:rsidRPr="000A79B3" w:rsidRDefault="00A64028" w:rsidP="00F170CC">
      <w:pPr>
        <w:spacing w:after="0" w:line="360" w:lineRule="auto"/>
        <w:ind w:firstLine="284"/>
        <w:jc w:val="both"/>
        <w:rPr>
          <w:rFonts w:ascii="Arial Narrow" w:hAnsi="Arial Narrow"/>
          <w:sz w:val="24"/>
          <w:szCs w:val="24"/>
        </w:rPr>
      </w:pPr>
      <w:r w:rsidRPr="000A79B3">
        <w:rPr>
          <w:rFonts w:ascii="Arial Narrow" w:hAnsi="Arial Narrow"/>
          <w:sz w:val="24"/>
          <w:szCs w:val="24"/>
        </w:rPr>
        <w:t>2</w:t>
      </w:r>
      <w:r>
        <w:rPr>
          <w:rFonts w:ascii="Arial Narrow" w:hAnsi="Arial Narrow"/>
          <w:sz w:val="24"/>
          <w:szCs w:val="24"/>
        </w:rPr>
        <w:t>2</w:t>
      </w:r>
      <w:r w:rsidRPr="000A79B3">
        <w:rPr>
          <w:rFonts w:ascii="Arial Narrow" w:hAnsi="Arial Narrow"/>
          <w:sz w:val="24"/>
          <w:szCs w:val="24"/>
        </w:rPr>
        <w:t>. Обеспечение повышения разнообразия услуг в сфере культуры посредством грантов (на конкурсной основе).</w:t>
      </w:r>
    </w:p>
    <w:p w:rsidR="00A64028" w:rsidRPr="000A79B3" w:rsidRDefault="00A64028" w:rsidP="00F170CC">
      <w:pPr>
        <w:spacing w:after="0" w:line="360" w:lineRule="auto"/>
        <w:ind w:firstLine="284"/>
        <w:jc w:val="both"/>
        <w:rPr>
          <w:rFonts w:ascii="Arial Narrow" w:hAnsi="Arial Narrow"/>
          <w:sz w:val="24"/>
          <w:szCs w:val="24"/>
          <w:u w:val="single"/>
        </w:rPr>
      </w:pPr>
      <w:r w:rsidRPr="000A79B3">
        <w:rPr>
          <w:rFonts w:ascii="Arial Narrow" w:hAnsi="Arial Narrow"/>
          <w:sz w:val="24"/>
          <w:szCs w:val="24"/>
          <w:u w:val="single"/>
        </w:rPr>
        <w:t>Рынок услуг жилищно-коммунального хозяйства:</w:t>
      </w:r>
    </w:p>
    <w:p w:rsidR="00A64028" w:rsidRPr="000A79B3" w:rsidRDefault="00A64028" w:rsidP="00F170CC">
      <w:pPr>
        <w:spacing w:after="0" w:line="360" w:lineRule="auto"/>
        <w:ind w:firstLine="284"/>
        <w:jc w:val="both"/>
        <w:rPr>
          <w:rFonts w:ascii="Arial Narrow" w:hAnsi="Arial Narrow"/>
          <w:sz w:val="24"/>
          <w:szCs w:val="24"/>
        </w:rPr>
      </w:pPr>
      <w:r w:rsidRPr="000A79B3">
        <w:rPr>
          <w:rFonts w:ascii="Arial Narrow" w:hAnsi="Arial Narrow"/>
          <w:sz w:val="24"/>
          <w:szCs w:val="24"/>
        </w:rPr>
        <w:t>2</w:t>
      </w:r>
      <w:r>
        <w:rPr>
          <w:rFonts w:ascii="Arial Narrow" w:hAnsi="Arial Narrow"/>
          <w:sz w:val="24"/>
          <w:szCs w:val="24"/>
        </w:rPr>
        <w:t>3</w:t>
      </w:r>
      <w:r w:rsidRPr="000A79B3">
        <w:rPr>
          <w:rFonts w:ascii="Arial Narrow" w:hAnsi="Arial Narrow"/>
          <w:sz w:val="24"/>
          <w:szCs w:val="24"/>
        </w:rPr>
        <w:t>. Создание открытого информационного поля о деятельности управляющих компаний в сети Интернет с указанием рейтинга компании, количеством и характером жалоб потребителей. Обеспечение тройственной коммуникации потребителей, органов исполнительной власти (либо других контролирующих органов) и управляющих компаний (в он-лайн режиме) с возможностью прикрепления файлов и получения результатов работы по проблеме.</w:t>
      </w:r>
    </w:p>
    <w:p w:rsidR="00A64028" w:rsidRPr="000A79B3" w:rsidRDefault="00A64028" w:rsidP="00F170CC">
      <w:pPr>
        <w:spacing w:after="0" w:line="360" w:lineRule="auto"/>
        <w:ind w:firstLine="284"/>
        <w:jc w:val="both"/>
        <w:rPr>
          <w:rFonts w:ascii="Arial Narrow" w:hAnsi="Arial Narrow"/>
          <w:sz w:val="24"/>
          <w:szCs w:val="24"/>
        </w:rPr>
      </w:pPr>
      <w:r w:rsidRPr="000A79B3">
        <w:rPr>
          <w:rFonts w:ascii="Arial Narrow" w:hAnsi="Arial Narrow"/>
          <w:sz w:val="24"/>
          <w:szCs w:val="24"/>
        </w:rPr>
        <w:t>2</w:t>
      </w:r>
      <w:r>
        <w:rPr>
          <w:rFonts w:ascii="Arial Narrow" w:hAnsi="Arial Narrow"/>
          <w:sz w:val="24"/>
          <w:szCs w:val="24"/>
        </w:rPr>
        <w:t>4</w:t>
      </w:r>
      <w:r w:rsidRPr="000A79B3">
        <w:rPr>
          <w:rFonts w:ascii="Arial Narrow" w:hAnsi="Arial Narrow"/>
          <w:sz w:val="24"/>
          <w:szCs w:val="24"/>
        </w:rPr>
        <w:t>. Разработка мер по предотвращению преднамеренного банкротства управляющих компаний.</w:t>
      </w:r>
    </w:p>
    <w:p w:rsidR="00A64028" w:rsidRPr="000A79B3" w:rsidRDefault="00A64028" w:rsidP="00F170CC">
      <w:pPr>
        <w:spacing w:after="0" w:line="360" w:lineRule="auto"/>
        <w:ind w:firstLine="284"/>
        <w:jc w:val="both"/>
        <w:rPr>
          <w:rFonts w:ascii="Arial Narrow" w:hAnsi="Arial Narrow"/>
          <w:sz w:val="24"/>
          <w:szCs w:val="24"/>
        </w:rPr>
      </w:pPr>
      <w:r w:rsidRPr="000A79B3">
        <w:rPr>
          <w:rFonts w:ascii="Arial Narrow" w:hAnsi="Arial Narrow"/>
          <w:sz w:val="24"/>
          <w:szCs w:val="24"/>
        </w:rPr>
        <w:t>2</w:t>
      </w:r>
      <w:r>
        <w:rPr>
          <w:rFonts w:ascii="Arial Narrow" w:hAnsi="Arial Narrow"/>
          <w:sz w:val="24"/>
          <w:szCs w:val="24"/>
        </w:rPr>
        <w:t>5</w:t>
      </w:r>
      <w:r w:rsidRPr="000A79B3">
        <w:rPr>
          <w:rFonts w:ascii="Arial Narrow" w:hAnsi="Arial Narrow"/>
          <w:sz w:val="24"/>
          <w:szCs w:val="24"/>
        </w:rPr>
        <w:t>. Проведение конкурсов и заключение концессионных соглашений на объекты жилищно-коммунального хозяйства неэффективно управляемых муниципальных предприятий Новосибирской области, осуществляющих деятельность в сфере жилищно- коммунального хозяйств.</w:t>
      </w:r>
    </w:p>
    <w:p w:rsidR="00A64028" w:rsidRPr="0029730E" w:rsidRDefault="00A64028" w:rsidP="00F170CC">
      <w:pPr>
        <w:spacing w:after="0" w:line="360" w:lineRule="auto"/>
        <w:ind w:firstLine="284"/>
        <w:contextualSpacing/>
        <w:jc w:val="both"/>
        <w:rPr>
          <w:rFonts w:ascii="Arial Narrow" w:hAnsi="Arial Narrow"/>
          <w:sz w:val="24"/>
          <w:szCs w:val="24"/>
        </w:rPr>
      </w:pPr>
      <w:r w:rsidRPr="0029730E">
        <w:rPr>
          <w:rFonts w:ascii="Arial Narrow" w:hAnsi="Arial Narrow"/>
          <w:sz w:val="24"/>
          <w:szCs w:val="24"/>
        </w:rPr>
        <w:t>26. Проверить законность способов противодействия действующих участников рынка услуг ЖКХ выходу новых компаний на данный рынок (о наличии данного противодействия говорят 35,7 % участников рынка).</w:t>
      </w:r>
    </w:p>
    <w:p w:rsidR="00A64028" w:rsidRPr="000A79B3" w:rsidRDefault="00A64028" w:rsidP="00F170CC">
      <w:pPr>
        <w:spacing w:after="0" w:line="360" w:lineRule="auto"/>
        <w:ind w:firstLine="284"/>
        <w:jc w:val="both"/>
        <w:rPr>
          <w:rFonts w:ascii="Arial Narrow" w:hAnsi="Arial Narrow"/>
          <w:sz w:val="24"/>
          <w:szCs w:val="24"/>
          <w:u w:val="single"/>
        </w:rPr>
      </w:pPr>
      <w:r w:rsidRPr="000A79B3">
        <w:rPr>
          <w:rFonts w:ascii="Arial Narrow" w:hAnsi="Arial Narrow"/>
          <w:sz w:val="24"/>
          <w:szCs w:val="24"/>
          <w:u w:val="single"/>
        </w:rPr>
        <w:t>Рынок розничной торговли и Рынок развития, производства, переработки и хранения сельскохозяйственной продукции:</w:t>
      </w:r>
    </w:p>
    <w:p w:rsidR="00A64028" w:rsidRPr="000A79B3" w:rsidRDefault="00A64028" w:rsidP="00F170CC">
      <w:pPr>
        <w:spacing w:after="0" w:line="360" w:lineRule="auto"/>
        <w:ind w:firstLine="284"/>
        <w:jc w:val="both"/>
        <w:rPr>
          <w:rFonts w:ascii="Arial Narrow" w:hAnsi="Arial Narrow"/>
          <w:sz w:val="24"/>
          <w:szCs w:val="24"/>
        </w:rPr>
      </w:pPr>
      <w:r>
        <w:rPr>
          <w:rFonts w:ascii="Arial Narrow" w:hAnsi="Arial Narrow"/>
          <w:sz w:val="24"/>
          <w:szCs w:val="24"/>
        </w:rPr>
        <w:t>27</w:t>
      </w:r>
      <w:r w:rsidRPr="000A79B3">
        <w:rPr>
          <w:rFonts w:ascii="Arial Narrow" w:hAnsi="Arial Narrow"/>
          <w:sz w:val="24"/>
          <w:szCs w:val="24"/>
        </w:rPr>
        <w:t xml:space="preserve">. Развитие магазинов шаговой доступности, предприятий малого бизнеса, организация выставок, ярмарок с участием местных товаропроизводителей. </w:t>
      </w:r>
    </w:p>
    <w:p w:rsidR="00A64028" w:rsidRPr="000A79B3" w:rsidRDefault="00A64028" w:rsidP="00F170CC">
      <w:pPr>
        <w:spacing w:after="0" w:line="360" w:lineRule="auto"/>
        <w:ind w:firstLine="284"/>
        <w:jc w:val="both"/>
        <w:rPr>
          <w:rFonts w:ascii="Arial Narrow" w:hAnsi="Arial Narrow"/>
          <w:sz w:val="24"/>
          <w:szCs w:val="24"/>
          <w:u w:val="single"/>
        </w:rPr>
      </w:pPr>
      <w:r w:rsidRPr="000A79B3">
        <w:rPr>
          <w:rFonts w:ascii="Arial Narrow" w:hAnsi="Arial Narrow"/>
          <w:sz w:val="24"/>
          <w:szCs w:val="24"/>
          <w:u w:val="single"/>
        </w:rPr>
        <w:t>Рынок услуг перевозок пассажиров наземным транспортом:</w:t>
      </w:r>
    </w:p>
    <w:p w:rsidR="00A64028" w:rsidRPr="000A79B3" w:rsidRDefault="00A64028" w:rsidP="00F170CC">
      <w:pPr>
        <w:spacing w:after="0" w:line="360" w:lineRule="auto"/>
        <w:ind w:firstLine="284"/>
        <w:jc w:val="both"/>
        <w:rPr>
          <w:rFonts w:ascii="Arial Narrow" w:hAnsi="Arial Narrow"/>
          <w:sz w:val="24"/>
          <w:szCs w:val="24"/>
        </w:rPr>
      </w:pPr>
      <w:r>
        <w:rPr>
          <w:rFonts w:ascii="Arial Narrow" w:hAnsi="Arial Narrow"/>
          <w:sz w:val="24"/>
          <w:szCs w:val="24"/>
        </w:rPr>
        <w:lastRenderedPageBreak/>
        <w:t>28</w:t>
      </w:r>
      <w:r w:rsidRPr="000A79B3">
        <w:rPr>
          <w:rFonts w:ascii="Arial Narrow" w:hAnsi="Arial Narrow"/>
          <w:sz w:val="24"/>
          <w:szCs w:val="24"/>
        </w:rPr>
        <w:t>. Обеспечение доступности получения маршрутов на обслуживание негосударственными предприятиями.</w:t>
      </w:r>
    </w:p>
    <w:p w:rsidR="00A64028" w:rsidRPr="000A79B3" w:rsidRDefault="00A64028" w:rsidP="00F170CC">
      <w:pPr>
        <w:spacing w:after="0" w:line="360" w:lineRule="auto"/>
        <w:ind w:firstLine="284"/>
        <w:jc w:val="both"/>
        <w:rPr>
          <w:rFonts w:ascii="Arial Narrow" w:hAnsi="Arial Narrow"/>
          <w:sz w:val="24"/>
          <w:szCs w:val="24"/>
        </w:rPr>
      </w:pPr>
      <w:r>
        <w:rPr>
          <w:rFonts w:ascii="Arial Narrow" w:hAnsi="Arial Narrow"/>
          <w:sz w:val="24"/>
          <w:szCs w:val="24"/>
        </w:rPr>
        <w:t>29</w:t>
      </w:r>
      <w:r w:rsidRPr="000A79B3">
        <w:rPr>
          <w:rFonts w:ascii="Arial Narrow" w:hAnsi="Arial Narrow"/>
          <w:sz w:val="24"/>
          <w:szCs w:val="24"/>
        </w:rPr>
        <w:t>. Разработка системы учета качества и безопасности предоставления услуг такси, направленной на повышение ответственности оператора за деятельность перевозчиков (водителей).</w:t>
      </w:r>
    </w:p>
    <w:p w:rsidR="00A64028" w:rsidRPr="000A79B3" w:rsidRDefault="00A64028" w:rsidP="00F170CC">
      <w:pPr>
        <w:spacing w:after="0" w:line="360" w:lineRule="auto"/>
        <w:ind w:firstLine="284"/>
        <w:jc w:val="both"/>
        <w:rPr>
          <w:rFonts w:ascii="Arial Narrow" w:hAnsi="Arial Narrow"/>
          <w:sz w:val="24"/>
          <w:szCs w:val="24"/>
          <w:u w:val="single"/>
        </w:rPr>
      </w:pPr>
      <w:r w:rsidRPr="000A79B3">
        <w:rPr>
          <w:rFonts w:ascii="Arial Narrow" w:hAnsi="Arial Narrow"/>
          <w:sz w:val="24"/>
          <w:szCs w:val="24"/>
          <w:u w:val="single"/>
        </w:rPr>
        <w:t>Рынок услуг связи:</w:t>
      </w:r>
    </w:p>
    <w:p w:rsidR="00A64028" w:rsidRPr="000A79B3" w:rsidRDefault="00A64028" w:rsidP="00F170CC">
      <w:pPr>
        <w:spacing w:after="0" w:line="360" w:lineRule="auto"/>
        <w:ind w:firstLine="284"/>
        <w:jc w:val="both"/>
        <w:rPr>
          <w:rFonts w:ascii="Arial Narrow" w:hAnsi="Arial Narrow"/>
          <w:sz w:val="24"/>
          <w:szCs w:val="24"/>
        </w:rPr>
      </w:pPr>
      <w:r w:rsidRPr="000A79B3">
        <w:rPr>
          <w:rFonts w:ascii="Arial Narrow" w:hAnsi="Arial Narrow"/>
          <w:sz w:val="24"/>
          <w:szCs w:val="24"/>
        </w:rPr>
        <w:t>3</w:t>
      </w:r>
      <w:r>
        <w:rPr>
          <w:rFonts w:ascii="Arial Narrow" w:hAnsi="Arial Narrow"/>
          <w:sz w:val="24"/>
          <w:szCs w:val="24"/>
        </w:rPr>
        <w:t>0</w:t>
      </w:r>
      <w:r w:rsidRPr="000A79B3">
        <w:rPr>
          <w:rFonts w:ascii="Arial Narrow" w:hAnsi="Arial Narrow"/>
          <w:sz w:val="24"/>
          <w:szCs w:val="24"/>
        </w:rPr>
        <w:t xml:space="preserve">. Развитие сетей оптоволоконных линий связи в муниципальных образованиях Новосибирской области с низким проникновением сети Интернет и сотовой сети. </w:t>
      </w:r>
    </w:p>
    <w:p w:rsidR="00A64028" w:rsidRPr="000A79B3" w:rsidRDefault="00A64028" w:rsidP="00F170CC">
      <w:pPr>
        <w:spacing w:after="0" w:line="360" w:lineRule="auto"/>
        <w:ind w:firstLine="284"/>
        <w:jc w:val="both"/>
        <w:rPr>
          <w:rFonts w:ascii="Arial Narrow" w:hAnsi="Arial Narrow"/>
          <w:sz w:val="24"/>
          <w:szCs w:val="24"/>
        </w:rPr>
      </w:pPr>
      <w:r w:rsidRPr="000A79B3">
        <w:rPr>
          <w:rFonts w:ascii="Arial Narrow" w:hAnsi="Arial Narrow"/>
          <w:sz w:val="24"/>
          <w:szCs w:val="24"/>
        </w:rPr>
        <w:t>3</w:t>
      </w:r>
      <w:r>
        <w:rPr>
          <w:rFonts w:ascii="Arial Narrow" w:hAnsi="Arial Narrow"/>
          <w:sz w:val="24"/>
          <w:szCs w:val="24"/>
        </w:rPr>
        <w:t>1</w:t>
      </w:r>
      <w:r w:rsidRPr="000A79B3">
        <w:rPr>
          <w:rFonts w:ascii="Arial Narrow" w:hAnsi="Arial Narrow"/>
          <w:sz w:val="24"/>
          <w:szCs w:val="24"/>
        </w:rPr>
        <w:t>. Обеспечение условий аренды сетей, оставляющих возможность развития бизнеса арендаторам.</w:t>
      </w:r>
    </w:p>
    <w:p w:rsidR="00A64028" w:rsidRPr="000A79B3" w:rsidRDefault="00A64028" w:rsidP="00F170CC">
      <w:pPr>
        <w:spacing w:after="0" w:line="360" w:lineRule="auto"/>
        <w:ind w:firstLine="284"/>
        <w:jc w:val="both"/>
        <w:rPr>
          <w:rFonts w:ascii="Arial Narrow" w:hAnsi="Arial Narrow"/>
          <w:sz w:val="24"/>
          <w:szCs w:val="24"/>
        </w:rPr>
      </w:pPr>
      <w:r w:rsidRPr="000A79B3">
        <w:rPr>
          <w:rFonts w:ascii="Arial Narrow" w:hAnsi="Arial Narrow"/>
          <w:sz w:val="24"/>
          <w:szCs w:val="24"/>
        </w:rPr>
        <w:t>3</w:t>
      </w:r>
      <w:r>
        <w:rPr>
          <w:rFonts w:ascii="Arial Narrow" w:hAnsi="Arial Narrow"/>
          <w:sz w:val="24"/>
          <w:szCs w:val="24"/>
        </w:rPr>
        <w:t>2</w:t>
      </w:r>
      <w:r w:rsidRPr="000A79B3">
        <w:rPr>
          <w:rFonts w:ascii="Arial Narrow" w:hAnsi="Arial Narrow"/>
          <w:sz w:val="24"/>
          <w:szCs w:val="24"/>
        </w:rPr>
        <w:t>. Обеспечение равного доступа операторов Интернет в объекты жилой недвижимости.</w:t>
      </w:r>
    </w:p>
    <w:p w:rsidR="00A64028" w:rsidRPr="000A79B3" w:rsidRDefault="00A64028" w:rsidP="00F170CC">
      <w:pPr>
        <w:spacing w:after="0" w:line="360" w:lineRule="auto"/>
        <w:ind w:firstLine="284"/>
        <w:jc w:val="both"/>
        <w:rPr>
          <w:rFonts w:ascii="Arial Narrow" w:hAnsi="Arial Narrow"/>
          <w:sz w:val="24"/>
          <w:szCs w:val="24"/>
          <w:u w:val="single"/>
        </w:rPr>
      </w:pPr>
      <w:r w:rsidRPr="000A79B3">
        <w:rPr>
          <w:rFonts w:ascii="Arial Narrow" w:hAnsi="Arial Narrow"/>
          <w:sz w:val="24"/>
          <w:szCs w:val="24"/>
          <w:u w:val="single"/>
        </w:rPr>
        <w:t>Рынок услуг по сбору, сортировке и переработке твердых коммунальных (бытовых) отходов:</w:t>
      </w:r>
    </w:p>
    <w:p w:rsidR="00A64028" w:rsidRPr="000A79B3" w:rsidRDefault="00A64028" w:rsidP="00F170CC">
      <w:pPr>
        <w:spacing w:after="0" w:line="360" w:lineRule="auto"/>
        <w:ind w:firstLine="284"/>
        <w:jc w:val="both"/>
        <w:rPr>
          <w:rFonts w:ascii="Arial Narrow" w:hAnsi="Arial Narrow"/>
          <w:sz w:val="24"/>
          <w:szCs w:val="24"/>
        </w:rPr>
      </w:pPr>
      <w:r w:rsidRPr="000A79B3">
        <w:rPr>
          <w:rFonts w:ascii="Arial Narrow" w:hAnsi="Arial Narrow"/>
          <w:sz w:val="24"/>
          <w:szCs w:val="24"/>
        </w:rPr>
        <w:t>3</w:t>
      </w:r>
      <w:r>
        <w:rPr>
          <w:rFonts w:ascii="Arial Narrow" w:hAnsi="Arial Narrow"/>
          <w:sz w:val="24"/>
          <w:szCs w:val="24"/>
        </w:rPr>
        <w:t>3</w:t>
      </w:r>
      <w:r w:rsidRPr="000A79B3">
        <w:rPr>
          <w:rFonts w:ascii="Arial Narrow" w:hAnsi="Arial Narrow"/>
          <w:sz w:val="24"/>
          <w:szCs w:val="24"/>
        </w:rPr>
        <w:t>. Обеспечение доступности получения территорий на обслуживание негосударственными предприятиями.</w:t>
      </w:r>
    </w:p>
    <w:p w:rsidR="00A64028" w:rsidRDefault="00A64028" w:rsidP="00F170CC">
      <w:pPr>
        <w:spacing w:after="0" w:line="360" w:lineRule="auto"/>
        <w:ind w:firstLine="284"/>
        <w:jc w:val="both"/>
        <w:rPr>
          <w:rFonts w:ascii="Arial Narrow" w:eastAsia="Calibri" w:hAnsi="Arial Narrow"/>
          <w:sz w:val="24"/>
          <w:szCs w:val="24"/>
        </w:rPr>
      </w:pPr>
    </w:p>
    <w:p w:rsidR="00A64028" w:rsidRPr="000A79B3" w:rsidRDefault="00A64028" w:rsidP="00F170CC">
      <w:pPr>
        <w:spacing w:after="0" w:line="360" w:lineRule="auto"/>
        <w:ind w:firstLine="284"/>
        <w:jc w:val="both"/>
        <w:rPr>
          <w:rFonts w:ascii="Arial Narrow" w:hAnsi="Arial Narrow" w:cs="Arial"/>
          <w:b/>
          <w:sz w:val="24"/>
          <w:szCs w:val="24"/>
          <w:u w:val="single"/>
        </w:rPr>
      </w:pPr>
      <w:r w:rsidRPr="000A79B3">
        <w:rPr>
          <w:rFonts w:ascii="Arial Narrow" w:hAnsi="Arial Narrow" w:cs="Arial"/>
          <w:b/>
          <w:sz w:val="24"/>
          <w:szCs w:val="24"/>
          <w:u w:val="single"/>
        </w:rPr>
        <w:t xml:space="preserve">Часть 2. Предложения по повышению удовлетворенности </w:t>
      </w:r>
      <w:r w:rsidRPr="000A79B3">
        <w:rPr>
          <w:rFonts w:ascii="Arial Narrow" w:hAnsi="Arial Narrow" w:cs="Arial"/>
          <w:b/>
          <w:bCs/>
          <w:sz w:val="24"/>
          <w:szCs w:val="24"/>
          <w:u w:val="single"/>
        </w:rPr>
        <w:t>потребителей качеством товаров, работ и услуг на товарных рынках Новосибирской области и состоянием ценовой конкуренции</w:t>
      </w:r>
      <w:r w:rsidRPr="000A79B3">
        <w:rPr>
          <w:rFonts w:ascii="Arial Narrow" w:hAnsi="Arial Narrow" w:cs="Arial"/>
          <w:b/>
          <w:sz w:val="24"/>
          <w:szCs w:val="24"/>
          <w:u w:val="single"/>
        </w:rPr>
        <w:t xml:space="preserve"> на 2017 г.:</w:t>
      </w:r>
    </w:p>
    <w:p w:rsidR="00A64028" w:rsidRPr="000A79B3" w:rsidRDefault="00A64028" w:rsidP="00F170CC">
      <w:pPr>
        <w:spacing w:after="0" w:line="360" w:lineRule="auto"/>
        <w:ind w:firstLine="284"/>
        <w:jc w:val="both"/>
        <w:rPr>
          <w:rFonts w:ascii="Arial Narrow" w:hAnsi="Arial Narrow" w:cs="Arial"/>
          <w:sz w:val="24"/>
          <w:szCs w:val="24"/>
        </w:rPr>
      </w:pPr>
      <w:r>
        <w:rPr>
          <w:rFonts w:ascii="Arial Narrow" w:hAnsi="Arial Narrow" w:cs="Arial"/>
          <w:b/>
          <w:sz w:val="24"/>
          <w:szCs w:val="24"/>
        </w:rPr>
        <w:t>34</w:t>
      </w:r>
      <w:r w:rsidRPr="000A79B3">
        <w:rPr>
          <w:rFonts w:ascii="Arial Narrow" w:hAnsi="Arial Narrow" w:cs="Arial"/>
          <w:b/>
          <w:sz w:val="24"/>
          <w:szCs w:val="24"/>
        </w:rPr>
        <w:t>. Проведение мониторинга состояния потребительского спроса на товары, работы и услуги социально значимых и приоритетных рынков</w:t>
      </w:r>
      <w:r w:rsidRPr="000A79B3">
        <w:rPr>
          <w:rFonts w:ascii="Arial Narrow" w:hAnsi="Arial Narrow" w:cs="Arial"/>
          <w:sz w:val="24"/>
          <w:szCs w:val="24"/>
        </w:rPr>
        <w:t>, включающего:</w:t>
      </w:r>
    </w:p>
    <w:p w:rsidR="00A64028" w:rsidRPr="000A79B3" w:rsidRDefault="00A64028" w:rsidP="00F170CC">
      <w:pPr>
        <w:spacing w:after="0" w:line="360" w:lineRule="auto"/>
        <w:ind w:firstLine="284"/>
        <w:jc w:val="both"/>
        <w:rPr>
          <w:rFonts w:ascii="Arial Narrow" w:hAnsi="Arial Narrow" w:cs="Arial"/>
          <w:sz w:val="24"/>
          <w:szCs w:val="24"/>
        </w:rPr>
      </w:pPr>
      <w:r w:rsidRPr="000A79B3">
        <w:rPr>
          <w:rFonts w:ascii="Arial Narrow" w:hAnsi="Arial Narrow" w:cs="Arial"/>
          <w:sz w:val="24"/>
          <w:szCs w:val="24"/>
        </w:rPr>
        <w:t>- оценку наличия потребности в товарах, работах и услугах социально значимых и приоритетных рынков в отдельных муниципалитетах,</w:t>
      </w:r>
    </w:p>
    <w:p w:rsidR="00A64028" w:rsidRPr="000A79B3" w:rsidRDefault="00A64028" w:rsidP="00F170CC">
      <w:pPr>
        <w:spacing w:after="0" w:line="360" w:lineRule="auto"/>
        <w:ind w:firstLine="284"/>
        <w:jc w:val="both"/>
        <w:rPr>
          <w:rFonts w:ascii="Arial Narrow" w:hAnsi="Arial Narrow" w:cs="Arial"/>
          <w:sz w:val="24"/>
          <w:szCs w:val="24"/>
        </w:rPr>
      </w:pPr>
      <w:r w:rsidRPr="000A79B3">
        <w:rPr>
          <w:rFonts w:ascii="Arial Narrow" w:hAnsi="Arial Narrow" w:cs="Arial"/>
          <w:sz w:val="24"/>
          <w:szCs w:val="24"/>
        </w:rPr>
        <w:t>- изучение востребованного потребителями ассортимента товаров, работ и услуг и параметров их качества (расположение, количество предприятий, специфические запросы потребителей),</w:t>
      </w:r>
    </w:p>
    <w:p w:rsidR="00A64028" w:rsidRPr="000A79B3" w:rsidRDefault="00A64028" w:rsidP="00F170CC">
      <w:pPr>
        <w:spacing w:after="0" w:line="360" w:lineRule="auto"/>
        <w:ind w:firstLine="284"/>
        <w:jc w:val="both"/>
        <w:rPr>
          <w:rFonts w:ascii="Arial Narrow" w:hAnsi="Arial Narrow" w:cs="Arial"/>
          <w:sz w:val="24"/>
          <w:szCs w:val="24"/>
        </w:rPr>
      </w:pPr>
      <w:r w:rsidRPr="000A79B3">
        <w:rPr>
          <w:rFonts w:ascii="Arial Narrow" w:hAnsi="Arial Narrow" w:cs="Arial"/>
          <w:sz w:val="24"/>
          <w:szCs w:val="24"/>
        </w:rPr>
        <w:t>- оценку платежеспособности потребителей (в особенности для рынков, на которых действуют государственные предприятия).</w:t>
      </w:r>
    </w:p>
    <w:p w:rsidR="00A64028" w:rsidRPr="000A79B3" w:rsidRDefault="00A64028" w:rsidP="00F170CC">
      <w:pPr>
        <w:spacing w:after="0" w:line="360" w:lineRule="auto"/>
        <w:ind w:firstLine="284"/>
        <w:jc w:val="both"/>
        <w:rPr>
          <w:rFonts w:ascii="Arial Narrow" w:hAnsi="Arial Narrow" w:cs="Arial"/>
          <w:b/>
          <w:sz w:val="24"/>
          <w:szCs w:val="24"/>
        </w:rPr>
      </w:pPr>
      <w:r>
        <w:rPr>
          <w:rFonts w:ascii="Arial Narrow" w:hAnsi="Arial Narrow" w:cs="Arial"/>
          <w:b/>
          <w:sz w:val="24"/>
          <w:szCs w:val="24"/>
        </w:rPr>
        <w:t>35</w:t>
      </w:r>
      <w:r w:rsidRPr="000A79B3">
        <w:rPr>
          <w:rFonts w:ascii="Arial Narrow" w:hAnsi="Arial Narrow" w:cs="Arial"/>
          <w:b/>
          <w:sz w:val="24"/>
          <w:szCs w:val="24"/>
        </w:rPr>
        <w:t>. Подготовка и передача результатов мониторингов оценки состояния потребительского спроса на товары, работы и услуги социально значимых и приоритетных рынков</w:t>
      </w:r>
      <w:r w:rsidRPr="0029730E">
        <w:rPr>
          <w:rFonts w:ascii="Arial Narrow" w:hAnsi="Arial Narrow" w:cs="Arial"/>
          <w:sz w:val="24"/>
          <w:szCs w:val="24"/>
        </w:rPr>
        <w:t>, а также иной аналитической информации для участников и потенциальных участников социально значимых и приоритетных рынков, размещение ее на официальном интернет-сайте Министерства экономического развития Новосибирской области.</w:t>
      </w:r>
    </w:p>
    <w:p w:rsidR="00A64028" w:rsidRPr="000A79B3" w:rsidRDefault="00A64028" w:rsidP="00F170CC">
      <w:pPr>
        <w:spacing w:after="0" w:line="360" w:lineRule="auto"/>
        <w:ind w:firstLine="284"/>
        <w:jc w:val="both"/>
        <w:rPr>
          <w:rFonts w:ascii="Arial Narrow" w:hAnsi="Arial Narrow" w:cs="Arial"/>
          <w:b/>
          <w:sz w:val="24"/>
          <w:szCs w:val="24"/>
        </w:rPr>
      </w:pPr>
      <w:r>
        <w:rPr>
          <w:rFonts w:ascii="Arial Narrow" w:hAnsi="Arial Narrow" w:cs="Arial"/>
          <w:b/>
          <w:sz w:val="24"/>
          <w:szCs w:val="24"/>
        </w:rPr>
        <w:t>36</w:t>
      </w:r>
      <w:r w:rsidRPr="000A79B3">
        <w:rPr>
          <w:rFonts w:ascii="Arial Narrow" w:hAnsi="Arial Narrow" w:cs="Arial"/>
          <w:b/>
          <w:sz w:val="24"/>
          <w:szCs w:val="24"/>
        </w:rPr>
        <w:t>. Стимулирование развития социально значимых и приоритетных рынков (в том числе создание благоприятных условий для входа на рынок новых организаций) для повышения удовлетворенности потребителей возможностью выбора товаров, работ и услуг.</w:t>
      </w:r>
    </w:p>
    <w:p w:rsidR="00A64028" w:rsidRDefault="00A64028" w:rsidP="00F170CC">
      <w:pPr>
        <w:spacing w:after="0" w:line="360" w:lineRule="auto"/>
        <w:ind w:firstLine="284"/>
        <w:jc w:val="both"/>
        <w:rPr>
          <w:rFonts w:ascii="Arial Narrow" w:hAnsi="Arial Narrow" w:cs="Arial"/>
          <w:sz w:val="24"/>
          <w:szCs w:val="24"/>
        </w:rPr>
      </w:pPr>
      <w:r w:rsidRPr="000A79B3">
        <w:rPr>
          <w:rFonts w:ascii="Arial Narrow" w:hAnsi="Arial Narrow" w:cs="Arial"/>
          <w:sz w:val="24"/>
          <w:szCs w:val="24"/>
        </w:rPr>
        <w:t>Это в особенности касается социально значимых и приоритетных рынков в муниципальных образовани</w:t>
      </w:r>
      <w:r>
        <w:rPr>
          <w:rFonts w:ascii="Arial Narrow" w:hAnsi="Arial Narrow" w:cs="Arial"/>
          <w:sz w:val="24"/>
          <w:szCs w:val="24"/>
        </w:rPr>
        <w:t>ях</w:t>
      </w:r>
      <w:r w:rsidRPr="000A79B3">
        <w:rPr>
          <w:rFonts w:ascii="Arial Narrow" w:hAnsi="Arial Narrow" w:cs="Arial"/>
          <w:sz w:val="24"/>
          <w:szCs w:val="24"/>
        </w:rPr>
        <w:t xml:space="preserve">, указанных в Таблице </w:t>
      </w:r>
      <w:r w:rsidR="00F170CC">
        <w:rPr>
          <w:rFonts w:ascii="Arial Narrow" w:hAnsi="Arial Narrow" w:cs="Arial"/>
          <w:sz w:val="24"/>
          <w:szCs w:val="24"/>
        </w:rPr>
        <w:t>7.57</w:t>
      </w:r>
      <w:r w:rsidRPr="000A79B3">
        <w:rPr>
          <w:rFonts w:ascii="Arial Narrow" w:hAnsi="Arial Narrow" w:cs="Arial"/>
          <w:sz w:val="24"/>
          <w:szCs w:val="24"/>
        </w:rPr>
        <w:t xml:space="preserve">. </w:t>
      </w:r>
    </w:p>
    <w:p w:rsidR="00F170CC" w:rsidRDefault="00F170CC" w:rsidP="00103148">
      <w:pPr>
        <w:spacing w:after="0"/>
        <w:rPr>
          <w:rFonts w:ascii="Arial Narrow" w:hAnsi="Arial Narrow" w:cs="Arial"/>
          <w:sz w:val="24"/>
          <w:szCs w:val="24"/>
        </w:rPr>
      </w:pPr>
    </w:p>
    <w:p w:rsidR="00A64028" w:rsidRDefault="00A64028" w:rsidP="00F170CC">
      <w:pPr>
        <w:spacing w:after="0" w:line="240" w:lineRule="auto"/>
        <w:rPr>
          <w:rFonts w:ascii="Arial Narrow" w:hAnsi="Arial Narrow" w:cs="Arial"/>
          <w:sz w:val="24"/>
          <w:szCs w:val="24"/>
        </w:rPr>
      </w:pPr>
      <w:r>
        <w:rPr>
          <w:rFonts w:ascii="Arial Narrow" w:hAnsi="Arial Narrow" w:cs="Arial"/>
          <w:sz w:val="24"/>
          <w:szCs w:val="24"/>
        </w:rPr>
        <w:lastRenderedPageBreak/>
        <w:t xml:space="preserve">Таблица </w:t>
      </w:r>
      <w:r w:rsidR="00F170CC">
        <w:rPr>
          <w:rFonts w:ascii="Arial Narrow" w:hAnsi="Arial Narrow" w:cs="Arial"/>
          <w:sz w:val="24"/>
          <w:szCs w:val="24"/>
        </w:rPr>
        <w:t>7.57</w:t>
      </w:r>
      <w:r w:rsidR="00262F71">
        <w:rPr>
          <w:rFonts w:ascii="Arial Narrow" w:hAnsi="Arial Narrow" w:cs="Arial"/>
          <w:sz w:val="24"/>
          <w:szCs w:val="24"/>
        </w:rPr>
        <w:t>.</w:t>
      </w:r>
      <w:r>
        <w:rPr>
          <w:rFonts w:ascii="Arial Narrow" w:hAnsi="Arial Narrow" w:cs="Arial"/>
          <w:sz w:val="24"/>
          <w:szCs w:val="24"/>
        </w:rPr>
        <w:t xml:space="preserve"> – </w:t>
      </w:r>
      <w:r>
        <w:rPr>
          <w:rFonts w:ascii="Arial Narrow" w:hAnsi="Arial Narrow" w:cs="Arial"/>
          <w:b/>
          <w:sz w:val="24"/>
          <w:szCs w:val="24"/>
        </w:rPr>
        <w:t>Социально значимые и приоритетные рынки в разрезе муниципальных образований, в которых рекомендуется повысить возможность выбора потребителями соответствующих товаров, работ и услуг</w:t>
      </w:r>
    </w:p>
    <w:tbl>
      <w:tblPr>
        <w:tblStyle w:val="a7"/>
        <w:tblW w:w="9776" w:type="dxa"/>
        <w:tblLook w:val="04A0"/>
      </w:tblPr>
      <w:tblGrid>
        <w:gridCol w:w="428"/>
        <w:gridCol w:w="2686"/>
        <w:gridCol w:w="6662"/>
      </w:tblGrid>
      <w:tr w:rsidR="00A64028" w:rsidRPr="00F170CC" w:rsidTr="00A64028">
        <w:tc>
          <w:tcPr>
            <w:tcW w:w="428" w:type="dxa"/>
            <w:tcBorders>
              <w:top w:val="single" w:sz="4" w:space="0" w:color="auto"/>
              <w:left w:val="single" w:sz="4" w:space="0" w:color="auto"/>
              <w:bottom w:val="single" w:sz="4" w:space="0" w:color="auto"/>
              <w:right w:val="single" w:sz="4" w:space="0" w:color="auto"/>
            </w:tcBorders>
            <w:hideMark/>
          </w:tcPr>
          <w:p w:rsidR="00A64028" w:rsidRPr="00F170CC" w:rsidRDefault="00A64028" w:rsidP="00F170CC">
            <w:pPr>
              <w:jc w:val="both"/>
              <w:rPr>
                <w:rFonts w:ascii="Arial Narrow" w:hAnsi="Arial Narrow" w:cs="Arial"/>
                <w:b/>
                <w:sz w:val="18"/>
                <w:szCs w:val="18"/>
              </w:rPr>
            </w:pPr>
            <w:r w:rsidRPr="00F170CC">
              <w:rPr>
                <w:rFonts w:ascii="Arial Narrow" w:eastAsia="Calibri" w:hAnsi="Arial Narrow" w:cs="Arial"/>
                <w:b/>
                <w:sz w:val="18"/>
                <w:szCs w:val="18"/>
              </w:rPr>
              <w:t>№</w:t>
            </w:r>
          </w:p>
        </w:tc>
        <w:tc>
          <w:tcPr>
            <w:tcW w:w="2686" w:type="dxa"/>
            <w:tcBorders>
              <w:top w:val="single" w:sz="4" w:space="0" w:color="auto"/>
              <w:left w:val="single" w:sz="4" w:space="0" w:color="auto"/>
              <w:bottom w:val="single" w:sz="4" w:space="0" w:color="auto"/>
              <w:right w:val="single" w:sz="4" w:space="0" w:color="auto"/>
            </w:tcBorders>
            <w:hideMark/>
          </w:tcPr>
          <w:p w:rsidR="00A64028" w:rsidRPr="00F170CC" w:rsidRDefault="00A64028" w:rsidP="00F170CC">
            <w:pPr>
              <w:jc w:val="both"/>
              <w:rPr>
                <w:rFonts w:ascii="Arial Narrow" w:eastAsia="Calibri" w:hAnsi="Arial Narrow" w:cs="Arial"/>
                <w:b/>
                <w:sz w:val="18"/>
                <w:szCs w:val="18"/>
              </w:rPr>
            </w:pPr>
            <w:r w:rsidRPr="00F170CC">
              <w:rPr>
                <w:rFonts w:ascii="Arial Narrow" w:eastAsia="Calibri" w:hAnsi="Arial Narrow" w:cs="Arial"/>
                <w:b/>
                <w:sz w:val="18"/>
                <w:szCs w:val="18"/>
              </w:rPr>
              <w:t>Наименование рынка</w:t>
            </w:r>
          </w:p>
        </w:tc>
        <w:tc>
          <w:tcPr>
            <w:tcW w:w="6662" w:type="dxa"/>
            <w:tcBorders>
              <w:top w:val="single" w:sz="4" w:space="0" w:color="auto"/>
              <w:left w:val="single" w:sz="4" w:space="0" w:color="auto"/>
              <w:bottom w:val="single" w:sz="4" w:space="0" w:color="auto"/>
              <w:right w:val="single" w:sz="4" w:space="0" w:color="auto"/>
            </w:tcBorders>
            <w:hideMark/>
          </w:tcPr>
          <w:p w:rsidR="00A64028" w:rsidRPr="00F170CC" w:rsidRDefault="00A64028" w:rsidP="00F170CC">
            <w:pPr>
              <w:jc w:val="both"/>
              <w:rPr>
                <w:rFonts w:ascii="Arial Narrow" w:eastAsia="Calibri" w:hAnsi="Arial Narrow" w:cs="Arial"/>
                <w:b/>
                <w:sz w:val="18"/>
                <w:szCs w:val="18"/>
              </w:rPr>
            </w:pPr>
            <w:r w:rsidRPr="00F170CC">
              <w:rPr>
                <w:rFonts w:ascii="Arial Narrow" w:eastAsia="Calibri" w:hAnsi="Arial Narrow" w:cs="Arial"/>
                <w:b/>
                <w:sz w:val="18"/>
                <w:szCs w:val="18"/>
              </w:rPr>
              <w:t>Муниципальные образования</w:t>
            </w:r>
          </w:p>
        </w:tc>
      </w:tr>
      <w:tr w:rsidR="00A64028" w:rsidRPr="00F170CC" w:rsidTr="00A64028">
        <w:tc>
          <w:tcPr>
            <w:tcW w:w="428" w:type="dxa"/>
            <w:tcBorders>
              <w:top w:val="single" w:sz="4" w:space="0" w:color="auto"/>
              <w:left w:val="single" w:sz="4" w:space="0" w:color="auto"/>
              <w:bottom w:val="single" w:sz="4" w:space="0" w:color="auto"/>
              <w:right w:val="single" w:sz="4" w:space="0" w:color="auto"/>
            </w:tcBorders>
            <w:hideMark/>
          </w:tcPr>
          <w:p w:rsidR="00A64028" w:rsidRPr="00F170CC" w:rsidRDefault="00A64028" w:rsidP="00F170CC">
            <w:pPr>
              <w:jc w:val="both"/>
              <w:rPr>
                <w:rFonts w:ascii="Arial Narrow" w:eastAsia="Calibri" w:hAnsi="Arial Narrow" w:cs="Arial"/>
                <w:sz w:val="18"/>
                <w:szCs w:val="18"/>
              </w:rPr>
            </w:pPr>
            <w:r w:rsidRPr="00F170CC">
              <w:rPr>
                <w:rFonts w:ascii="Arial Narrow" w:eastAsia="Calibri" w:hAnsi="Arial Narrow" w:cs="Arial"/>
                <w:sz w:val="18"/>
                <w:szCs w:val="18"/>
              </w:rPr>
              <w:t>1</w:t>
            </w:r>
          </w:p>
        </w:tc>
        <w:tc>
          <w:tcPr>
            <w:tcW w:w="2686" w:type="dxa"/>
            <w:tcBorders>
              <w:top w:val="single" w:sz="4" w:space="0" w:color="auto"/>
              <w:left w:val="single" w:sz="4" w:space="0" w:color="auto"/>
              <w:bottom w:val="single" w:sz="4" w:space="0" w:color="auto"/>
              <w:right w:val="single" w:sz="4" w:space="0" w:color="auto"/>
            </w:tcBorders>
            <w:vAlign w:val="center"/>
            <w:hideMark/>
          </w:tcPr>
          <w:p w:rsidR="00A64028" w:rsidRPr="00F170CC" w:rsidRDefault="00A64028" w:rsidP="00F170CC">
            <w:pPr>
              <w:rPr>
                <w:rFonts w:ascii="Arial Narrow" w:eastAsia="Calibri" w:hAnsi="Arial Narrow"/>
                <w:sz w:val="18"/>
                <w:szCs w:val="18"/>
              </w:rPr>
            </w:pPr>
            <w:r w:rsidRPr="00F170CC">
              <w:rPr>
                <w:rFonts w:ascii="Arial Narrow" w:eastAsia="Calibri" w:hAnsi="Arial Narrow"/>
                <w:sz w:val="18"/>
                <w:szCs w:val="18"/>
              </w:rPr>
              <w:t>Рынок услуг дошкольного образования (коммерческие детские сады и учреждения пребывания неполного дня)</w:t>
            </w:r>
          </w:p>
        </w:tc>
        <w:tc>
          <w:tcPr>
            <w:tcW w:w="6662" w:type="dxa"/>
            <w:tcBorders>
              <w:top w:val="single" w:sz="4" w:space="0" w:color="auto"/>
              <w:left w:val="single" w:sz="4" w:space="0" w:color="auto"/>
              <w:bottom w:val="single" w:sz="4" w:space="0" w:color="auto"/>
              <w:right w:val="single" w:sz="4" w:space="0" w:color="auto"/>
            </w:tcBorders>
            <w:hideMark/>
          </w:tcPr>
          <w:p w:rsidR="00A64028" w:rsidRPr="00F170CC" w:rsidRDefault="00A64028" w:rsidP="00F170CC">
            <w:pPr>
              <w:jc w:val="both"/>
              <w:rPr>
                <w:rFonts w:ascii="Arial Narrow" w:eastAsia="Calibri" w:hAnsi="Arial Narrow" w:cs="Arial"/>
                <w:sz w:val="18"/>
                <w:szCs w:val="18"/>
              </w:rPr>
            </w:pPr>
            <w:r w:rsidRPr="00F170CC">
              <w:rPr>
                <w:rFonts w:ascii="Arial Narrow" w:eastAsia="Calibri" w:hAnsi="Arial Narrow"/>
                <w:sz w:val="18"/>
                <w:szCs w:val="18"/>
              </w:rPr>
              <w:t>Чистоозерный ,Чановский, Чулымский, Усть-Таркский, Ордынский, Убинский, Карасукский, Барабинский, Северный, Здвинский, Доволенский, Сузунский, Черепановский, Купинский, Новосибирский районы</w:t>
            </w:r>
          </w:p>
        </w:tc>
      </w:tr>
      <w:tr w:rsidR="00A64028" w:rsidRPr="00F170CC" w:rsidTr="00A64028">
        <w:tc>
          <w:tcPr>
            <w:tcW w:w="428" w:type="dxa"/>
            <w:tcBorders>
              <w:top w:val="single" w:sz="4" w:space="0" w:color="auto"/>
              <w:left w:val="single" w:sz="4" w:space="0" w:color="auto"/>
              <w:bottom w:val="single" w:sz="4" w:space="0" w:color="auto"/>
              <w:right w:val="single" w:sz="4" w:space="0" w:color="auto"/>
            </w:tcBorders>
            <w:hideMark/>
          </w:tcPr>
          <w:p w:rsidR="00A64028" w:rsidRPr="00F170CC" w:rsidRDefault="00A64028" w:rsidP="00F170CC">
            <w:pPr>
              <w:jc w:val="both"/>
              <w:rPr>
                <w:rFonts w:ascii="Arial Narrow" w:eastAsia="Calibri" w:hAnsi="Arial Narrow" w:cs="Arial"/>
                <w:sz w:val="18"/>
                <w:szCs w:val="18"/>
              </w:rPr>
            </w:pPr>
            <w:r w:rsidRPr="00F170CC">
              <w:rPr>
                <w:rFonts w:ascii="Arial Narrow" w:eastAsia="Calibri" w:hAnsi="Arial Narrow" w:cs="Arial"/>
                <w:sz w:val="18"/>
                <w:szCs w:val="18"/>
              </w:rPr>
              <w:t>2</w:t>
            </w:r>
          </w:p>
        </w:tc>
        <w:tc>
          <w:tcPr>
            <w:tcW w:w="2686" w:type="dxa"/>
            <w:tcBorders>
              <w:top w:val="single" w:sz="4" w:space="0" w:color="auto"/>
              <w:left w:val="single" w:sz="4" w:space="0" w:color="auto"/>
              <w:bottom w:val="single" w:sz="4" w:space="0" w:color="auto"/>
              <w:right w:val="single" w:sz="4" w:space="0" w:color="auto"/>
            </w:tcBorders>
            <w:vAlign w:val="center"/>
            <w:hideMark/>
          </w:tcPr>
          <w:p w:rsidR="00A64028" w:rsidRPr="00F170CC" w:rsidRDefault="00A64028" w:rsidP="00F170CC">
            <w:pPr>
              <w:rPr>
                <w:rFonts w:ascii="Arial Narrow" w:eastAsia="Calibri" w:hAnsi="Arial Narrow"/>
                <w:sz w:val="18"/>
                <w:szCs w:val="18"/>
              </w:rPr>
            </w:pPr>
            <w:r w:rsidRPr="00F170CC">
              <w:rPr>
                <w:rFonts w:ascii="Arial Narrow" w:eastAsia="Calibri" w:hAnsi="Arial Narrow"/>
                <w:sz w:val="18"/>
                <w:szCs w:val="18"/>
              </w:rPr>
              <w:t>Рынок услуг детского отдыха и оздоровления</w:t>
            </w:r>
          </w:p>
        </w:tc>
        <w:tc>
          <w:tcPr>
            <w:tcW w:w="6662" w:type="dxa"/>
            <w:tcBorders>
              <w:top w:val="single" w:sz="4" w:space="0" w:color="auto"/>
              <w:left w:val="single" w:sz="4" w:space="0" w:color="auto"/>
              <w:bottom w:val="single" w:sz="4" w:space="0" w:color="auto"/>
              <w:right w:val="single" w:sz="4" w:space="0" w:color="auto"/>
            </w:tcBorders>
            <w:hideMark/>
          </w:tcPr>
          <w:p w:rsidR="00A64028" w:rsidRPr="00F170CC" w:rsidRDefault="00A64028" w:rsidP="00F170CC">
            <w:pPr>
              <w:jc w:val="both"/>
              <w:rPr>
                <w:rFonts w:ascii="Arial Narrow" w:eastAsia="Calibri" w:hAnsi="Arial Narrow"/>
                <w:sz w:val="18"/>
                <w:szCs w:val="18"/>
              </w:rPr>
            </w:pPr>
            <w:r w:rsidRPr="00F170CC">
              <w:rPr>
                <w:rFonts w:ascii="Arial Narrow" w:eastAsia="Calibri" w:hAnsi="Arial Narrow"/>
                <w:sz w:val="18"/>
                <w:szCs w:val="18"/>
              </w:rPr>
              <w:t>г. Искитим, Здвинский, Купинский, Мошковский, Новосибирский, Убинский, Усть-Таркский, Чистоозерный, Чулымский, Баганский, Искитимский, Черепановский районы</w:t>
            </w:r>
          </w:p>
        </w:tc>
      </w:tr>
      <w:tr w:rsidR="00A64028" w:rsidRPr="00F170CC" w:rsidTr="00A64028">
        <w:tc>
          <w:tcPr>
            <w:tcW w:w="428" w:type="dxa"/>
            <w:tcBorders>
              <w:top w:val="single" w:sz="4" w:space="0" w:color="auto"/>
              <w:left w:val="single" w:sz="4" w:space="0" w:color="auto"/>
              <w:bottom w:val="single" w:sz="4" w:space="0" w:color="auto"/>
              <w:right w:val="single" w:sz="4" w:space="0" w:color="auto"/>
            </w:tcBorders>
            <w:hideMark/>
          </w:tcPr>
          <w:p w:rsidR="00A64028" w:rsidRPr="00F170CC" w:rsidRDefault="00A64028" w:rsidP="00F170CC">
            <w:pPr>
              <w:jc w:val="both"/>
              <w:rPr>
                <w:rFonts w:ascii="Arial Narrow" w:hAnsi="Arial Narrow" w:cs="Arial"/>
                <w:sz w:val="18"/>
                <w:szCs w:val="18"/>
              </w:rPr>
            </w:pPr>
            <w:r w:rsidRPr="00F170CC">
              <w:rPr>
                <w:rFonts w:ascii="Arial Narrow" w:eastAsia="Calibri" w:hAnsi="Arial Narrow" w:cs="Arial"/>
                <w:sz w:val="18"/>
                <w:szCs w:val="18"/>
              </w:rPr>
              <w:t>3</w:t>
            </w:r>
          </w:p>
        </w:tc>
        <w:tc>
          <w:tcPr>
            <w:tcW w:w="2686" w:type="dxa"/>
            <w:tcBorders>
              <w:top w:val="single" w:sz="4" w:space="0" w:color="auto"/>
              <w:left w:val="single" w:sz="4" w:space="0" w:color="auto"/>
              <w:bottom w:val="single" w:sz="4" w:space="0" w:color="auto"/>
              <w:right w:val="single" w:sz="4" w:space="0" w:color="auto"/>
            </w:tcBorders>
            <w:vAlign w:val="center"/>
            <w:hideMark/>
          </w:tcPr>
          <w:p w:rsidR="00A64028" w:rsidRPr="00F170CC" w:rsidRDefault="00A64028" w:rsidP="00F170CC">
            <w:pPr>
              <w:rPr>
                <w:rFonts w:ascii="Arial Narrow" w:eastAsia="Calibri" w:hAnsi="Arial Narrow"/>
                <w:sz w:val="18"/>
                <w:szCs w:val="18"/>
              </w:rPr>
            </w:pPr>
            <w:r w:rsidRPr="00F170CC">
              <w:rPr>
                <w:rFonts w:ascii="Arial Narrow" w:eastAsia="Calibri" w:hAnsi="Arial Narrow"/>
                <w:sz w:val="18"/>
                <w:szCs w:val="18"/>
              </w:rPr>
              <w:t>Рынок услуг дополнительного образования детей</w:t>
            </w:r>
          </w:p>
        </w:tc>
        <w:tc>
          <w:tcPr>
            <w:tcW w:w="6662" w:type="dxa"/>
            <w:tcBorders>
              <w:top w:val="single" w:sz="4" w:space="0" w:color="auto"/>
              <w:left w:val="single" w:sz="4" w:space="0" w:color="auto"/>
              <w:bottom w:val="single" w:sz="4" w:space="0" w:color="auto"/>
              <w:right w:val="single" w:sz="4" w:space="0" w:color="auto"/>
            </w:tcBorders>
            <w:hideMark/>
          </w:tcPr>
          <w:p w:rsidR="00A64028" w:rsidRPr="00F170CC" w:rsidRDefault="00A64028" w:rsidP="00F170CC">
            <w:pPr>
              <w:jc w:val="both"/>
              <w:rPr>
                <w:rFonts w:ascii="Arial Narrow" w:eastAsia="Calibri" w:hAnsi="Arial Narrow"/>
                <w:sz w:val="18"/>
                <w:szCs w:val="18"/>
              </w:rPr>
            </w:pPr>
            <w:r w:rsidRPr="00F170CC">
              <w:rPr>
                <w:rFonts w:ascii="Arial Narrow" w:eastAsia="Calibri" w:hAnsi="Arial Narrow"/>
                <w:sz w:val="18"/>
                <w:szCs w:val="18"/>
              </w:rPr>
              <w:t>Баганский, Убинский, Чулымский, Усть-Таркский, Карасукский, Купинский, Мошковский, Новосибирский, Искитимский, Черепановский, Чистоозерный районы</w:t>
            </w:r>
          </w:p>
        </w:tc>
      </w:tr>
      <w:tr w:rsidR="00A64028" w:rsidRPr="00F170CC" w:rsidTr="00A64028">
        <w:tc>
          <w:tcPr>
            <w:tcW w:w="428" w:type="dxa"/>
            <w:tcBorders>
              <w:top w:val="single" w:sz="4" w:space="0" w:color="auto"/>
              <w:left w:val="single" w:sz="4" w:space="0" w:color="auto"/>
              <w:bottom w:val="single" w:sz="4" w:space="0" w:color="auto"/>
              <w:right w:val="single" w:sz="4" w:space="0" w:color="auto"/>
            </w:tcBorders>
            <w:hideMark/>
          </w:tcPr>
          <w:p w:rsidR="00A64028" w:rsidRPr="00F170CC" w:rsidRDefault="00A64028" w:rsidP="00F170CC">
            <w:pPr>
              <w:jc w:val="both"/>
              <w:rPr>
                <w:rFonts w:ascii="Arial Narrow" w:hAnsi="Arial Narrow" w:cs="Arial"/>
                <w:sz w:val="18"/>
                <w:szCs w:val="18"/>
              </w:rPr>
            </w:pPr>
            <w:r w:rsidRPr="00F170CC">
              <w:rPr>
                <w:rFonts w:ascii="Arial Narrow" w:eastAsia="Calibri" w:hAnsi="Arial Narrow" w:cs="Arial"/>
                <w:sz w:val="18"/>
                <w:szCs w:val="18"/>
              </w:rPr>
              <w:t>4</w:t>
            </w:r>
          </w:p>
        </w:tc>
        <w:tc>
          <w:tcPr>
            <w:tcW w:w="2686" w:type="dxa"/>
            <w:tcBorders>
              <w:top w:val="single" w:sz="4" w:space="0" w:color="auto"/>
              <w:left w:val="single" w:sz="4" w:space="0" w:color="auto"/>
              <w:bottom w:val="single" w:sz="4" w:space="0" w:color="auto"/>
              <w:right w:val="single" w:sz="4" w:space="0" w:color="auto"/>
            </w:tcBorders>
            <w:vAlign w:val="center"/>
            <w:hideMark/>
          </w:tcPr>
          <w:p w:rsidR="00A64028" w:rsidRPr="00F170CC" w:rsidRDefault="00A64028" w:rsidP="00F170CC">
            <w:pPr>
              <w:rPr>
                <w:rFonts w:ascii="Arial Narrow" w:eastAsia="Calibri" w:hAnsi="Arial Narrow"/>
                <w:sz w:val="18"/>
                <w:szCs w:val="18"/>
              </w:rPr>
            </w:pPr>
            <w:r w:rsidRPr="00F170CC">
              <w:rPr>
                <w:rFonts w:ascii="Arial Narrow" w:eastAsia="Calibri" w:hAnsi="Arial Narrow"/>
                <w:sz w:val="18"/>
                <w:szCs w:val="18"/>
              </w:rPr>
              <w:t>Рынок медицинских услуг</w:t>
            </w:r>
          </w:p>
        </w:tc>
        <w:tc>
          <w:tcPr>
            <w:tcW w:w="6662" w:type="dxa"/>
            <w:tcBorders>
              <w:top w:val="single" w:sz="4" w:space="0" w:color="auto"/>
              <w:left w:val="single" w:sz="4" w:space="0" w:color="auto"/>
              <w:bottom w:val="single" w:sz="4" w:space="0" w:color="auto"/>
              <w:right w:val="single" w:sz="4" w:space="0" w:color="auto"/>
            </w:tcBorders>
            <w:hideMark/>
          </w:tcPr>
          <w:p w:rsidR="00A64028" w:rsidRPr="00F170CC" w:rsidRDefault="00A64028" w:rsidP="00F170CC">
            <w:pPr>
              <w:jc w:val="both"/>
              <w:rPr>
                <w:rFonts w:ascii="Arial Narrow" w:eastAsia="Calibri" w:hAnsi="Arial Narrow"/>
                <w:sz w:val="18"/>
                <w:szCs w:val="18"/>
              </w:rPr>
            </w:pPr>
            <w:r w:rsidRPr="00F170CC">
              <w:rPr>
                <w:rFonts w:ascii="Arial Narrow" w:eastAsia="Calibri" w:hAnsi="Arial Narrow"/>
                <w:sz w:val="18"/>
                <w:szCs w:val="18"/>
              </w:rPr>
              <w:t>Новосибирский, Болотнинский, Черепановский, Чулымский, Купинский, Колыванский, Кыштовский, Северный, Мошковский районы</w:t>
            </w:r>
          </w:p>
        </w:tc>
      </w:tr>
      <w:tr w:rsidR="00A64028" w:rsidRPr="00F170CC" w:rsidTr="00A64028">
        <w:tc>
          <w:tcPr>
            <w:tcW w:w="428" w:type="dxa"/>
            <w:tcBorders>
              <w:top w:val="single" w:sz="4" w:space="0" w:color="auto"/>
              <w:left w:val="single" w:sz="4" w:space="0" w:color="auto"/>
              <w:bottom w:val="single" w:sz="4" w:space="0" w:color="auto"/>
              <w:right w:val="single" w:sz="4" w:space="0" w:color="auto"/>
            </w:tcBorders>
            <w:hideMark/>
          </w:tcPr>
          <w:p w:rsidR="00A64028" w:rsidRPr="00F170CC" w:rsidRDefault="00A64028" w:rsidP="00F170CC">
            <w:pPr>
              <w:jc w:val="both"/>
              <w:rPr>
                <w:rFonts w:ascii="Arial Narrow" w:hAnsi="Arial Narrow" w:cs="Arial"/>
                <w:sz w:val="18"/>
                <w:szCs w:val="18"/>
              </w:rPr>
            </w:pPr>
            <w:r w:rsidRPr="00F170CC">
              <w:rPr>
                <w:rFonts w:ascii="Arial Narrow" w:eastAsia="Calibri" w:hAnsi="Arial Narrow" w:cs="Arial"/>
                <w:sz w:val="18"/>
                <w:szCs w:val="18"/>
              </w:rPr>
              <w:t>5</w:t>
            </w:r>
          </w:p>
        </w:tc>
        <w:tc>
          <w:tcPr>
            <w:tcW w:w="2686" w:type="dxa"/>
            <w:tcBorders>
              <w:top w:val="single" w:sz="4" w:space="0" w:color="auto"/>
              <w:left w:val="single" w:sz="4" w:space="0" w:color="auto"/>
              <w:bottom w:val="single" w:sz="4" w:space="0" w:color="auto"/>
              <w:right w:val="single" w:sz="4" w:space="0" w:color="auto"/>
            </w:tcBorders>
            <w:vAlign w:val="center"/>
            <w:hideMark/>
          </w:tcPr>
          <w:p w:rsidR="00A64028" w:rsidRPr="00F170CC" w:rsidRDefault="00A64028" w:rsidP="00F170CC">
            <w:pPr>
              <w:rPr>
                <w:rFonts w:ascii="Arial Narrow" w:eastAsia="Calibri" w:hAnsi="Arial Narrow"/>
                <w:sz w:val="18"/>
                <w:szCs w:val="18"/>
              </w:rPr>
            </w:pPr>
            <w:r w:rsidRPr="00F170CC">
              <w:rPr>
                <w:rFonts w:ascii="Arial Narrow" w:eastAsia="Calibri" w:hAnsi="Arial Narrow"/>
                <w:sz w:val="18"/>
                <w:szCs w:val="18"/>
              </w:rPr>
              <w:t>Рынок услуг психолого-педагогического сопровождения детей с ограниченными возможностями здоровья</w:t>
            </w:r>
          </w:p>
        </w:tc>
        <w:tc>
          <w:tcPr>
            <w:tcW w:w="6662" w:type="dxa"/>
            <w:tcBorders>
              <w:top w:val="single" w:sz="4" w:space="0" w:color="auto"/>
              <w:left w:val="single" w:sz="4" w:space="0" w:color="auto"/>
              <w:bottom w:val="single" w:sz="4" w:space="0" w:color="auto"/>
              <w:right w:val="single" w:sz="4" w:space="0" w:color="auto"/>
            </w:tcBorders>
            <w:hideMark/>
          </w:tcPr>
          <w:p w:rsidR="00A64028" w:rsidRPr="00F170CC" w:rsidRDefault="00A64028" w:rsidP="00F170CC">
            <w:pPr>
              <w:jc w:val="both"/>
              <w:rPr>
                <w:rFonts w:ascii="Arial Narrow" w:eastAsia="Calibri" w:hAnsi="Arial Narrow" w:cs="Arial"/>
                <w:sz w:val="18"/>
                <w:szCs w:val="18"/>
              </w:rPr>
            </w:pPr>
            <w:r w:rsidRPr="00F170CC">
              <w:rPr>
                <w:rFonts w:ascii="Arial Narrow" w:eastAsia="Calibri" w:hAnsi="Arial Narrow"/>
                <w:sz w:val="18"/>
                <w:szCs w:val="18"/>
              </w:rPr>
              <w:t>Здвинский, Купинский, Мошковский, Искитимский, Новосибирский, Баганский, Болотнинский, Венгеровский, Купинский, Убинский, Усть-Таркский, Черепановский, Чистоозерный, Чулымский районы</w:t>
            </w:r>
          </w:p>
        </w:tc>
      </w:tr>
      <w:tr w:rsidR="00A64028" w:rsidRPr="00F170CC" w:rsidTr="00A64028">
        <w:tc>
          <w:tcPr>
            <w:tcW w:w="428" w:type="dxa"/>
            <w:tcBorders>
              <w:top w:val="single" w:sz="4" w:space="0" w:color="auto"/>
              <w:left w:val="single" w:sz="4" w:space="0" w:color="auto"/>
              <w:bottom w:val="single" w:sz="4" w:space="0" w:color="auto"/>
              <w:right w:val="single" w:sz="4" w:space="0" w:color="auto"/>
            </w:tcBorders>
            <w:hideMark/>
          </w:tcPr>
          <w:p w:rsidR="00A64028" w:rsidRPr="00F170CC" w:rsidRDefault="00A64028" w:rsidP="00F170CC">
            <w:pPr>
              <w:jc w:val="both"/>
              <w:rPr>
                <w:rFonts w:ascii="Arial Narrow" w:eastAsia="Calibri" w:hAnsi="Arial Narrow" w:cs="Arial"/>
                <w:sz w:val="18"/>
                <w:szCs w:val="18"/>
              </w:rPr>
            </w:pPr>
            <w:r w:rsidRPr="00F170CC">
              <w:rPr>
                <w:rFonts w:ascii="Arial Narrow" w:eastAsia="Calibri" w:hAnsi="Arial Narrow" w:cs="Arial"/>
                <w:sz w:val="18"/>
                <w:szCs w:val="18"/>
              </w:rPr>
              <w:t>6</w:t>
            </w:r>
          </w:p>
        </w:tc>
        <w:tc>
          <w:tcPr>
            <w:tcW w:w="2686" w:type="dxa"/>
            <w:tcBorders>
              <w:top w:val="single" w:sz="4" w:space="0" w:color="auto"/>
              <w:left w:val="single" w:sz="4" w:space="0" w:color="auto"/>
              <w:bottom w:val="single" w:sz="4" w:space="0" w:color="auto"/>
              <w:right w:val="single" w:sz="4" w:space="0" w:color="auto"/>
            </w:tcBorders>
            <w:vAlign w:val="center"/>
            <w:hideMark/>
          </w:tcPr>
          <w:p w:rsidR="00A64028" w:rsidRPr="00F170CC" w:rsidRDefault="00A64028" w:rsidP="00F170CC">
            <w:pPr>
              <w:rPr>
                <w:rFonts w:ascii="Arial Narrow" w:eastAsia="Calibri" w:hAnsi="Arial Narrow"/>
                <w:sz w:val="18"/>
                <w:szCs w:val="18"/>
              </w:rPr>
            </w:pPr>
            <w:r w:rsidRPr="00F170CC">
              <w:rPr>
                <w:rFonts w:ascii="Arial Narrow" w:eastAsia="Calibri" w:hAnsi="Arial Narrow"/>
                <w:sz w:val="18"/>
                <w:szCs w:val="18"/>
              </w:rPr>
              <w:t>Рынок услуг в сфере культуры</w:t>
            </w:r>
          </w:p>
        </w:tc>
        <w:tc>
          <w:tcPr>
            <w:tcW w:w="6662" w:type="dxa"/>
            <w:tcBorders>
              <w:top w:val="single" w:sz="4" w:space="0" w:color="auto"/>
              <w:left w:val="single" w:sz="4" w:space="0" w:color="auto"/>
              <w:bottom w:val="single" w:sz="4" w:space="0" w:color="auto"/>
              <w:right w:val="single" w:sz="4" w:space="0" w:color="auto"/>
            </w:tcBorders>
            <w:hideMark/>
          </w:tcPr>
          <w:p w:rsidR="00A64028" w:rsidRPr="00F170CC" w:rsidRDefault="00A64028" w:rsidP="00F170CC">
            <w:pPr>
              <w:jc w:val="both"/>
              <w:rPr>
                <w:rFonts w:ascii="Arial Narrow" w:eastAsia="Calibri" w:hAnsi="Arial Narrow"/>
                <w:sz w:val="18"/>
                <w:szCs w:val="18"/>
              </w:rPr>
            </w:pPr>
            <w:r w:rsidRPr="00F170CC">
              <w:rPr>
                <w:rFonts w:ascii="Arial Narrow" w:eastAsia="Calibri" w:hAnsi="Arial Narrow"/>
                <w:sz w:val="18"/>
                <w:szCs w:val="18"/>
              </w:rPr>
              <w:t>Колыванский, Новосибирский, Краснозерский, Мошковский, Искитимский, Кочковский, Купинский, Убинский, Черепановский, Чулымский районы, г. Обь, р. п. Кольцово</w:t>
            </w:r>
          </w:p>
        </w:tc>
      </w:tr>
      <w:tr w:rsidR="00A64028" w:rsidRPr="00F170CC" w:rsidTr="00A64028">
        <w:tc>
          <w:tcPr>
            <w:tcW w:w="428" w:type="dxa"/>
            <w:tcBorders>
              <w:top w:val="single" w:sz="4" w:space="0" w:color="auto"/>
              <w:left w:val="single" w:sz="4" w:space="0" w:color="auto"/>
              <w:bottom w:val="single" w:sz="4" w:space="0" w:color="auto"/>
              <w:right w:val="single" w:sz="4" w:space="0" w:color="auto"/>
            </w:tcBorders>
            <w:hideMark/>
          </w:tcPr>
          <w:p w:rsidR="00A64028" w:rsidRPr="00F170CC" w:rsidRDefault="00A64028" w:rsidP="00F170CC">
            <w:pPr>
              <w:jc w:val="both"/>
              <w:rPr>
                <w:rFonts w:ascii="Arial Narrow" w:eastAsia="Calibri" w:hAnsi="Arial Narrow" w:cs="Arial"/>
                <w:sz w:val="18"/>
                <w:szCs w:val="18"/>
              </w:rPr>
            </w:pPr>
            <w:r w:rsidRPr="00F170CC">
              <w:rPr>
                <w:rFonts w:ascii="Arial Narrow" w:eastAsia="Calibri" w:hAnsi="Arial Narrow" w:cs="Arial"/>
                <w:sz w:val="18"/>
                <w:szCs w:val="18"/>
              </w:rPr>
              <w:t>7</w:t>
            </w:r>
          </w:p>
        </w:tc>
        <w:tc>
          <w:tcPr>
            <w:tcW w:w="2686" w:type="dxa"/>
            <w:tcBorders>
              <w:top w:val="single" w:sz="4" w:space="0" w:color="auto"/>
              <w:left w:val="single" w:sz="4" w:space="0" w:color="auto"/>
              <w:bottom w:val="single" w:sz="4" w:space="0" w:color="auto"/>
              <w:right w:val="single" w:sz="4" w:space="0" w:color="auto"/>
            </w:tcBorders>
            <w:vAlign w:val="center"/>
            <w:hideMark/>
          </w:tcPr>
          <w:p w:rsidR="00A64028" w:rsidRPr="00F170CC" w:rsidRDefault="00A64028" w:rsidP="00F170CC">
            <w:pPr>
              <w:rPr>
                <w:rFonts w:ascii="Arial Narrow" w:eastAsia="Calibri" w:hAnsi="Arial Narrow"/>
                <w:sz w:val="18"/>
                <w:szCs w:val="18"/>
              </w:rPr>
            </w:pPr>
            <w:r w:rsidRPr="00F170CC">
              <w:rPr>
                <w:rFonts w:ascii="Arial Narrow" w:eastAsia="Calibri" w:hAnsi="Arial Narrow"/>
                <w:sz w:val="18"/>
                <w:szCs w:val="18"/>
              </w:rPr>
              <w:t>Рынок услуг жилищно-коммунального хозяйства (управляющие компании)</w:t>
            </w:r>
          </w:p>
        </w:tc>
        <w:tc>
          <w:tcPr>
            <w:tcW w:w="6662" w:type="dxa"/>
            <w:tcBorders>
              <w:top w:val="single" w:sz="4" w:space="0" w:color="auto"/>
              <w:left w:val="single" w:sz="4" w:space="0" w:color="auto"/>
              <w:bottom w:val="single" w:sz="4" w:space="0" w:color="auto"/>
              <w:right w:val="single" w:sz="4" w:space="0" w:color="auto"/>
            </w:tcBorders>
            <w:hideMark/>
          </w:tcPr>
          <w:p w:rsidR="00A64028" w:rsidRPr="00F170CC" w:rsidRDefault="00A64028" w:rsidP="00F170CC">
            <w:pPr>
              <w:jc w:val="both"/>
              <w:rPr>
                <w:rFonts w:ascii="Arial Narrow" w:eastAsia="Calibri" w:hAnsi="Arial Narrow" w:cs="Arial"/>
                <w:sz w:val="18"/>
                <w:szCs w:val="18"/>
              </w:rPr>
            </w:pPr>
            <w:r w:rsidRPr="00F170CC">
              <w:rPr>
                <w:rFonts w:ascii="Arial Narrow" w:eastAsia="Calibri" w:hAnsi="Arial Narrow"/>
                <w:sz w:val="18"/>
                <w:szCs w:val="18"/>
              </w:rPr>
              <w:t>Барабинский, Купинский, Новосибирский, Сузунский, Чистоозерный, Колыванский, Краснозерский районы</w:t>
            </w:r>
          </w:p>
        </w:tc>
      </w:tr>
      <w:tr w:rsidR="00A64028" w:rsidRPr="00F170CC" w:rsidTr="00A64028">
        <w:tc>
          <w:tcPr>
            <w:tcW w:w="428" w:type="dxa"/>
            <w:tcBorders>
              <w:top w:val="single" w:sz="4" w:space="0" w:color="auto"/>
              <w:left w:val="single" w:sz="4" w:space="0" w:color="auto"/>
              <w:bottom w:val="single" w:sz="4" w:space="0" w:color="auto"/>
              <w:right w:val="single" w:sz="4" w:space="0" w:color="auto"/>
            </w:tcBorders>
            <w:hideMark/>
          </w:tcPr>
          <w:p w:rsidR="00A64028" w:rsidRPr="00F170CC" w:rsidRDefault="00A64028" w:rsidP="00F170CC">
            <w:pPr>
              <w:jc w:val="both"/>
              <w:rPr>
                <w:rFonts w:ascii="Arial Narrow" w:eastAsia="Calibri" w:hAnsi="Arial Narrow" w:cs="Arial"/>
                <w:sz w:val="18"/>
                <w:szCs w:val="18"/>
              </w:rPr>
            </w:pPr>
            <w:r w:rsidRPr="00F170CC">
              <w:rPr>
                <w:rFonts w:ascii="Arial Narrow" w:eastAsia="Calibri" w:hAnsi="Arial Narrow" w:cs="Arial"/>
                <w:sz w:val="18"/>
                <w:szCs w:val="18"/>
              </w:rPr>
              <w:t>8</w:t>
            </w:r>
          </w:p>
        </w:tc>
        <w:tc>
          <w:tcPr>
            <w:tcW w:w="2686" w:type="dxa"/>
            <w:tcBorders>
              <w:top w:val="single" w:sz="4" w:space="0" w:color="auto"/>
              <w:left w:val="single" w:sz="4" w:space="0" w:color="auto"/>
              <w:bottom w:val="single" w:sz="4" w:space="0" w:color="auto"/>
              <w:right w:val="single" w:sz="4" w:space="0" w:color="auto"/>
            </w:tcBorders>
            <w:vAlign w:val="center"/>
            <w:hideMark/>
          </w:tcPr>
          <w:p w:rsidR="00A64028" w:rsidRPr="00F170CC" w:rsidRDefault="00A64028" w:rsidP="00F170CC">
            <w:pPr>
              <w:rPr>
                <w:rFonts w:ascii="Arial Narrow" w:eastAsia="Calibri" w:hAnsi="Arial Narrow"/>
                <w:sz w:val="18"/>
                <w:szCs w:val="18"/>
              </w:rPr>
            </w:pPr>
            <w:r w:rsidRPr="00F170CC">
              <w:rPr>
                <w:rFonts w:ascii="Arial Narrow" w:eastAsia="Calibri" w:hAnsi="Arial Narrow"/>
                <w:sz w:val="18"/>
                <w:szCs w:val="18"/>
              </w:rPr>
              <w:t>Розничная торговля (продажа продуктов питания и непродовольственных товаров)</w:t>
            </w:r>
          </w:p>
        </w:tc>
        <w:tc>
          <w:tcPr>
            <w:tcW w:w="6662" w:type="dxa"/>
            <w:tcBorders>
              <w:top w:val="single" w:sz="4" w:space="0" w:color="auto"/>
              <w:left w:val="single" w:sz="4" w:space="0" w:color="auto"/>
              <w:bottom w:val="single" w:sz="4" w:space="0" w:color="auto"/>
              <w:right w:val="single" w:sz="4" w:space="0" w:color="auto"/>
            </w:tcBorders>
            <w:hideMark/>
          </w:tcPr>
          <w:p w:rsidR="00A64028" w:rsidRPr="00F170CC" w:rsidRDefault="00A64028" w:rsidP="00F170CC">
            <w:pPr>
              <w:jc w:val="both"/>
              <w:rPr>
                <w:rFonts w:ascii="Arial Narrow" w:eastAsia="Calibri" w:hAnsi="Arial Narrow"/>
                <w:sz w:val="18"/>
                <w:szCs w:val="18"/>
              </w:rPr>
            </w:pPr>
            <w:r w:rsidRPr="00F170CC">
              <w:rPr>
                <w:rFonts w:ascii="Arial Narrow" w:eastAsia="Calibri" w:hAnsi="Arial Narrow"/>
                <w:sz w:val="18"/>
                <w:szCs w:val="18"/>
              </w:rPr>
              <w:t>Баганский, Искитимский, Кочковский, Купинский, Новосибирский, Убинский, Чановский и Черепановский районы</w:t>
            </w:r>
          </w:p>
        </w:tc>
      </w:tr>
      <w:tr w:rsidR="00A64028" w:rsidRPr="00F170CC" w:rsidTr="00A64028">
        <w:tc>
          <w:tcPr>
            <w:tcW w:w="428" w:type="dxa"/>
            <w:tcBorders>
              <w:top w:val="single" w:sz="4" w:space="0" w:color="auto"/>
              <w:left w:val="single" w:sz="4" w:space="0" w:color="auto"/>
              <w:bottom w:val="single" w:sz="4" w:space="0" w:color="auto"/>
              <w:right w:val="single" w:sz="4" w:space="0" w:color="auto"/>
            </w:tcBorders>
            <w:hideMark/>
          </w:tcPr>
          <w:p w:rsidR="00A64028" w:rsidRPr="00F170CC" w:rsidRDefault="00A64028" w:rsidP="00F170CC">
            <w:pPr>
              <w:jc w:val="both"/>
              <w:rPr>
                <w:rFonts w:ascii="Arial Narrow" w:eastAsia="Calibri" w:hAnsi="Arial Narrow" w:cs="Arial"/>
                <w:sz w:val="18"/>
                <w:szCs w:val="18"/>
              </w:rPr>
            </w:pPr>
            <w:r w:rsidRPr="00F170CC">
              <w:rPr>
                <w:rFonts w:ascii="Arial Narrow" w:eastAsia="Calibri" w:hAnsi="Arial Narrow" w:cs="Arial"/>
                <w:sz w:val="18"/>
                <w:szCs w:val="18"/>
              </w:rPr>
              <w:t>9</w:t>
            </w:r>
          </w:p>
        </w:tc>
        <w:tc>
          <w:tcPr>
            <w:tcW w:w="2686" w:type="dxa"/>
            <w:tcBorders>
              <w:top w:val="single" w:sz="4" w:space="0" w:color="auto"/>
              <w:left w:val="single" w:sz="4" w:space="0" w:color="auto"/>
              <w:bottom w:val="single" w:sz="4" w:space="0" w:color="auto"/>
              <w:right w:val="single" w:sz="4" w:space="0" w:color="auto"/>
            </w:tcBorders>
            <w:vAlign w:val="center"/>
            <w:hideMark/>
          </w:tcPr>
          <w:p w:rsidR="00A64028" w:rsidRPr="00F170CC" w:rsidRDefault="00A64028" w:rsidP="00F170CC">
            <w:pPr>
              <w:rPr>
                <w:rFonts w:ascii="Arial Narrow" w:eastAsia="Calibri" w:hAnsi="Arial Narrow"/>
                <w:sz w:val="18"/>
                <w:szCs w:val="18"/>
              </w:rPr>
            </w:pPr>
            <w:r w:rsidRPr="00F170CC">
              <w:rPr>
                <w:rFonts w:ascii="Arial Narrow" w:eastAsia="Calibri" w:hAnsi="Arial Narrow"/>
                <w:sz w:val="18"/>
                <w:szCs w:val="18"/>
              </w:rPr>
              <w:t>Рынок услуг перевозок пассажиров наземным транспортом (автобусные перевозки и такси)</w:t>
            </w:r>
          </w:p>
        </w:tc>
        <w:tc>
          <w:tcPr>
            <w:tcW w:w="6662" w:type="dxa"/>
            <w:tcBorders>
              <w:top w:val="single" w:sz="4" w:space="0" w:color="auto"/>
              <w:left w:val="single" w:sz="4" w:space="0" w:color="auto"/>
              <w:bottom w:val="single" w:sz="4" w:space="0" w:color="auto"/>
              <w:right w:val="single" w:sz="4" w:space="0" w:color="auto"/>
            </w:tcBorders>
            <w:hideMark/>
          </w:tcPr>
          <w:p w:rsidR="00A64028" w:rsidRPr="00F170CC" w:rsidRDefault="00A64028" w:rsidP="00F170CC">
            <w:pPr>
              <w:jc w:val="both"/>
              <w:rPr>
                <w:rFonts w:ascii="Arial Narrow" w:eastAsia="Calibri" w:hAnsi="Arial Narrow"/>
                <w:sz w:val="18"/>
                <w:szCs w:val="18"/>
              </w:rPr>
            </w:pPr>
            <w:r w:rsidRPr="00F170CC">
              <w:rPr>
                <w:rFonts w:ascii="Arial Narrow" w:eastAsia="Calibri" w:hAnsi="Arial Narrow"/>
                <w:sz w:val="18"/>
                <w:szCs w:val="18"/>
              </w:rPr>
              <w:t>г. Искитим, Болотнинский, Искитимский, Кочковский, Купинский, Краснозерский, Новосибирский, Ордынский, Чановский, Черепановский, Чулымский районы</w:t>
            </w:r>
          </w:p>
        </w:tc>
      </w:tr>
      <w:tr w:rsidR="00A64028" w:rsidRPr="00F170CC" w:rsidTr="00A64028">
        <w:tc>
          <w:tcPr>
            <w:tcW w:w="428" w:type="dxa"/>
            <w:tcBorders>
              <w:top w:val="single" w:sz="4" w:space="0" w:color="auto"/>
              <w:left w:val="single" w:sz="4" w:space="0" w:color="auto"/>
              <w:bottom w:val="single" w:sz="4" w:space="0" w:color="auto"/>
              <w:right w:val="single" w:sz="4" w:space="0" w:color="auto"/>
            </w:tcBorders>
            <w:hideMark/>
          </w:tcPr>
          <w:p w:rsidR="00A64028" w:rsidRPr="00F170CC" w:rsidRDefault="00A64028" w:rsidP="00F170CC">
            <w:pPr>
              <w:jc w:val="both"/>
              <w:rPr>
                <w:rFonts w:ascii="Arial Narrow" w:eastAsia="Calibri" w:hAnsi="Arial Narrow" w:cs="Arial"/>
                <w:sz w:val="18"/>
                <w:szCs w:val="18"/>
              </w:rPr>
            </w:pPr>
            <w:r w:rsidRPr="00F170CC">
              <w:rPr>
                <w:rFonts w:ascii="Arial Narrow" w:eastAsia="Calibri" w:hAnsi="Arial Narrow" w:cs="Arial"/>
                <w:sz w:val="18"/>
                <w:szCs w:val="18"/>
              </w:rPr>
              <w:t>10</w:t>
            </w:r>
          </w:p>
        </w:tc>
        <w:tc>
          <w:tcPr>
            <w:tcW w:w="2686" w:type="dxa"/>
            <w:tcBorders>
              <w:top w:val="single" w:sz="4" w:space="0" w:color="auto"/>
              <w:left w:val="single" w:sz="4" w:space="0" w:color="auto"/>
              <w:bottom w:val="single" w:sz="4" w:space="0" w:color="auto"/>
              <w:right w:val="single" w:sz="4" w:space="0" w:color="auto"/>
            </w:tcBorders>
            <w:vAlign w:val="center"/>
            <w:hideMark/>
          </w:tcPr>
          <w:p w:rsidR="00A64028" w:rsidRPr="00F170CC" w:rsidRDefault="00A64028" w:rsidP="00F170CC">
            <w:pPr>
              <w:rPr>
                <w:rFonts w:ascii="Arial Narrow" w:eastAsia="Calibri" w:hAnsi="Arial Narrow"/>
                <w:sz w:val="18"/>
                <w:szCs w:val="18"/>
              </w:rPr>
            </w:pPr>
            <w:r w:rsidRPr="00F170CC">
              <w:rPr>
                <w:rFonts w:ascii="Arial Narrow" w:eastAsia="Calibri" w:hAnsi="Arial Narrow"/>
                <w:sz w:val="18"/>
                <w:szCs w:val="18"/>
              </w:rPr>
              <w:t>Рынок услуг связи</w:t>
            </w:r>
          </w:p>
        </w:tc>
        <w:tc>
          <w:tcPr>
            <w:tcW w:w="6662" w:type="dxa"/>
            <w:tcBorders>
              <w:top w:val="single" w:sz="4" w:space="0" w:color="auto"/>
              <w:left w:val="single" w:sz="4" w:space="0" w:color="auto"/>
              <w:bottom w:val="single" w:sz="4" w:space="0" w:color="auto"/>
              <w:right w:val="single" w:sz="4" w:space="0" w:color="auto"/>
            </w:tcBorders>
            <w:hideMark/>
          </w:tcPr>
          <w:p w:rsidR="00A64028" w:rsidRPr="00F170CC" w:rsidRDefault="00A64028" w:rsidP="00F170CC">
            <w:pPr>
              <w:jc w:val="both"/>
              <w:rPr>
                <w:rFonts w:ascii="Arial Narrow" w:eastAsia="Calibri" w:hAnsi="Arial Narrow" w:cs="Arial"/>
                <w:sz w:val="18"/>
                <w:szCs w:val="18"/>
              </w:rPr>
            </w:pPr>
            <w:r w:rsidRPr="00F170CC">
              <w:rPr>
                <w:rFonts w:ascii="Arial Narrow" w:eastAsia="Calibri" w:hAnsi="Arial Narrow"/>
                <w:sz w:val="18"/>
                <w:szCs w:val="18"/>
              </w:rPr>
              <w:t>Баганский, Кочковский, Каргатский, Купинский, Новосибирский, Убинский, Чановский, Черепановский, Чистоозерный районы</w:t>
            </w:r>
          </w:p>
        </w:tc>
      </w:tr>
      <w:tr w:rsidR="00A64028" w:rsidRPr="00F170CC" w:rsidTr="00A64028">
        <w:tc>
          <w:tcPr>
            <w:tcW w:w="428" w:type="dxa"/>
            <w:tcBorders>
              <w:top w:val="single" w:sz="4" w:space="0" w:color="auto"/>
              <w:left w:val="single" w:sz="4" w:space="0" w:color="auto"/>
              <w:bottom w:val="single" w:sz="4" w:space="0" w:color="auto"/>
              <w:right w:val="single" w:sz="4" w:space="0" w:color="auto"/>
            </w:tcBorders>
            <w:hideMark/>
          </w:tcPr>
          <w:p w:rsidR="00A64028" w:rsidRPr="00F170CC" w:rsidRDefault="00A64028" w:rsidP="00F170CC">
            <w:pPr>
              <w:jc w:val="both"/>
              <w:rPr>
                <w:rFonts w:ascii="Arial Narrow" w:eastAsia="Calibri" w:hAnsi="Arial Narrow" w:cs="Arial"/>
                <w:sz w:val="18"/>
                <w:szCs w:val="18"/>
              </w:rPr>
            </w:pPr>
            <w:r w:rsidRPr="00F170CC">
              <w:rPr>
                <w:rFonts w:ascii="Arial Narrow" w:eastAsia="Calibri" w:hAnsi="Arial Narrow" w:cs="Arial"/>
                <w:sz w:val="18"/>
                <w:szCs w:val="18"/>
              </w:rPr>
              <w:t>11</w:t>
            </w:r>
          </w:p>
        </w:tc>
        <w:tc>
          <w:tcPr>
            <w:tcW w:w="2686" w:type="dxa"/>
            <w:tcBorders>
              <w:top w:val="single" w:sz="4" w:space="0" w:color="auto"/>
              <w:left w:val="single" w:sz="4" w:space="0" w:color="auto"/>
              <w:bottom w:val="single" w:sz="4" w:space="0" w:color="auto"/>
              <w:right w:val="single" w:sz="4" w:space="0" w:color="auto"/>
            </w:tcBorders>
            <w:vAlign w:val="center"/>
            <w:hideMark/>
          </w:tcPr>
          <w:p w:rsidR="00A64028" w:rsidRPr="00F170CC" w:rsidRDefault="00A64028" w:rsidP="00F170CC">
            <w:pPr>
              <w:rPr>
                <w:rFonts w:ascii="Arial Narrow" w:eastAsia="Calibri" w:hAnsi="Arial Narrow"/>
                <w:sz w:val="18"/>
                <w:szCs w:val="18"/>
              </w:rPr>
            </w:pPr>
            <w:r w:rsidRPr="00F170CC">
              <w:rPr>
                <w:rFonts w:ascii="Arial Narrow" w:eastAsia="Calibri" w:hAnsi="Arial Narrow"/>
                <w:sz w:val="18"/>
                <w:szCs w:val="18"/>
              </w:rPr>
              <w:t>Рынок услуг социального обслуживания населения</w:t>
            </w:r>
          </w:p>
        </w:tc>
        <w:tc>
          <w:tcPr>
            <w:tcW w:w="6662" w:type="dxa"/>
            <w:tcBorders>
              <w:top w:val="single" w:sz="4" w:space="0" w:color="auto"/>
              <w:left w:val="single" w:sz="4" w:space="0" w:color="auto"/>
              <w:bottom w:val="single" w:sz="4" w:space="0" w:color="auto"/>
              <w:right w:val="single" w:sz="4" w:space="0" w:color="auto"/>
            </w:tcBorders>
            <w:hideMark/>
          </w:tcPr>
          <w:p w:rsidR="00A64028" w:rsidRPr="00F170CC" w:rsidRDefault="00A64028" w:rsidP="00F170CC">
            <w:pPr>
              <w:jc w:val="both"/>
              <w:rPr>
                <w:rFonts w:ascii="Arial Narrow" w:eastAsia="Calibri" w:hAnsi="Arial Narrow"/>
                <w:sz w:val="18"/>
                <w:szCs w:val="18"/>
              </w:rPr>
            </w:pPr>
            <w:r w:rsidRPr="00F170CC">
              <w:rPr>
                <w:rFonts w:ascii="Arial Narrow" w:eastAsia="Calibri" w:hAnsi="Arial Narrow"/>
                <w:sz w:val="18"/>
                <w:szCs w:val="18"/>
              </w:rPr>
              <w:t>Искитимский, Кочковский, Колыванский, Краснозерский, Купинский, Маслянинский, Новосибирский, Сузунский, Чистоозерный районы</w:t>
            </w:r>
          </w:p>
        </w:tc>
      </w:tr>
      <w:tr w:rsidR="00A64028" w:rsidRPr="00F170CC" w:rsidTr="00A64028">
        <w:tc>
          <w:tcPr>
            <w:tcW w:w="428" w:type="dxa"/>
            <w:tcBorders>
              <w:top w:val="single" w:sz="4" w:space="0" w:color="auto"/>
              <w:left w:val="single" w:sz="4" w:space="0" w:color="auto"/>
              <w:bottom w:val="single" w:sz="4" w:space="0" w:color="auto"/>
              <w:right w:val="single" w:sz="4" w:space="0" w:color="auto"/>
            </w:tcBorders>
            <w:hideMark/>
          </w:tcPr>
          <w:p w:rsidR="00A64028" w:rsidRPr="00F170CC" w:rsidRDefault="00A64028" w:rsidP="00F170CC">
            <w:pPr>
              <w:jc w:val="both"/>
              <w:rPr>
                <w:rFonts w:ascii="Arial Narrow" w:eastAsia="Calibri" w:hAnsi="Arial Narrow" w:cs="Arial"/>
                <w:sz w:val="18"/>
                <w:szCs w:val="18"/>
              </w:rPr>
            </w:pPr>
            <w:r w:rsidRPr="00F170CC">
              <w:rPr>
                <w:rFonts w:ascii="Arial Narrow" w:eastAsia="Calibri" w:hAnsi="Arial Narrow" w:cs="Arial"/>
                <w:sz w:val="18"/>
                <w:szCs w:val="18"/>
              </w:rPr>
              <w:t>12</w:t>
            </w:r>
          </w:p>
        </w:tc>
        <w:tc>
          <w:tcPr>
            <w:tcW w:w="2686" w:type="dxa"/>
            <w:tcBorders>
              <w:top w:val="single" w:sz="4" w:space="0" w:color="auto"/>
              <w:left w:val="single" w:sz="4" w:space="0" w:color="auto"/>
              <w:bottom w:val="single" w:sz="4" w:space="0" w:color="auto"/>
              <w:right w:val="single" w:sz="4" w:space="0" w:color="auto"/>
            </w:tcBorders>
            <w:vAlign w:val="center"/>
            <w:hideMark/>
          </w:tcPr>
          <w:p w:rsidR="00A64028" w:rsidRPr="00F170CC" w:rsidRDefault="00A64028" w:rsidP="00F170CC">
            <w:pPr>
              <w:rPr>
                <w:rFonts w:ascii="Arial Narrow" w:eastAsia="Calibri" w:hAnsi="Arial Narrow"/>
                <w:sz w:val="18"/>
                <w:szCs w:val="18"/>
              </w:rPr>
            </w:pPr>
            <w:r w:rsidRPr="00F170CC">
              <w:rPr>
                <w:rFonts w:ascii="Arial Narrow" w:eastAsia="Calibri" w:hAnsi="Arial Narrow"/>
                <w:sz w:val="18"/>
                <w:szCs w:val="18"/>
              </w:rPr>
              <w:t>Рынок развития, производства, переработки и хранения сельскохозяйственной продукции</w:t>
            </w:r>
          </w:p>
        </w:tc>
        <w:tc>
          <w:tcPr>
            <w:tcW w:w="6662" w:type="dxa"/>
            <w:tcBorders>
              <w:top w:val="single" w:sz="4" w:space="0" w:color="auto"/>
              <w:left w:val="single" w:sz="4" w:space="0" w:color="auto"/>
              <w:bottom w:val="single" w:sz="4" w:space="0" w:color="auto"/>
              <w:right w:val="single" w:sz="4" w:space="0" w:color="auto"/>
            </w:tcBorders>
            <w:hideMark/>
          </w:tcPr>
          <w:p w:rsidR="00A64028" w:rsidRPr="00F170CC" w:rsidRDefault="00A64028" w:rsidP="00F170CC">
            <w:pPr>
              <w:jc w:val="both"/>
              <w:rPr>
                <w:rFonts w:ascii="Arial Narrow" w:eastAsia="Calibri" w:hAnsi="Arial Narrow" w:cs="Arial"/>
                <w:sz w:val="18"/>
                <w:szCs w:val="18"/>
              </w:rPr>
            </w:pPr>
            <w:r w:rsidRPr="00F170CC">
              <w:rPr>
                <w:rFonts w:ascii="Arial Narrow" w:eastAsia="Calibri" w:hAnsi="Arial Narrow"/>
                <w:sz w:val="18"/>
                <w:szCs w:val="18"/>
              </w:rPr>
              <w:t>Баганский, Доволенский, Искитимский, Куйбышевский, Кыштовский, Купинский, Новосибирский, Мошковский, Тогучинский, Убинский, Усть-Таркский, Чановский, Чулымский, Черепановский, Чистоозерный районы</w:t>
            </w:r>
          </w:p>
        </w:tc>
      </w:tr>
      <w:tr w:rsidR="00A64028" w:rsidRPr="00F170CC" w:rsidTr="00A64028">
        <w:tc>
          <w:tcPr>
            <w:tcW w:w="428" w:type="dxa"/>
            <w:tcBorders>
              <w:top w:val="single" w:sz="4" w:space="0" w:color="auto"/>
              <w:left w:val="single" w:sz="4" w:space="0" w:color="auto"/>
              <w:bottom w:val="single" w:sz="4" w:space="0" w:color="auto"/>
              <w:right w:val="single" w:sz="4" w:space="0" w:color="auto"/>
            </w:tcBorders>
            <w:hideMark/>
          </w:tcPr>
          <w:p w:rsidR="00A64028" w:rsidRPr="00F170CC" w:rsidRDefault="00A64028" w:rsidP="00F170CC">
            <w:pPr>
              <w:jc w:val="both"/>
              <w:rPr>
                <w:rFonts w:ascii="Arial Narrow" w:eastAsia="Calibri" w:hAnsi="Arial Narrow" w:cs="Arial"/>
                <w:sz w:val="18"/>
                <w:szCs w:val="18"/>
              </w:rPr>
            </w:pPr>
            <w:r w:rsidRPr="00F170CC">
              <w:rPr>
                <w:rFonts w:ascii="Arial Narrow" w:eastAsia="Calibri" w:hAnsi="Arial Narrow" w:cs="Arial"/>
                <w:sz w:val="18"/>
                <w:szCs w:val="18"/>
              </w:rPr>
              <w:t>13</w:t>
            </w:r>
          </w:p>
        </w:tc>
        <w:tc>
          <w:tcPr>
            <w:tcW w:w="2686" w:type="dxa"/>
            <w:tcBorders>
              <w:top w:val="single" w:sz="4" w:space="0" w:color="auto"/>
              <w:left w:val="single" w:sz="4" w:space="0" w:color="auto"/>
              <w:bottom w:val="single" w:sz="4" w:space="0" w:color="auto"/>
              <w:right w:val="single" w:sz="4" w:space="0" w:color="auto"/>
            </w:tcBorders>
            <w:vAlign w:val="center"/>
            <w:hideMark/>
          </w:tcPr>
          <w:p w:rsidR="00A64028" w:rsidRPr="00F170CC" w:rsidRDefault="00A64028" w:rsidP="00F170CC">
            <w:pPr>
              <w:rPr>
                <w:rFonts w:ascii="Arial Narrow" w:eastAsia="Calibri" w:hAnsi="Arial Narrow"/>
                <w:sz w:val="18"/>
                <w:szCs w:val="18"/>
              </w:rPr>
            </w:pPr>
            <w:r w:rsidRPr="00F170CC">
              <w:rPr>
                <w:rFonts w:ascii="Arial Narrow" w:eastAsia="Calibri" w:hAnsi="Arial Narrow"/>
                <w:sz w:val="18"/>
                <w:szCs w:val="18"/>
              </w:rPr>
              <w:t>Рынок услуг по сбору, сортировке и переработке твердых коммунальных (бытовых) отходов</w:t>
            </w:r>
          </w:p>
        </w:tc>
        <w:tc>
          <w:tcPr>
            <w:tcW w:w="6662" w:type="dxa"/>
            <w:tcBorders>
              <w:top w:val="single" w:sz="4" w:space="0" w:color="auto"/>
              <w:left w:val="single" w:sz="4" w:space="0" w:color="auto"/>
              <w:bottom w:val="single" w:sz="4" w:space="0" w:color="auto"/>
              <w:right w:val="single" w:sz="4" w:space="0" w:color="auto"/>
            </w:tcBorders>
            <w:hideMark/>
          </w:tcPr>
          <w:p w:rsidR="00A64028" w:rsidRPr="00F170CC" w:rsidRDefault="00A64028" w:rsidP="00F170CC">
            <w:pPr>
              <w:jc w:val="both"/>
              <w:rPr>
                <w:rFonts w:ascii="Arial Narrow" w:eastAsia="Calibri" w:hAnsi="Arial Narrow"/>
                <w:sz w:val="18"/>
                <w:szCs w:val="18"/>
              </w:rPr>
            </w:pPr>
            <w:r w:rsidRPr="00F170CC">
              <w:rPr>
                <w:rFonts w:ascii="Arial Narrow" w:eastAsia="Calibri" w:hAnsi="Arial Narrow"/>
                <w:sz w:val="18"/>
                <w:szCs w:val="18"/>
              </w:rPr>
              <w:t>Баганский, Болотнинский, Венгеровский, Доволенский, Искитимский, Кочковский, Каргатский, Купинский, Кыштовский, Мошковский, Ордынский, Сузунский, Убинский, Усть-Таркский, Черепановский, Чановский, Чистоозерный районы</w:t>
            </w:r>
          </w:p>
        </w:tc>
      </w:tr>
    </w:tbl>
    <w:p w:rsidR="00A64028" w:rsidRDefault="00A64028" w:rsidP="00103148">
      <w:pPr>
        <w:spacing w:after="0" w:line="360" w:lineRule="auto"/>
        <w:ind w:firstLine="284"/>
        <w:jc w:val="both"/>
        <w:rPr>
          <w:rFonts w:ascii="Arial Narrow" w:hAnsi="Arial Narrow" w:cs="Arial"/>
          <w:b/>
          <w:sz w:val="24"/>
          <w:szCs w:val="24"/>
        </w:rPr>
      </w:pPr>
    </w:p>
    <w:p w:rsidR="00A64028" w:rsidRDefault="00A64028" w:rsidP="00F170CC">
      <w:pPr>
        <w:spacing w:after="0" w:line="360" w:lineRule="auto"/>
        <w:ind w:firstLine="284"/>
        <w:jc w:val="both"/>
        <w:rPr>
          <w:rFonts w:ascii="Arial Narrow" w:hAnsi="Arial Narrow" w:cs="Arial"/>
          <w:b/>
          <w:sz w:val="24"/>
          <w:szCs w:val="24"/>
        </w:rPr>
      </w:pPr>
      <w:r>
        <w:rPr>
          <w:rFonts w:ascii="Arial Narrow" w:hAnsi="Arial Narrow" w:cs="Arial"/>
          <w:b/>
          <w:sz w:val="24"/>
          <w:szCs w:val="24"/>
        </w:rPr>
        <w:t>37. Разработать планы поддержки и развития негосударственных организаций на социально значимых и приоритетных рынках, где осуществляют деятельность государственные организации, с учетом изучения и использования факторов, повышающих их конкурентоспособность, и накопленного опыта в отдельных муниципалитетах.</w:t>
      </w:r>
    </w:p>
    <w:p w:rsidR="00A64028" w:rsidRDefault="00A64028" w:rsidP="00F170CC">
      <w:pPr>
        <w:spacing w:after="0" w:line="360" w:lineRule="auto"/>
        <w:ind w:firstLine="284"/>
        <w:jc w:val="both"/>
        <w:rPr>
          <w:rFonts w:ascii="Arial Narrow" w:hAnsi="Arial Narrow" w:cs="Arial"/>
          <w:sz w:val="24"/>
          <w:szCs w:val="24"/>
        </w:rPr>
      </w:pPr>
      <w:r>
        <w:rPr>
          <w:rFonts w:ascii="Arial Narrow" w:hAnsi="Arial Narrow" w:cs="Arial"/>
          <w:sz w:val="24"/>
          <w:szCs w:val="24"/>
        </w:rPr>
        <w:t>Это мероприятие касается преимущественно социально значимых и приоритетных рынков, на которых действуют государственные организации и которые являются социально ориентированными:</w:t>
      </w:r>
    </w:p>
    <w:p w:rsidR="00A64028" w:rsidRDefault="00A64028" w:rsidP="00F170CC">
      <w:pPr>
        <w:spacing w:after="0" w:line="360" w:lineRule="auto"/>
        <w:ind w:firstLine="284"/>
        <w:jc w:val="both"/>
        <w:rPr>
          <w:rFonts w:ascii="Arial Narrow" w:hAnsi="Arial Narrow" w:cs="Arial"/>
          <w:sz w:val="24"/>
          <w:szCs w:val="24"/>
        </w:rPr>
      </w:pPr>
      <w:r>
        <w:rPr>
          <w:rFonts w:ascii="Arial Narrow" w:hAnsi="Arial Narrow" w:cs="Arial"/>
          <w:sz w:val="24"/>
          <w:szCs w:val="24"/>
        </w:rPr>
        <w:t>- рынок дошкольного образования,</w:t>
      </w:r>
    </w:p>
    <w:p w:rsidR="00A64028" w:rsidRDefault="00A64028" w:rsidP="00F170CC">
      <w:pPr>
        <w:spacing w:after="0" w:line="360" w:lineRule="auto"/>
        <w:ind w:firstLine="284"/>
        <w:jc w:val="both"/>
        <w:rPr>
          <w:rFonts w:ascii="Arial Narrow" w:hAnsi="Arial Narrow" w:cs="Arial"/>
          <w:sz w:val="24"/>
          <w:szCs w:val="24"/>
        </w:rPr>
      </w:pPr>
      <w:r>
        <w:rPr>
          <w:rFonts w:ascii="Arial Narrow" w:hAnsi="Arial Narrow" w:cs="Arial"/>
          <w:sz w:val="24"/>
          <w:szCs w:val="24"/>
        </w:rPr>
        <w:t>- рынок дополнительного образования для детей,</w:t>
      </w:r>
    </w:p>
    <w:p w:rsidR="00A64028" w:rsidRDefault="00A64028" w:rsidP="00F170CC">
      <w:pPr>
        <w:spacing w:after="0" w:line="360" w:lineRule="auto"/>
        <w:ind w:firstLine="284"/>
        <w:jc w:val="both"/>
        <w:rPr>
          <w:rFonts w:ascii="Arial Narrow" w:hAnsi="Arial Narrow" w:cs="Arial"/>
          <w:sz w:val="24"/>
          <w:szCs w:val="24"/>
        </w:rPr>
      </w:pPr>
      <w:r>
        <w:rPr>
          <w:rFonts w:ascii="Arial Narrow" w:hAnsi="Arial Narrow" w:cs="Arial"/>
          <w:sz w:val="24"/>
          <w:szCs w:val="24"/>
        </w:rPr>
        <w:t>- рынок услуг в сфере культуры,</w:t>
      </w:r>
    </w:p>
    <w:p w:rsidR="00A64028" w:rsidRDefault="00A64028" w:rsidP="00F170CC">
      <w:pPr>
        <w:spacing w:after="0" w:line="360" w:lineRule="auto"/>
        <w:ind w:firstLine="284"/>
        <w:jc w:val="both"/>
        <w:rPr>
          <w:rFonts w:ascii="Arial Narrow" w:hAnsi="Arial Narrow" w:cs="Arial"/>
          <w:sz w:val="24"/>
          <w:szCs w:val="24"/>
        </w:rPr>
      </w:pPr>
      <w:r>
        <w:rPr>
          <w:rFonts w:ascii="Arial Narrow" w:hAnsi="Arial Narrow" w:cs="Arial"/>
          <w:sz w:val="24"/>
          <w:szCs w:val="24"/>
        </w:rPr>
        <w:t>- рынок детского отдыха и оздоровления,</w:t>
      </w:r>
    </w:p>
    <w:p w:rsidR="00A64028" w:rsidRDefault="00A64028" w:rsidP="00F170CC">
      <w:pPr>
        <w:spacing w:after="0" w:line="360" w:lineRule="auto"/>
        <w:ind w:firstLine="284"/>
        <w:jc w:val="both"/>
        <w:rPr>
          <w:rFonts w:ascii="Arial Narrow" w:hAnsi="Arial Narrow" w:cs="Arial"/>
          <w:sz w:val="24"/>
          <w:szCs w:val="24"/>
        </w:rPr>
      </w:pPr>
      <w:r>
        <w:rPr>
          <w:rFonts w:ascii="Arial Narrow" w:hAnsi="Arial Narrow" w:cs="Arial"/>
          <w:sz w:val="24"/>
          <w:szCs w:val="24"/>
        </w:rPr>
        <w:t xml:space="preserve">- рынок </w:t>
      </w:r>
      <w:r>
        <w:rPr>
          <w:rFonts w:ascii="Arial Narrow" w:eastAsia="Calibri" w:hAnsi="Arial Narrow"/>
          <w:sz w:val="24"/>
          <w:szCs w:val="24"/>
        </w:rPr>
        <w:t>медицинских услуг,</w:t>
      </w:r>
    </w:p>
    <w:p w:rsidR="00A64028" w:rsidRDefault="00A64028" w:rsidP="00F170CC">
      <w:pPr>
        <w:spacing w:after="0" w:line="360" w:lineRule="auto"/>
        <w:ind w:firstLine="284"/>
        <w:jc w:val="both"/>
        <w:rPr>
          <w:rFonts w:ascii="Arial Narrow" w:eastAsia="Calibri" w:hAnsi="Arial Narrow"/>
          <w:sz w:val="24"/>
          <w:szCs w:val="24"/>
        </w:rPr>
      </w:pPr>
      <w:r>
        <w:rPr>
          <w:rFonts w:ascii="Arial Narrow" w:hAnsi="Arial Narrow" w:cs="Arial"/>
          <w:sz w:val="24"/>
          <w:szCs w:val="24"/>
        </w:rPr>
        <w:t xml:space="preserve">- </w:t>
      </w:r>
      <w:r>
        <w:rPr>
          <w:rFonts w:ascii="Arial Narrow" w:eastAsia="Calibri" w:hAnsi="Arial Narrow"/>
          <w:sz w:val="24"/>
          <w:szCs w:val="24"/>
        </w:rPr>
        <w:t>рынок услуг психолого-педагогического сопровождения детей с ограниченными возможностями здоровья,</w:t>
      </w:r>
    </w:p>
    <w:p w:rsidR="00A64028" w:rsidRDefault="00A64028" w:rsidP="00F170CC">
      <w:pPr>
        <w:spacing w:after="0" w:line="360" w:lineRule="auto"/>
        <w:ind w:firstLine="284"/>
        <w:jc w:val="both"/>
        <w:rPr>
          <w:rFonts w:ascii="Arial Narrow" w:hAnsi="Arial Narrow" w:cs="Arial"/>
          <w:sz w:val="24"/>
          <w:szCs w:val="24"/>
        </w:rPr>
      </w:pPr>
      <w:r>
        <w:rPr>
          <w:rFonts w:ascii="Arial Narrow" w:hAnsi="Arial Narrow" w:cs="Arial"/>
          <w:sz w:val="24"/>
          <w:szCs w:val="24"/>
        </w:rPr>
        <w:lastRenderedPageBreak/>
        <w:t>- р</w:t>
      </w:r>
      <w:r>
        <w:rPr>
          <w:rFonts w:ascii="Arial Narrow" w:eastAsia="Calibri" w:hAnsi="Arial Narrow"/>
          <w:sz w:val="24"/>
          <w:szCs w:val="24"/>
        </w:rPr>
        <w:t>ынок услуг социального обслуживания населения.</w:t>
      </w:r>
    </w:p>
    <w:p w:rsidR="00A64028" w:rsidRPr="000A79B3" w:rsidRDefault="00A64028" w:rsidP="00F170CC">
      <w:pPr>
        <w:spacing w:after="0" w:line="360" w:lineRule="auto"/>
        <w:ind w:firstLine="284"/>
        <w:jc w:val="both"/>
        <w:rPr>
          <w:rFonts w:ascii="Arial Narrow" w:hAnsi="Arial Narrow"/>
          <w:sz w:val="24"/>
          <w:szCs w:val="24"/>
        </w:rPr>
      </w:pPr>
      <w:r>
        <w:rPr>
          <w:rFonts w:ascii="Arial Narrow" w:hAnsi="Arial Narrow"/>
          <w:b/>
          <w:sz w:val="24"/>
          <w:szCs w:val="24"/>
        </w:rPr>
        <w:t>38</w:t>
      </w:r>
      <w:r w:rsidRPr="0029730E">
        <w:rPr>
          <w:rFonts w:ascii="Arial Narrow" w:hAnsi="Arial Narrow"/>
          <w:b/>
          <w:sz w:val="24"/>
          <w:szCs w:val="24"/>
        </w:rPr>
        <w:t xml:space="preserve">. Повышение эффективности контроля качества товаров, работ и услуг. </w:t>
      </w:r>
      <w:r w:rsidRPr="000A79B3">
        <w:rPr>
          <w:rFonts w:ascii="Arial Narrow" w:hAnsi="Arial Narrow"/>
          <w:sz w:val="24"/>
          <w:szCs w:val="24"/>
        </w:rPr>
        <w:t>Проверки контролирующих органов, по мнению участников рынка, должны быть более четко спланированными, чтобы не возникало частых повторных проверок, а их распределение было равномерным по всем участникам рынка. В то же время, с целью контроля качества товаров, работ и услуг целесообразно проводить проверки организаций, вошедших на рынок в течение прошлого года каждого отчетного периода. Это повысит качество услуг, предоставляемых недавно созданными организациями, которые уже успеют адаптироваться к условиям ведения бизнеса. Проверки в течение первого года целесообразно проводить только для лицензируемых организаций.</w:t>
      </w:r>
    </w:p>
    <w:p w:rsidR="00A64028" w:rsidRDefault="00A64028" w:rsidP="00F170CC">
      <w:pPr>
        <w:spacing w:after="0" w:line="360" w:lineRule="auto"/>
        <w:ind w:firstLine="284"/>
        <w:jc w:val="both"/>
        <w:rPr>
          <w:rFonts w:ascii="Arial Narrow" w:hAnsi="Arial Narrow" w:cs="Arial"/>
          <w:sz w:val="24"/>
          <w:szCs w:val="24"/>
        </w:rPr>
      </w:pPr>
      <w:r>
        <w:rPr>
          <w:rFonts w:ascii="Arial Narrow" w:hAnsi="Arial Narrow" w:cs="Arial"/>
          <w:b/>
          <w:sz w:val="24"/>
          <w:szCs w:val="24"/>
        </w:rPr>
        <w:t xml:space="preserve">39. Проведение мониторинга качества услуг организаций социально значимых и приоритетных рынков. </w:t>
      </w:r>
      <w:r>
        <w:rPr>
          <w:rFonts w:ascii="Arial Narrow" w:hAnsi="Arial Narrow" w:cs="Arial"/>
          <w:sz w:val="24"/>
          <w:szCs w:val="24"/>
        </w:rPr>
        <w:t xml:space="preserve">Рекомендуется обратить особое внимание на муниципальные образования, где отмечается самый низкий уровень удовлетворенности потребителей качеством услуг, см. таблицу </w:t>
      </w:r>
      <w:r w:rsidR="00F170CC">
        <w:rPr>
          <w:rFonts w:ascii="Arial Narrow" w:hAnsi="Arial Narrow" w:cs="Arial"/>
          <w:sz w:val="24"/>
          <w:szCs w:val="24"/>
        </w:rPr>
        <w:t>7.58</w:t>
      </w:r>
      <w:r>
        <w:rPr>
          <w:rFonts w:ascii="Arial Narrow" w:hAnsi="Arial Narrow" w:cs="Arial"/>
          <w:sz w:val="24"/>
          <w:szCs w:val="24"/>
        </w:rPr>
        <w:t>.</w:t>
      </w:r>
    </w:p>
    <w:p w:rsidR="00F170CC" w:rsidRDefault="00F170CC" w:rsidP="00F170CC">
      <w:pPr>
        <w:spacing w:after="0" w:line="360" w:lineRule="auto"/>
        <w:ind w:firstLine="284"/>
        <w:jc w:val="both"/>
        <w:rPr>
          <w:rFonts w:ascii="Arial Narrow" w:hAnsi="Arial Narrow" w:cs="Arial"/>
          <w:sz w:val="24"/>
          <w:szCs w:val="24"/>
        </w:rPr>
      </w:pPr>
    </w:p>
    <w:p w:rsidR="00A64028" w:rsidRDefault="00A64028" w:rsidP="00F170CC">
      <w:pPr>
        <w:spacing w:after="0" w:line="240" w:lineRule="auto"/>
        <w:rPr>
          <w:rFonts w:ascii="Arial Narrow" w:hAnsi="Arial Narrow" w:cs="Arial"/>
          <w:sz w:val="24"/>
          <w:szCs w:val="24"/>
        </w:rPr>
      </w:pPr>
      <w:r>
        <w:rPr>
          <w:rFonts w:ascii="Arial Narrow" w:hAnsi="Arial Narrow" w:cs="Arial"/>
          <w:sz w:val="24"/>
          <w:szCs w:val="24"/>
        </w:rPr>
        <w:t xml:space="preserve">Таблица </w:t>
      </w:r>
      <w:r w:rsidR="00F170CC">
        <w:rPr>
          <w:rFonts w:ascii="Arial Narrow" w:hAnsi="Arial Narrow" w:cs="Arial"/>
          <w:sz w:val="24"/>
          <w:szCs w:val="24"/>
        </w:rPr>
        <w:t>7.58</w:t>
      </w:r>
      <w:r w:rsidR="00262F71">
        <w:rPr>
          <w:rFonts w:ascii="Arial Narrow" w:hAnsi="Arial Narrow" w:cs="Arial"/>
          <w:sz w:val="24"/>
          <w:szCs w:val="24"/>
        </w:rPr>
        <w:t>.</w:t>
      </w:r>
      <w:r>
        <w:rPr>
          <w:rFonts w:ascii="Arial Narrow" w:hAnsi="Arial Narrow" w:cs="Arial"/>
          <w:sz w:val="24"/>
          <w:szCs w:val="24"/>
        </w:rPr>
        <w:t xml:space="preserve"> –</w:t>
      </w:r>
      <w:r>
        <w:rPr>
          <w:rFonts w:ascii="Arial Narrow" w:hAnsi="Arial Narrow" w:cs="Arial"/>
          <w:b/>
          <w:sz w:val="24"/>
          <w:szCs w:val="24"/>
        </w:rPr>
        <w:t xml:space="preserve"> Социально значимые и приоритетные рынки в разрезе муниципальных образований, в которых рекомендуется повысить качество соответствующих товаров, работ и услуг</w:t>
      </w:r>
    </w:p>
    <w:tbl>
      <w:tblPr>
        <w:tblStyle w:val="a7"/>
        <w:tblW w:w="9918" w:type="dxa"/>
        <w:tblLook w:val="04A0"/>
      </w:tblPr>
      <w:tblGrid>
        <w:gridCol w:w="428"/>
        <w:gridCol w:w="4529"/>
        <w:gridCol w:w="4961"/>
      </w:tblGrid>
      <w:tr w:rsidR="00A64028" w:rsidRPr="00F170CC" w:rsidTr="00A64028">
        <w:tc>
          <w:tcPr>
            <w:tcW w:w="428" w:type="dxa"/>
            <w:tcBorders>
              <w:top w:val="single" w:sz="4" w:space="0" w:color="auto"/>
              <w:left w:val="single" w:sz="4" w:space="0" w:color="auto"/>
              <w:bottom w:val="single" w:sz="4" w:space="0" w:color="auto"/>
              <w:right w:val="single" w:sz="4" w:space="0" w:color="auto"/>
            </w:tcBorders>
            <w:hideMark/>
          </w:tcPr>
          <w:p w:rsidR="00A64028" w:rsidRPr="00F170CC" w:rsidRDefault="00A64028" w:rsidP="00F170CC">
            <w:pPr>
              <w:jc w:val="both"/>
              <w:rPr>
                <w:rFonts w:ascii="Arial Narrow" w:hAnsi="Arial Narrow" w:cs="Arial"/>
                <w:b/>
                <w:sz w:val="18"/>
                <w:szCs w:val="18"/>
              </w:rPr>
            </w:pPr>
            <w:r w:rsidRPr="00F170CC">
              <w:rPr>
                <w:rFonts w:ascii="Arial Narrow" w:eastAsia="Calibri" w:hAnsi="Arial Narrow" w:cs="Arial"/>
                <w:b/>
                <w:sz w:val="18"/>
                <w:szCs w:val="18"/>
              </w:rPr>
              <w:t>№</w:t>
            </w:r>
          </w:p>
        </w:tc>
        <w:tc>
          <w:tcPr>
            <w:tcW w:w="4529" w:type="dxa"/>
            <w:tcBorders>
              <w:top w:val="single" w:sz="4" w:space="0" w:color="auto"/>
              <w:left w:val="single" w:sz="4" w:space="0" w:color="auto"/>
              <w:bottom w:val="single" w:sz="4" w:space="0" w:color="auto"/>
              <w:right w:val="single" w:sz="4" w:space="0" w:color="auto"/>
            </w:tcBorders>
            <w:hideMark/>
          </w:tcPr>
          <w:p w:rsidR="00A64028" w:rsidRPr="00F170CC" w:rsidRDefault="00A64028" w:rsidP="00F170CC">
            <w:pPr>
              <w:jc w:val="both"/>
              <w:rPr>
                <w:rFonts w:ascii="Arial Narrow" w:eastAsia="Calibri" w:hAnsi="Arial Narrow" w:cs="Arial"/>
                <w:b/>
                <w:sz w:val="18"/>
                <w:szCs w:val="18"/>
              </w:rPr>
            </w:pPr>
            <w:r w:rsidRPr="00F170CC">
              <w:rPr>
                <w:rFonts w:ascii="Arial Narrow" w:eastAsia="Calibri" w:hAnsi="Arial Narrow" w:cs="Arial"/>
                <w:b/>
                <w:sz w:val="18"/>
                <w:szCs w:val="18"/>
              </w:rPr>
              <w:t>Наименование рынка</w:t>
            </w:r>
          </w:p>
        </w:tc>
        <w:tc>
          <w:tcPr>
            <w:tcW w:w="4961" w:type="dxa"/>
            <w:tcBorders>
              <w:top w:val="single" w:sz="4" w:space="0" w:color="auto"/>
              <w:left w:val="single" w:sz="4" w:space="0" w:color="auto"/>
              <w:bottom w:val="single" w:sz="4" w:space="0" w:color="auto"/>
              <w:right w:val="single" w:sz="4" w:space="0" w:color="auto"/>
            </w:tcBorders>
            <w:hideMark/>
          </w:tcPr>
          <w:p w:rsidR="00A64028" w:rsidRPr="00F170CC" w:rsidRDefault="00A64028" w:rsidP="00F170CC">
            <w:pPr>
              <w:jc w:val="both"/>
              <w:rPr>
                <w:rFonts w:ascii="Arial Narrow" w:eastAsia="Calibri" w:hAnsi="Arial Narrow" w:cs="Arial"/>
                <w:b/>
                <w:sz w:val="18"/>
                <w:szCs w:val="18"/>
              </w:rPr>
            </w:pPr>
            <w:r w:rsidRPr="00F170CC">
              <w:rPr>
                <w:rFonts w:ascii="Arial Narrow" w:eastAsia="Calibri" w:hAnsi="Arial Narrow" w:cs="Arial"/>
                <w:b/>
                <w:sz w:val="18"/>
                <w:szCs w:val="18"/>
              </w:rPr>
              <w:t>Муниципальные образования</w:t>
            </w:r>
          </w:p>
        </w:tc>
      </w:tr>
      <w:tr w:rsidR="00A64028" w:rsidRPr="00F170CC" w:rsidTr="00A64028">
        <w:tc>
          <w:tcPr>
            <w:tcW w:w="428" w:type="dxa"/>
            <w:tcBorders>
              <w:top w:val="single" w:sz="4" w:space="0" w:color="auto"/>
              <w:left w:val="single" w:sz="4" w:space="0" w:color="auto"/>
              <w:bottom w:val="single" w:sz="4" w:space="0" w:color="auto"/>
              <w:right w:val="single" w:sz="4" w:space="0" w:color="auto"/>
            </w:tcBorders>
            <w:hideMark/>
          </w:tcPr>
          <w:p w:rsidR="00A64028" w:rsidRPr="00F170CC" w:rsidRDefault="00A64028" w:rsidP="00F170CC">
            <w:pPr>
              <w:jc w:val="both"/>
              <w:rPr>
                <w:rFonts w:ascii="Arial Narrow" w:eastAsia="Calibri" w:hAnsi="Arial Narrow" w:cs="Arial"/>
                <w:sz w:val="18"/>
                <w:szCs w:val="18"/>
              </w:rPr>
            </w:pPr>
            <w:r w:rsidRPr="00F170CC">
              <w:rPr>
                <w:rFonts w:ascii="Arial Narrow" w:eastAsia="Calibri" w:hAnsi="Arial Narrow" w:cs="Arial"/>
                <w:sz w:val="18"/>
                <w:szCs w:val="18"/>
              </w:rPr>
              <w:t>1</w:t>
            </w:r>
          </w:p>
        </w:tc>
        <w:tc>
          <w:tcPr>
            <w:tcW w:w="4529" w:type="dxa"/>
            <w:tcBorders>
              <w:top w:val="single" w:sz="4" w:space="0" w:color="auto"/>
              <w:left w:val="single" w:sz="4" w:space="0" w:color="auto"/>
              <w:bottom w:val="single" w:sz="4" w:space="0" w:color="auto"/>
              <w:right w:val="single" w:sz="4" w:space="0" w:color="auto"/>
            </w:tcBorders>
            <w:vAlign w:val="center"/>
            <w:hideMark/>
          </w:tcPr>
          <w:p w:rsidR="00A64028" w:rsidRPr="00F170CC" w:rsidRDefault="00A64028" w:rsidP="00F170CC">
            <w:pPr>
              <w:rPr>
                <w:rFonts w:ascii="Arial Narrow" w:eastAsia="Calibri" w:hAnsi="Arial Narrow"/>
                <w:sz w:val="18"/>
                <w:szCs w:val="18"/>
              </w:rPr>
            </w:pPr>
            <w:r w:rsidRPr="00F170CC">
              <w:rPr>
                <w:rFonts w:ascii="Arial Narrow" w:eastAsia="Calibri" w:hAnsi="Arial Narrow"/>
                <w:sz w:val="18"/>
                <w:szCs w:val="18"/>
              </w:rPr>
              <w:t>Рынок услуг дошкольного образования (коммерческие детские сады и учреждения пребывания неполного дня)</w:t>
            </w:r>
          </w:p>
        </w:tc>
        <w:tc>
          <w:tcPr>
            <w:tcW w:w="4961" w:type="dxa"/>
            <w:tcBorders>
              <w:top w:val="single" w:sz="4" w:space="0" w:color="auto"/>
              <w:left w:val="single" w:sz="4" w:space="0" w:color="auto"/>
              <w:bottom w:val="single" w:sz="4" w:space="0" w:color="auto"/>
              <w:right w:val="single" w:sz="4" w:space="0" w:color="auto"/>
            </w:tcBorders>
            <w:hideMark/>
          </w:tcPr>
          <w:p w:rsidR="00A64028" w:rsidRPr="00F170CC" w:rsidRDefault="00A64028" w:rsidP="00F170CC">
            <w:pPr>
              <w:jc w:val="both"/>
              <w:rPr>
                <w:rFonts w:ascii="Arial Narrow" w:eastAsia="Calibri" w:hAnsi="Arial Narrow" w:cs="Arial"/>
                <w:sz w:val="18"/>
                <w:szCs w:val="18"/>
              </w:rPr>
            </w:pPr>
            <w:r w:rsidRPr="00F170CC">
              <w:rPr>
                <w:rFonts w:ascii="Arial Narrow" w:eastAsia="Calibri" w:hAnsi="Arial Narrow"/>
                <w:sz w:val="18"/>
                <w:szCs w:val="18"/>
              </w:rPr>
              <w:t>Искитимский, Венгеровский, Коченевский, Сузунский, Убинский, Чулымский районы</w:t>
            </w:r>
          </w:p>
        </w:tc>
      </w:tr>
      <w:tr w:rsidR="00A64028" w:rsidRPr="00F170CC" w:rsidTr="00A64028">
        <w:tc>
          <w:tcPr>
            <w:tcW w:w="428" w:type="dxa"/>
            <w:tcBorders>
              <w:top w:val="single" w:sz="4" w:space="0" w:color="auto"/>
              <w:left w:val="single" w:sz="4" w:space="0" w:color="auto"/>
              <w:bottom w:val="single" w:sz="4" w:space="0" w:color="auto"/>
              <w:right w:val="single" w:sz="4" w:space="0" w:color="auto"/>
            </w:tcBorders>
            <w:hideMark/>
          </w:tcPr>
          <w:p w:rsidR="00A64028" w:rsidRPr="00F170CC" w:rsidRDefault="00A64028" w:rsidP="00F170CC">
            <w:pPr>
              <w:jc w:val="both"/>
              <w:rPr>
                <w:rFonts w:ascii="Arial Narrow" w:eastAsia="Calibri" w:hAnsi="Arial Narrow" w:cs="Arial"/>
                <w:sz w:val="18"/>
                <w:szCs w:val="18"/>
              </w:rPr>
            </w:pPr>
            <w:r w:rsidRPr="00F170CC">
              <w:rPr>
                <w:rFonts w:ascii="Arial Narrow" w:eastAsia="Calibri" w:hAnsi="Arial Narrow" w:cs="Arial"/>
                <w:sz w:val="18"/>
                <w:szCs w:val="18"/>
              </w:rPr>
              <w:t>2</w:t>
            </w:r>
          </w:p>
        </w:tc>
        <w:tc>
          <w:tcPr>
            <w:tcW w:w="4529" w:type="dxa"/>
            <w:tcBorders>
              <w:top w:val="single" w:sz="4" w:space="0" w:color="auto"/>
              <w:left w:val="single" w:sz="4" w:space="0" w:color="auto"/>
              <w:bottom w:val="single" w:sz="4" w:space="0" w:color="auto"/>
              <w:right w:val="single" w:sz="4" w:space="0" w:color="auto"/>
            </w:tcBorders>
            <w:vAlign w:val="center"/>
            <w:hideMark/>
          </w:tcPr>
          <w:p w:rsidR="00A64028" w:rsidRPr="00F170CC" w:rsidRDefault="00A64028" w:rsidP="00F170CC">
            <w:pPr>
              <w:rPr>
                <w:rFonts w:ascii="Arial Narrow" w:eastAsia="Calibri" w:hAnsi="Arial Narrow"/>
                <w:sz w:val="18"/>
                <w:szCs w:val="18"/>
              </w:rPr>
            </w:pPr>
            <w:r w:rsidRPr="00F170CC">
              <w:rPr>
                <w:rFonts w:ascii="Arial Narrow" w:eastAsia="Calibri" w:hAnsi="Arial Narrow"/>
                <w:sz w:val="18"/>
                <w:szCs w:val="18"/>
              </w:rPr>
              <w:t>Рынок услуг детского отдыха и оздоровления</w:t>
            </w:r>
          </w:p>
        </w:tc>
        <w:tc>
          <w:tcPr>
            <w:tcW w:w="4961" w:type="dxa"/>
            <w:tcBorders>
              <w:top w:val="single" w:sz="4" w:space="0" w:color="auto"/>
              <w:left w:val="single" w:sz="4" w:space="0" w:color="auto"/>
              <w:bottom w:val="single" w:sz="4" w:space="0" w:color="auto"/>
              <w:right w:val="single" w:sz="4" w:space="0" w:color="auto"/>
            </w:tcBorders>
            <w:hideMark/>
          </w:tcPr>
          <w:p w:rsidR="00A64028" w:rsidRPr="00F170CC" w:rsidRDefault="00A64028" w:rsidP="00F170CC">
            <w:pPr>
              <w:jc w:val="both"/>
              <w:rPr>
                <w:rFonts w:ascii="Arial Narrow" w:eastAsia="Calibri" w:hAnsi="Arial Narrow" w:cs="Arial"/>
                <w:sz w:val="18"/>
                <w:szCs w:val="18"/>
              </w:rPr>
            </w:pPr>
            <w:r w:rsidRPr="00F170CC">
              <w:rPr>
                <w:rFonts w:ascii="Arial Narrow" w:eastAsia="Calibri" w:hAnsi="Arial Narrow"/>
                <w:sz w:val="18"/>
                <w:szCs w:val="18"/>
              </w:rPr>
              <w:t>Искитимский, Убинский районы</w:t>
            </w:r>
          </w:p>
        </w:tc>
      </w:tr>
      <w:tr w:rsidR="00A64028" w:rsidRPr="00F170CC" w:rsidTr="00A64028">
        <w:tc>
          <w:tcPr>
            <w:tcW w:w="428" w:type="dxa"/>
            <w:tcBorders>
              <w:top w:val="single" w:sz="4" w:space="0" w:color="auto"/>
              <w:left w:val="single" w:sz="4" w:space="0" w:color="auto"/>
              <w:bottom w:val="single" w:sz="4" w:space="0" w:color="auto"/>
              <w:right w:val="single" w:sz="4" w:space="0" w:color="auto"/>
            </w:tcBorders>
            <w:hideMark/>
          </w:tcPr>
          <w:p w:rsidR="00A64028" w:rsidRPr="00F170CC" w:rsidRDefault="00A64028" w:rsidP="00F170CC">
            <w:pPr>
              <w:jc w:val="both"/>
              <w:rPr>
                <w:rFonts w:ascii="Arial Narrow" w:eastAsia="Calibri" w:hAnsi="Arial Narrow" w:cs="Arial"/>
                <w:sz w:val="18"/>
                <w:szCs w:val="18"/>
              </w:rPr>
            </w:pPr>
            <w:r w:rsidRPr="00F170CC">
              <w:rPr>
                <w:rFonts w:ascii="Arial Narrow" w:eastAsia="Calibri" w:hAnsi="Arial Narrow" w:cs="Arial"/>
                <w:sz w:val="18"/>
                <w:szCs w:val="18"/>
              </w:rPr>
              <w:t>3</w:t>
            </w:r>
          </w:p>
        </w:tc>
        <w:tc>
          <w:tcPr>
            <w:tcW w:w="4529" w:type="dxa"/>
            <w:tcBorders>
              <w:top w:val="single" w:sz="4" w:space="0" w:color="auto"/>
              <w:left w:val="single" w:sz="4" w:space="0" w:color="auto"/>
              <w:bottom w:val="single" w:sz="4" w:space="0" w:color="auto"/>
              <w:right w:val="single" w:sz="4" w:space="0" w:color="auto"/>
            </w:tcBorders>
            <w:vAlign w:val="center"/>
            <w:hideMark/>
          </w:tcPr>
          <w:p w:rsidR="00A64028" w:rsidRPr="00F170CC" w:rsidRDefault="00A64028" w:rsidP="00F170CC">
            <w:pPr>
              <w:rPr>
                <w:rFonts w:ascii="Arial Narrow" w:eastAsia="Calibri" w:hAnsi="Arial Narrow"/>
                <w:sz w:val="18"/>
                <w:szCs w:val="18"/>
              </w:rPr>
            </w:pPr>
            <w:r w:rsidRPr="00F170CC">
              <w:rPr>
                <w:rFonts w:ascii="Arial Narrow" w:eastAsia="Calibri" w:hAnsi="Arial Narrow"/>
                <w:sz w:val="18"/>
                <w:szCs w:val="18"/>
              </w:rPr>
              <w:t>Рынок услуг дополнительного образования детей</w:t>
            </w:r>
          </w:p>
        </w:tc>
        <w:tc>
          <w:tcPr>
            <w:tcW w:w="4961" w:type="dxa"/>
            <w:tcBorders>
              <w:top w:val="single" w:sz="4" w:space="0" w:color="auto"/>
              <w:left w:val="single" w:sz="4" w:space="0" w:color="auto"/>
              <w:bottom w:val="single" w:sz="4" w:space="0" w:color="auto"/>
              <w:right w:val="single" w:sz="4" w:space="0" w:color="auto"/>
            </w:tcBorders>
            <w:hideMark/>
          </w:tcPr>
          <w:p w:rsidR="00A64028" w:rsidRPr="00F170CC" w:rsidRDefault="00A64028" w:rsidP="00F170CC">
            <w:pPr>
              <w:jc w:val="both"/>
              <w:rPr>
                <w:rFonts w:ascii="Arial Narrow" w:eastAsia="Calibri" w:hAnsi="Arial Narrow" w:cs="Arial"/>
                <w:sz w:val="18"/>
                <w:szCs w:val="18"/>
              </w:rPr>
            </w:pPr>
            <w:r w:rsidRPr="00F170CC">
              <w:rPr>
                <w:rFonts w:ascii="Arial Narrow" w:eastAsia="Calibri" w:hAnsi="Arial Narrow"/>
                <w:sz w:val="18"/>
                <w:szCs w:val="18"/>
              </w:rPr>
              <w:t>Барабинский, Искитимский, Коченевский, Убинский, Чистоозерный районы</w:t>
            </w:r>
          </w:p>
        </w:tc>
      </w:tr>
      <w:tr w:rsidR="00A64028" w:rsidRPr="00F170CC" w:rsidTr="00A64028">
        <w:tc>
          <w:tcPr>
            <w:tcW w:w="428" w:type="dxa"/>
            <w:tcBorders>
              <w:top w:val="single" w:sz="4" w:space="0" w:color="auto"/>
              <w:left w:val="single" w:sz="4" w:space="0" w:color="auto"/>
              <w:bottom w:val="single" w:sz="4" w:space="0" w:color="auto"/>
              <w:right w:val="single" w:sz="4" w:space="0" w:color="auto"/>
            </w:tcBorders>
            <w:hideMark/>
          </w:tcPr>
          <w:p w:rsidR="00A64028" w:rsidRPr="00F170CC" w:rsidRDefault="00A64028" w:rsidP="00F170CC">
            <w:pPr>
              <w:jc w:val="both"/>
              <w:rPr>
                <w:rFonts w:ascii="Arial Narrow" w:eastAsia="Calibri" w:hAnsi="Arial Narrow" w:cs="Arial"/>
                <w:sz w:val="18"/>
                <w:szCs w:val="18"/>
              </w:rPr>
            </w:pPr>
            <w:r w:rsidRPr="00F170CC">
              <w:rPr>
                <w:rFonts w:ascii="Arial Narrow" w:eastAsia="Calibri" w:hAnsi="Arial Narrow" w:cs="Arial"/>
                <w:sz w:val="18"/>
                <w:szCs w:val="18"/>
              </w:rPr>
              <w:t>4</w:t>
            </w:r>
          </w:p>
        </w:tc>
        <w:tc>
          <w:tcPr>
            <w:tcW w:w="4529" w:type="dxa"/>
            <w:tcBorders>
              <w:top w:val="single" w:sz="4" w:space="0" w:color="auto"/>
              <w:left w:val="single" w:sz="4" w:space="0" w:color="auto"/>
              <w:bottom w:val="single" w:sz="4" w:space="0" w:color="auto"/>
              <w:right w:val="single" w:sz="4" w:space="0" w:color="auto"/>
            </w:tcBorders>
            <w:vAlign w:val="center"/>
            <w:hideMark/>
          </w:tcPr>
          <w:p w:rsidR="00A64028" w:rsidRPr="00F170CC" w:rsidRDefault="00A64028" w:rsidP="00F170CC">
            <w:pPr>
              <w:rPr>
                <w:rFonts w:ascii="Arial Narrow" w:eastAsia="Calibri" w:hAnsi="Arial Narrow"/>
                <w:sz w:val="18"/>
                <w:szCs w:val="18"/>
              </w:rPr>
            </w:pPr>
            <w:r w:rsidRPr="00F170CC">
              <w:rPr>
                <w:rFonts w:ascii="Arial Narrow" w:eastAsia="Calibri" w:hAnsi="Arial Narrow"/>
                <w:sz w:val="18"/>
                <w:szCs w:val="18"/>
              </w:rPr>
              <w:t>Рынок медицинских услуг</w:t>
            </w:r>
          </w:p>
        </w:tc>
        <w:tc>
          <w:tcPr>
            <w:tcW w:w="4961" w:type="dxa"/>
            <w:tcBorders>
              <w:top w:val="single" w:sz="4" w:space="0" w:color="auto"/>
              <w:left w:val="single" w:sz="4" w:space="0" w:color="auto"/>
              <w:bottom w:val="single" w:sz="4" w:space="0" w:color="auto"/>
              <w:right w:val="single" w:sz="4" w:space="0" w:color="auto"/>
            </w:tcBorders>
            <w:hideMark/>
          </w:tcPr>
          <w:p w:rsidR="00A64028" w:rsidRPr="00F170CC" w:rsidRDefault="00A64028" w:rsidP="00F170CC">
            <w:pPr>
              <w:jc w:val="both"/>
              <w:rPr>
                <w:rFonts w:ascii="Arial Narrow" w:eastAsia="Calibri" w:hAnsi="Arial Narrow" w:cs="Arial"/>
                <w:sz w:val="18"/>
                <w:szCs w:val="18"/>
              </w:rPr>
            </w:pPr>
            <w:r w:rsidRPr="00F170CC">
              <w:rPr>
                <w:rFonts w:ascii="Arial Narrow" w:eastAsia="Calibri" w:hAnsi="Arial Narrow" w:cs="Arial"/>
                <w:sz w:val="18"/>
                <w:szCs w:val="18"/>
              </w:rPr>
              <w:t>Здвинский, Коченевский, Новосибирский, Северный, Тогучинский районы</w:t>
            </w:r>
          </w:p>
        </w:tc>
      </w:tr>
      <w:tr w:rsidR="00A64028" w:rsidRPr="00F170CC" w:rsidTr="00A64028">
        <w:tc>
          <w:tcPr>
            <w:tcW w:w="428" w:type="dxa"/>
            <w:tcBorders>
              <w:top w:val="single" w:sz="4" w:space="0" w:color="auto"/>
              <w:left w:val="single" w:sz="4" w:space="0" w:color="auto"/>
              <w:bottom w:val="single" w:sz="4" w:space="0" w:color="auto"/>
              <w:right w:val="single" w:sz="4" w:space="0" w:color="auto"/>
            </w:tcBorders>
            <w:hideMark/>
          </w:tcPr>
          <w:p w:rsidR="00A64028" w:rsidRPr="00F170CC" w:rsidRDefault="00A64028" w:rsidP="00F170CC">
            <w:pPr>
              <w:jc w:val="both"/>
              <w:rPr>
                <w:rFonts w:ascii="Arial Narrow" w:eastAsia="Calibri" w:hAnsi="Arial Narrow" w:cs="Arial"/>
                <w:sz w:val="18"/>
                <w:szCs w:val="18"/>
              </w:rPr>
            </w:pPr>
            <w:r w:rsidRPr="00F170CC">
              <w:rPr>
                <w:rFonts w:ascii="Arial Narrow" w:eastAsia="Calibri" w:hAnsi="Arial Narrow" w:cs="Arial"/>
                <w:sz w:val="18"/>
                <w:szCs w:val="18"/>
              </w:rPr>
              <w:t>5</w:t>
            </w:r>
          </w:p>
        </w:tc>
        <w:tc>
          <w:tcPr>
            <w:tcW w:w="4529" w:type="dxa"/>
            <w:tcBorders>
              <w:top w:val="single" w:sz="4" w:space="0" w:color="auto"/>
              <w:left w:val="single" w:sz="4" w:space="0" w:color="auto"/>
              <w:bottom w:val="single" w:sz="4" w:space="0" w:color="auto"/>
              <w:right w:val="single" w:sz="4" w:space="0" w:color="auto"/>
            </w:tcBorders>
            <w:vAlign w:val="center"/>
            <w:hideMark/>
          </w:tcPr>
          <w:p w:rsidR="00A64028" w:rsidRPr="00F170CC" w:rsidRDefault="00A64028" w:rsidP="00F170CC">
            <w:pPr>
              <w:rPr>
                <w:rFonts w:ascii="Arial Narrow" w:eastAsia="Calibri" w:hAnsi="Arial Narrow"/>
                <w:sz w:val="18"/>
                <w:szCs w:val="18"/>
              </w:rPr>
            </w:pPr>
            <w:r w:rsidRPr="00F170CC">
              <w:rPr>
                <w:rFonts w:ascii="Arial Narrow" w:eastAsia="Calibri" w:hAnsi="Arial Narrow"/>
                <w:sz w:val="18"/>
                <w:szCs w:val="18"/>
              </w:rPr>
              <w:t>Рынок услуг психолого-педагогического сопровождения детей с ограниченными возможностями здоровья</w:t>
            </w:r>
          </w:p>
        </w:tc>
        <w:tc>
          <w:tcPr>
            <w:tcW w:w="4961" w:type="dxa"/>
            <w:tcBorders>
              <w:top w:val="single" w:sz="4" w:space="0" w:color="auto"/>
              <w:left w:val="single" w:sz="4" w:space="0" w:color="auto"/>
              <w:bottom w:val="single" w:sz="4" w:space="0" w:color="auto"/>
              <w:right w:val="single" w:sz="4" w:space="0" w:color="auto"/>
            </w:tcBorders>
            <w:hideMark/>
          </w:tcPr>
          <w:p w:rsidR="00A64028" w:rsidRPr="00F170CC" w:rsidRDefault="00A64028" w:rsidP="00F170CC">
            <w:pPr>
              <w:jc w:val="both"/>
              <w:rPr>
                <w:rFonts w:ascii="Arial Narrow" w:eastAsia="Calibri" w:hAnsi="Arial Narrow"/>
                <w:sz w:val="18"/>
                <w:szCs w:val="18"/>
              </w:rPr>
            </w:pPr>
            <w:r w:rsidRPr="00F170CC">
              <w:rPr>
                <w:rFonts w:ascii="Arial Narrow" w:eastAsia="Calibri" w:hAnsi="Arial Narrow"/>
                <w:sz w:val="18"/>
                <w:szCs w:val="18"/>
              </w:rPr>
              <w:t>Искитимский район</w:t>
            </w:r>
          </w:p>
        </w:tc>
      </w:tr>
      <w:tr w:rsidR="00A64028" w:rsidRPr="00F170CC" w:rsidTr="00A64028">
        <w:tc>
          <w:tcPr>
            <w:tcW w:w="428" w:type="dxa"/>
            <w:tcBorders>
              <w:top w:val="single" w:sz="4" w:space="0" w:color="auto"/>
              <w:left w:val="single" w:sz="4" w:space="0" w:color="auto"/>
              <w:bottom w:val="single" w:sz="4" w:space="0" w:color="auto"/>
              <w:right w:val="single" w:sz="4" w:space="0" w:color="auto"/>
            </w:tcBorders>
            <w:hideMark/>
          </w:tcPr>
          <w:p w:rsidR="00A64028" w:rsidRPr="00F170CC" w:rsidRDefault="00A64028" w:rsidP="00F170CC">
            <w:pPr>
              <w:jc w:val="both"/>
              <w:rPr>
                <w:rFonts w:ascii="Arial Narrow" w:eastAsia="Calibri" w:hAnsi="Arial Narrow" w:cs="Arial"/>
                <w:sz w:val="18"/>
                <w:szCs w:val="18"/>
              </w:rPr>
            </w:pPr>
            <w:r w:rsidRPr="00F170CC">
              <w:rPr>
                <w:rFonts w:ascii="Arial Narrow" w:eastAsia="Calibri" w:hAnsi="Arial Narrow" w:cs="Arial"/>
                <w:sz w:val="18"/>
                <w:szCs w:val="18"/>
              </w:rPr>
              <w:t>6</w:t>
            </w:r>
          </w:p>
        </w:tc>
        <w:tc>
          <w:tcPr>
            <w:tcW w:w="4529" w:type="dxa"/>
            <w:tcBorders>
              <w:top w:val="single" w:sz="4" w:space="0" w:color="auto"/>
              <w:left w:val="single" w:sz="4" w:space="0" w:color="auto"/>
              <w:bottom w:val="single" w:sz="4" w:space="0" w:color="auto"/>
              <w:right w:val="single" w:sz="4" w:space="0" w:color="auto"/>
            </w:tcBorders>
            <w:vAlign w:val="center"/>
            <w:hideMark/>
          </w:tcPr>
          <w:p w:rsidR="00A64028" w:rsidRPr="00F170CC" w:rsidRDefault="00A64028" w:rsidP="00F170CC">
            <w:pPr>
              <w:rPr>
                <w:rFonts w:ascii="Arial Narrow" w:eastAsia="Calibri" w:hAnsi="Arial Narrow"/>
                <w:sz w:val="18"/>
                <w:szCs w:val="18"/>
              </w:rPr>
            </w:pPr>
            <w:r w:rsidRPr="00F170CC">
              <w:rPr>
                <w:rFonts w:ascii="Arial Narrow" w:eastAsia="Calibri" w:hAnsi="Arial Narrow"/>
                <w:sz w:val="18"/>
                <w:szCs w:val="18"/>
              </w:rPr>
              <w:t>Рынок услуг в сфере культуры</w:t>
            </w:r>
          </w:p>
        </w:tc>
        <w:tc>
          <w:tcPr>
            <w:tcW w:w="4961" w:type="dxa"/>
            <w:tcBorders>
              <w:top w:val="single" w:sz="4" w:space="0" w:color="auto"/>
              <w:left w:val="single" w:sz="4" w:space="0" w:color="auto"/>
              <w:bottom w:val="single" w:sz="4" w:space="0" w:color="auto"/>
              <w:right w:val="single" w:sz="4" w:space="0" w:color="auto"/>
            </w:tcBorders>
            <w:hideMark/>
          </w:tcPr>
          <w:p w:rsidR="00A64028" w:rsidRPr="00F170CC" w:rsidRDefault="00A64028" w:rsidP="00F170CC">
            <w:pPr>
              <w:jc w:val="both"/>
              <w:rPr>
                <w:rFonts w:ascii="Arial Narrow" w:eastAsia="Calibri" w:hAnsi="Arial Narrow" w:cs="Arial"/>
                <w:sz w:val="18"/>
                <w:szCs w:val="18"/>
              </w:rPr>
            </w:pPr>
            <w:r w:rsidRPr="00F170CC">
              <w:rPr>
                <w:rFonts w:ascii="Arial Narrow" w:eastAsia="Calibri" w:hAnsi="Arial Narrow"/>
                <w:sz w:val="18"/>
                <w:szCs w:val="18"/>
              </w:rPr>
              <w:t>Болотнинский, Искитимский, Коченевский, Кочковский районы</w:t>
            </w:r>
          </w:p>
        </w:tc>
      </w:tr>
      <w:tr w:rsidR="00A64028" w:rsidRPr="00F170CC" w:rsidTr="00A64028">
        <w:tc>
          <w:tcPr>
            <w:tcW w:w="428" w:type="dxa"/>
            <w:tcBorders>
              <w:top w:val="single" w:sz="4" w:space="0" w:color="auto"/>
              <w:left w:val="single" w:sz="4" w:space="0" w:color="auto"/>
              <w:bottom w:val="single" w:sz="4" w:space="0" w:color="auto"/>
              <w:right w:val="single" w:sz="4" w:space="0" w:color="auto"/>
            </w:tcBorders>
            <w:hideMark/>
          </w:tcPr>
          <w:p w:rsidR="00A64028" w:rsidRPr="00F170CC" w:rsidRDefault="00A64028" w:rsidP="00F170CC">
            <w:pPr>
              <w:jc w:val="both"/>
              <w:rPr>
                <w:rFonts w:ascii="Arial Narrow" w:eastAsia="Calibri" w:hAnsi="Arial Narrow" w:cs="Arial"/>
                <w:sz w:val="18"/>
                <w:szCs w:val="18"/>
              </w:rPr>
            </w:pPr>
            <w:r w:rsidRPr="00F170CC">
              <w:rPr>
                <w:rFonts w:ascii="Arial Narrow" w:eastAsia="Calibri" w:hAnsi="Arial Narrow" w:cs="Arial"/>
                <w:sz w:val="18"/>
                <w:szCs w:val="18"/>
              </w:rPr>
              <w:t>7</w:t>
            </w:r>
          </w:p>
        </w:tc>
        <w:tc>
          <w:tcPr>
            <w:tcW w:w="4529" w:type="dxa"/>
            <w:tcBorders>
              <w:top w:val="single" w:sz="4" w:space="0" w:color="auto"/>
              <w:left w:val="single" w:sz="4" w:space="0" w:color="auto"/>
              <w:bottom w:val="single" w:sz="4" w:space="0" w:color="auto"/>
              <w:right w:val="single" w:sz="4" w:space="0" w:color="auto"/>
            </w:tcBorders>
            <w:vAlign w:val="center"/>
            <w:hideMark/>
          </w:tcPr>
          <w:p w:rsidR="00A64028" w:rsidRPr="00F170CC" w:rsidRDefault="00A64028" w:rsidP="00F170CC">
            <w:pPr>
              <w:rPr>
                <w:rFonts w:ascii="Arial Narrow" w:eastAsia="Calibri" w:hAnsi="Arial Narrow"/>
                <w:sz w:val="18"/>
                <w:szCs w:val="18"/>
              </w:rPr>
            </w:pPr>
            <w:r w:rsidRPr="00F170CC">
              <w:rPr>
                <w:rFonts w:ascii="Arial Narrow" w:eastAsia="Calibri" w:hAnsi="Arial Narrow"/>
                <w:sz w:val="18"/>
                <w:szCs w:val="18"/>
              </w:rPr>
              <w:t>Рынок услуг жилищно-коммунального хозяйства (управляющие компании)</w:t>
            </w:r>
          </w:p>
        </w:tc>
        <w:tc>
          <w:tcPr>
            <w:tcW w:w="4961" w:type="dxa"/>
            <w:tcBorders>
              <w:top w:val="single" w:sz="4" w:space="0" w:color="auto"/>
              <w:left w:val="single" w:sz="4" w:space="0" w:color="auto"/>
              <w:bottom w:val="single" w:sz="4" w:space="0" w:color="auto"/>
              <w:right w:val="single" w:sz="4" w:space="0" w:color="auto"/>
            </w:tcBorders>
            <w:hideMark/>
          </w:tcPr>
          <w:p w:rsidR="00A64028" w:rsidRPr="00F170CC" w:rsidRDefault="00A64028" w:rsidP="00F170CC">
            <w:pPr>
              <w:jc w:val="both"/>
              <w:rPr>
                <w:rFonts w:ascii="Arial Narrow" w:eastAsia="Calibri" w:hAnsi="Arial Narrow" w:cs="Arial"/>
                <w:sz w:val="18"/>
                <w:szCs w:val="18"/>
              </w:rPr>
            </w:pPr>
            <w:r w:rsidRPr="00F170CC">
              <w:rPr>
                <w:rFonts w:ascii="Arial Narrow" w:eastAsia="Calibri" w:hAnsi="Arial Narrow"/>
                <w:sz w:val="18"/>
                <w:szCs w:val="18"/>
              </w:rPr>
              <w:t>Барабинский, Колыванский районы, г. Новосибирск</w:t>
            </w:r>
          </w:p>
        </w:tc>
      </w:tr>
      <w:tr w:rsidR="00A64028" w:rsidRPr="00F170CC" w:rsidTr="00A64028">
        <w:tc>
          <w:tcPr>
            <w:tcW w:w="428" w:type="dxa"/>
            <w:tcBorders>
              <w:top w:val="single" w:sz="4" w:space="0" w:color="auto"/>
              <w:left w:val="single" w:sz="4" w:space="0" w:color="auto"/>
              <w:bottom w:val="single" w:sz="4" w:space="0" w:color="auto"/>
              <w:right w:val="single" w:sz="4" w:space="0" w:color="auto"/>
            </w:tcBorders>
            <w:hideMark/>
          </w:tcPr>
          <w:p w:rsidR="00A64028" w:rsidRPr="00F170CC" w:rsidRDefault="00A64028" w:rsidP="00F170CC">
            <w:pPr>
              <w:jc w:val="both"/>
              <w:rPr>
                <w:rFonts w:ascii="Arial Narrow" w:eastAsia="Calibri" w:hAnsi="Arial Narrow" w:cs="Arial"/>
                <w:sz w:val="18"/>
                <w:szCs w:val="18"/>
              </w:rPr>
            </w:pPr>
            <w:r w:rsidRPr="00F170CC">
              <w:rPr>
                <w:rFonts w:ascii="Arial Narrow" w:eastAsia="Calibri" w:hAnsi="Arial Narrow" w:cs="Arial"/>
                <w:sz w:val="18"/>
                <w:szCs w:val="18"/>
              </w:rPr>
              <w:t>8</w:t>
            </w:r>
          </w:p>
        </w:tc>
        <w:tc>
          <w:tcPr>
            <w:tcW w:w="4529" w:type="dxa"/>
            <w:tcBorders>
              <w:top w:val="single" w:sz="4" w:space="0" w:color="auto"/>
              <w:left w:val="single" w:sz="4" w:space="0" w:color="auto"/>
              <w:bottom w:val="single" w:sz="4" w:space="0" w:color="auto"/>
              <w:right w:val="single" w:sz="4" w:space="0" w:color="auto"/>
            </w:tcBorders>
            <w:vAlign w:val="center"/>
            <w:hideMark/>
          </w:tcPr>
          <w:p w:rsidR="00A64028" w:rsidRPr="00F170CC" w:rsidRDefault="00A64028" w:rsidP="00F170CC">
            <w:pPr>
              <w:rPr>
                <w:rFonts w:ascii="Arial Narrow" w:eastAsia="Calibri" w:hAnsi="Arial Narrow"/>
                <w:sz w:val="18"/>
                <w:szCs w:val="18"/>
              </w:rPr>
            </w:pPr>
            <w:r w:rsidRPr="00F170CC">
              <w:rPr>
                <w:rFonts w:ascii="Arial Narrow" w:eastAsia="Calibri" w:hAnsi="Arial Narrow"/>
                <w:sz w:val="18"/>
                <w:szCs w:val="18"/>
              </w:rPr>
              <w:t>Розничная торговля (продажа продуктов питания и непродовольственных товаров)</w:t>
            </w:r>
          </w:p>
        </w:tc>
        <w:tc>
          <w:tcPr>
            <w:tcW w:w="4961" w:type="dxa"/>
            <w:tcBorders>
              <w:top w:val="single" w:sz="4" w:space="0" w:color="auto"/>
              <w:left w:val="single" w:sz="4" w:space="0" w:color="auto"/>
              <w:bottom w:val="single" w:sz="4" w:space="0" w:color="auto"/>
              <w:right w:val="single" w:sz="4" w:space="0" w:color="auto"/>
            </w:tcBorders>
            <w:hideMark/>
          </w:tcPr>
          <w:p w:rsidR="00A64028" w:rsidRPr="00F170CC" w:rsidRDefault="00A64028" w:rsidP="00F170CC">
            <w:pPr>
              <w:jc w:val="both"/>
              <w:rPr>
                <w:rFonts w:ascii="Arial Narrow" w:eastAsia="Calibri" w:hAnsi="Arial Narrow" w:cs="Arial"/>
                <w:sz w:val="18"/>
                <w:szCs w:val="18"/>
              </w:rPr>
            </w:pPr>
            <w:r w:rsidRPr="00F170CC">
              <w:rPr>
                <w:rFonts w:ascii="Arial Narrow" w:eastAsia="Calibri" w:hAnsi="Arial Narrow"/>
                <w:sz w:val="18"/>
                <w:szCs w:val="18"/>
              </w:rPr>
              <w:t>Болотнинский, Искитимский, Кочковский, Купинский, Сузунский и Тогучинский районы</w:t>
            </w:r>
          </w:p>
        </w:tc>
      </w:tr>
      <w:tr w:rsidR="00A64028" w:rsidRPr="00F170CC" w:rsidTr="00A64028">
        <w:tc>
          <w:tcPr>
            <w:tcW w:w="428" w:type="dxa"/>
            <w:tcBorders>
              <w:top w:val="single" w:sz="4" w:space="0" w:color="auto"/>
              <w:left w:val="single" w:sz="4" w:space="0" w:color="auto"/>
              <w:bottom w:val="single" w:sz="4" w:space="0" w:color="auto"/>
              <w:right w:val="single" w:sz="4" w:space="0" w:color="auto"/>
            </w:tcBorders>
            <w:hideMark/>
          </w:tcPr>
          <w:p w:rsidR="00A64028" w:rsidRPr="00F170CC" w:rsidRDefault="00A64028" w:rsidP="00F170CC">
            <w:pPr>
              <w:jc w:val="both"/>
              <w:rPr>
                <w:rFonts w:ascii="Arial Narrow" w:eastAsia="Calibri" w:hAnsi="Arial Narrow" w:cs="Arial"/>
                <w:sz w:val="18"/>
                <w:szCs w:val="18"/>
              </w:rPr>
            </w:pPr>
            <w:r w:rsidRPr="00F170CC">
              <w:rPr>
                <w:rFonts w:ascii="Arial Narrow" w:eastAsia="Calibri" w:hAnsi="Arial Narrow" w:cs="Arial"/>
                <w:sz w:val="18"/>
                <w:szCs w:val="18"/>
              </w:rPr>
              <w:t>9</w:t>
            </w:r>
          </w:p>
        </w:tc>
        <w:tc>
          <w:tcPr>
            <w:tcW w:w="4529" w:type="dxa"/>
            <w:tcBorders>
              <w:top w:val="single" w:sz="4" w:space="0" w:color="auto"/>
              <w:left w:val="single" w:sz="4" w:space="0" w:color="auto"/>
              <w:bottom w:val="single" w:sz="4" w:space="0" w:color="auto"/>
              <w:right w:val="single" w:sz="4" w:space="0" w:color="auto"/>
            </w:tcBorders>
            <w:vAlign w:val="center"/>
            <w:hideMark/>
          </w:tcPr>
          <w:p w:rsidR="00A64028" w:rsidRPr="00F170CC" w:rsidRDefault="00A64028" w:rsidP="00F170CC">
            <w:pPr>
              <w:rPr>
                <w:rFonts w:ascii="Arial Narrow" w:eastAsia="Calibri" w:hAnsi="Arial Narrow"/>
                <w:sz w:val="18"/>
                <w:szCs w:val="18"/>
              </w:rPr>
            </w:pPr>
            <w:r w:rsidRPr="00F170CC">
              <w:rPr>
                <w:rFonts w:ascii="Arial Narrow" w:eastAsia="Calibri" w:hAnsi="Arial Narrow"/>
                <w:sz w:val="18"/>
                <w:szCs w:val="18"/>
              </w:rPr>
              <w:t>Рынок услуг перевозок пассажиров наземным транспортом (автобусные перевозки и такси)</w:t>
            </w:r>
          </w:p>
        </w:tc>
        <w:tc>
          <w:tcPr>
            <w:tcW w:w="4961" w:type="dxa"/>
            <w:tcBorders>
              <w:top w:val="single" w:sz="4" w:space="0" w:color="auto"/>
              <w:left w:val="single" w:sz="4" w:space="0" w:color="auto"/>
              <w:bottom w:val="single" w:sz="4" w:space="0" w:color="auto"/>
              <w:right w:val="single" w:sz="4" w:space="0" w:color="auto"/>
            </w:tcBorders>
            <w:hideMark/>
          </w:tcPr>
          <w:p w:rsidR="00A64028" w:rsidRPr="00F170CC" w:rsidRDefault="00A64028" w:rsidP="00F170CC">
            <w:pPr>
              <w:jc w:val="both"/>
              <w:rPr>
                <w:rFonts w:ascii="Arial Narrow" w:eastAsia="Calibri" w:hAnsi="Arial Narrow" w:cs="Arial"/>
                <w:sz w:val="18"/>
                <w:szCs w:val="18"/>
              </w:rPr>
            </w:pPr>
            <w:r w:rsidRPr="00F170CC">
              <w:rPr>
                <w:rFonts w:ascii="Arial Narrow" w:eastAsia="Calibri" w:hAnsi="Arial Narrow"/>
                <w:sz w:val="18"/>
                <w:szCs w:val="18"/>
              </w:rPr>
              <w:t>Болотнинский, Искитимский, Новосибирский, Тогучинский районы</w:t>
            </w:r>
          </w:p>
        </w:tc>
      </w:tr>
      <w:tr w:rsidR="00A64028" w:rsidRPr="00F170CC" w:rsidTr="00A64028">
        <w:tc>
          <w:tcPr>
            <w:tcW w:w="428" w:type="dxa"/>
            <w:tcBorders>
              <w:top w:val="single" w:sz="4" w:space="0" w:color="auto"/>
              <w:left w:val="single" w:sz="4" w:space="0" w:color="auto"/>
              <w:bottom w:val="single" w:sz="4" w:space="0" w:color="auto"/>
              <w:right w:val="single" w:sz="4" w:space="0" w:color="auto"/>
            </w:tcBorders>
            <w:hideMark/>
          </w:tcPr>
          <w:p w:rsidR="00A64028" w:rsidRPr="00F170CC" w:rsidRDefault="00A64028" w:rsidP="00F170CC">
            <w:pPr>
              <w:jc w:val="both"/>
              <w:rPr>
                <w:rFonts w:ascii="Arial Narrow" w:eastAsia="Calibri" w:hAnsi="Arial Narrow" w:cs="Arial"/>
                <w:sz w:val="18"/>
                <w:szCs w:val="18"/>
              </w:rPr>
            </w:pPr>
            <w:r w:rsidRPr="00F170CC">
              <w:rPr>
                <w:rFonts w:ascii="Arial Narrow" w:eastAsia="Calibri" w:hAnsi="Arial Narrow" w:cs="Arial"/>
                <w:sz w:val="18"/>
                <w:szCs w:val="18"/>
              </w:rPr>
              <w:t>10</w:t>
            </w:r>
          </w:p>
        </w:tc>
        <w:tc>
          <w:tcPr>
            <w:tcW w:w="4529" w:type="dxa"/>
            <w:tcBorders>
              <w:top w:val="single" w:sz="4" w:space="0" w:color="auto"/>
              <w:left w:val="single" w:sz="4" w:space="0" w:color="auto"/>
              <w:bottom w:val="single" w:sz="4" w:space="0" w:color="auto"/>
              <w:right w:val="single" w:sz="4" w:space="0" w:color="auto"/>
            </w:tcBorders>
            <w:vAlign w:val="center"/>
            <w:hideMark/>
          </w:tcPr>
          <w:p w:rsidR="00A64028" w:rsidRPr="00F170CC" w:rsidRDefault="00A64028" w:rsidP="00F170CC">
            <w:pPr>
              <w:rPr>
                <w:rFonts w:ascii="Arial Narrow" w:eastAsia="Calibri" w:hAnsi="Arial Narrow"/>
                <w:sz w:val="18"/>
                <w:szCs w:val="18"/>
              </w:rPr>
            </w:pPr>
            <w:r w:rsidRPr="00F170CC">
              <w:rPr>
                <w:rFonts w:ascii="Arial Narrow" w:eastAsia="Calibri" w:hAnsi="Arial Narrow"/>
                <w:sz w:val="18"/>
                <w:szCs w:val="18"/>
              </w:rPr>
              <w:t>Рынок услуг связи</w:t>
            </w:r>
          </w:p>
        </w:tc>
        <w:tc>
          <w:tcPr>
            <w:tcW w:w="4961" w:type="dxa"/>
            <w:tcBorders>
              <w:top w:val="single" w:sz="4" w:space="0" w:color="auto"/>
              <w:left w:val="single" w:sz="4" w:space="0" w:color="auto"/>
              <w:bottom w:val="single" w:sz="4" w:space="0" w:color="auto"/>
              <w:right w:val="single" w:sz="4" w:space="0" w:color="auto"/>
            </w:tcBorders>
            <w:hideMark/>
          </w:tcPr>
          <w:p w:rsidR="00A64028" w:rsidRPr="00F170CC" w:rsidRDefault="00A64028" w:rsidP="00F170CC">
            <w:pPr>
              <w:jc w:val="both"/>
              <w:rPr>
                <w:rFonts w:ascii="Arial Narrow" w:eastAsia="Calibri" w:hAnsi="Arial Narrow" w:cs="Arial"/>
                <w:sz w:val="18"/>
                <w:szCs w:val="18"/>
              </w:rPr>
            </w:pPr>
            <w:r w:rsidRPr="00F170CC">
              <w:rPr>
                <w:rFonts w:ascii="Arial Narrow" w:eastAsia="Calibri" w:hAnsi="Arial Narrow" w:cs="Arial"/>
                <w:sz w:val="18"/>
                <w:szCs w:val="18"/>
              </w:rPr>
              <w:t>Купинский район</w:t>
            </w:r>
          </w:p>
        </w:tc>
      </w:tr>
      <w:tr w:rsidR="00A64028" w:rsidRPr="00F170CC" w:rsidTr="00A64028">
        <w:tc>
          <w:tcPr>
            <w:tcW w:w="428" w:type="dxa"/>
            <w:tcBorders>
              <w:top w:val="single" w:sz="4" w:space="0" w:color="auto"/>
              <w:left w:val="single" w:sz="4" w:space="0" w:color="auto"/>
              <w:bottom w:val="single" w:sz="4" w:space="0" w:color="auto"/>
              <w:right w:val="single" w:sz="4" w:space="0" w:color="auto"/>
            </w:tcBorders>
            <w:hideMark/>
          </w:tcPr>
          <w:p w:rsidR="00A64028" w:rsidRPr="00F170CC" w:rsidRDefault="00A64028" w:rsidP="00F170CC">
            <w:pPr>
              <w:jc w:val="both"/>
              <w:rPr>
                <w:rFonts w:ascii="Arial Narrow" w:eastAsia="Calibri" w:hAnsi="Arial Narrow" w:cs="Arial"/>
                <w:sz w:val="18"/>
                <w:szCs w:val="18"/>
              </w:rPr>
            </w:pPr>
            <w:r w:rsidRPr="00F170CC">
              <w:rPr>
                <w:rFonts w:ascii="Arial Narrow" w:eastAsia="Calibri" w:hAnsi="Arial Narrow" w:cs="Arial"/>
                <w:sz w:val="18"/>
                <w:szCs w:val="18"/>
              </w:rPr>
              <w:t>11</w:t>
            </w:r>
          </w:p>
        </w:tc>
        <w:tc>
          <w:tcPr>
            <w:tcW w:w="4529" w:type="dxa"/>
            <w:tcBorders>
              <w:top w:val="single" w:sz="4" w:space="0" w:color="auto"/>
              <w:left w:val="single" w:sz="4" w:space="0" w:color="auto"/>
              <w:bottom w:val="single" w:sz="4" w:space="0" w:color="auto"/>
              <w:right w:val="single" w:sz="4" w:space="0" w:color="auto"/>
            </w:tcBorders>
            <w:vAlign w:val="center"/>
            <w:hideMark/>
          </w:tcPr>
          <w:p w:rsidR="00A64028" w:rsidRPr="00F170CC" w:rsidRDefault="00A64028" w:rsidP="00F170CC">
            <w:pPr>
              <w:rPr>
                <w:rFonts w:ascii="Arial Narrow" w:eastAsia="Calibri" w:hAnsi="Arial Narrow"/>
                <w:sz w:val="18"/>
                <w:szCs w:val="18"/>
              </w:rPr>
            </w:pPr>
            <w:r w:rsidRPr="00F170CC">
              <w:rPr>
                <w:rFonts w:ascii="Arial Narrow" w:eastAsia="Calibri" w:hAnsi="Arial Narrow"/>
                <w:sz w:val="18"/>
                <w:szCs w:val="18"/>
              </w:rPr>
              <w:t>Рынок услуг социального обслуживания населения</w:t>
            </w:r>
          </w:p>
        </w:tc>
        <w:tc>
          <w:tcPr>
            <w:tcW w:w="4961" w:type="dxa"/>
            <w:tcBorders>
              <w:top w:val="single" w:sz="4" w:space="0" w:color="auto"/>
              <w:left w:val="single" w:sz="4" w:space="0" w:color="auto"/>
              <w:bottom w:val="single" w:sz="4" w:space="0" w:color="auto"/>
              <w:right w:val="single" w:sz="4" w:space="0" w:color="auto"/>
            </w:tcBorders>
            <w:hideMark/>
          </w:tcPr>
          <w:p w:rsidR="00A64028" w:rsidRPr="00F170CC" w:rsidRDefault="00A64028" w:rsidP="00F170CC">
            <w:pPr>
              <w:jc w:val="both"/>
              <w:rPr>
                <w:rFonts w:ascii="Arial Narrow" w:eastAsia="Calibri" w:hAnsi="Arial Narrow" w:cs="Arial"/>
                <w:sz w:val="18"/>
                <w:szCs w:val="18"/>
              </w:rPr>
            </w:pPr>
            <w:r w:rsidRPr="00F170CC">
              <w:rPr>
                <w:rFonts w:ascii="Arial Narrow" w:eastAsia="Calibri" w:hAnsi="Arial Narrow"/>
                <w:sz w:val="18"/>
                <w:szCs w:val="18"/>
              </w:rPr>
              <w:t>Болотнинский, Искитимский, Кочковский районы</w:t>
            </w:r>
          </w:p>
        </w:tc>
      </w:tr>
      <w:tr w:rsidR="00A64028" w:rsidRPr="00F170CC" w:rsidTr="00A64028">
        <w:tc>
          <w:tcPr>
            <w:tcW w:w="428" w:type="dxa"/>
            <w:tcBorders>
              <w:top w:val="single" w:sz="4" w:space="0" w:color="auto"/>
              <w:left w:val="single" w:sz="4" w:space="0" w:color="auto"/>
              <w:bottom w:val="single" w:sz="4" w:space="0" w:color="auto"/>
              <w:right w:val="single" w:sz="4" w:space="0" w:color="auto"/>
            </w:tcBorders>
            <w:hideMark/>
          </w:tcPr>
          <w:p w:rsidR="00A64028" w:rsidRPr="00F170CC" w:rsidRDefault="00A64028" w:rsidP="00F170CC">
            <w:pPr>
              <w:jc w:val="both"/>
              <w:rPr>
                <w:rFonts w:ascii="Arial Narrow" w:eastAsia="Calibri" w:hAnsi="Arial Narrow" w:cs="Arial"/>
                <w:sz w:val="18"/>
                <w:szCs w:val="18"/>
              </w:rPr>
            </w:pPr>
            <w:r w:rsidRPr="00F170CC">
              <w:rPr>
                <w:rFonts w:ascii="Arial Narrow" w:eastAsia="Calibri" w:hAnsi="Arial Narrow" w:cs="Arial"/>
                <w:sz w:val="18"/>
                <w:szCs w:val="18"/>
              </w:rPr>
              <w:t>12</w:t>
            </w:r>
          </w:p>
        </w:tc>
        <w:tc>
          <w:tcPr>
            <w:tcW w:w="4529" w:type="dxa"/>
            <w:tcBorders>
              <w:top w:val="single" w:sz="4" w:space="0" w:color="auto"/>
              <w:left w:val="single" w:sz="4" w:space="0" w:color="auto"/>
              <w:bottom w:val="single" w:sz="4" w:space="0" w:color="auto"/>
              <w:right w:val="single" w:sz="4" w:space="0" w:color="auto"/>
            </w:tcBorders>
            <w:vAlign w:val="center"/>
            <w:hideMark/>
          </w:tcPr>
          <w:p w:rsidR="00A64028" w:rsidRPr="00F170CC" w:rsidRDefault="00A64028" w:rsidP="00F170CC">
            <w:pPr>
              <w:rPr>
                <w:rFonts w:ascii="Arial Narrow" w:eastAsia="Calibri" w:hAnsi="Arial Narrow"/>
                <w:sz w:val="18"/>
                <w:szCs w:val="18"/>
              </w:rPr>
            </w:pPr>
            <w:r w:rsidRPr="00F170CC">
              <w:rPr>
                <w:rFonts w:ascii="Arial Narrow" w:eastAsia="Calibri" w:hAnsi="Arial Narrow"/>
                <w:sz w:val="18"/>
                <w:szCs w:val="18"/>
              </w:rPr>
              <w:t>Рынок развития, производства, переработки и хранения сельскохозяйственной продукции</w:t>
            </w:r>
          </w:p>
        </w:tc>
        <w:tc>
          <w:tcPr>
            <w:tcW w:w="4961" w:type="dxa"/>
            <w:tcBorders>
              <w:top w:val="single" w:sz="4" w:space="0" w:color="auto"/>
              <w:left w:val="single" w:sz="4" w:space="0" w:color="auto"/>
              <w:bottom w:val="single" w:sz="4" w:space="0" w:color="auto"/>
              <w:right w:val="single" w:sz="4" w:space="0" w:color="auto"/>
            </w:tcBorders>
            <w:hideMark/>
          </w:tcPr>
          <w:p w:rsidR="00A64028" w:rsidRPr="00F170CC" w:rsidRDefault="00A64028" w:rsidP="00F170CC">
            <w:pPr>
              <w:jc w:val="both"/>
              <w:rPr>
                <w:rFonts w:ascii="Arial Narrow" w:eastAsia="Calibri" w:hAnsi="Arial Narrow" w:cs="Arial"/>
                <w:sz w:val="18"/>
                <w:szCs w:val="18"/>
              </w:rPr>
            </w:pPr>
            <w:r w:rsidRPr="00F170CC">
              <w:rPr>
                <w:rFonts w:ascii="Arial Narrow" w:eastAsia="Calibri" w:hAnsi="Arial Narrow"/>
                <w:sz w:val="18"/>
                <w:szCs w:val="18"/>
              </w:rPr>
              <w:t>Баганский, Искитимский, Кочковский и Кыштовский районы</w:t>
            </w:r>
          </w:p>
        </w:tc>
      </w:tr>
      <w:tr w:rsidR="00A64028" w:rsidRPr="00F170CC" w:rsidTr="00A64028">
        <w:tc>
          <w:tcPr>
            <w:tcW w:w="428" w:type="dxa"/>
            <w:tcBorders>
              <w:top w:val="single" w:sz="4" w:space="0" w:color="auto"/>
              <w:left w:val="single" w:sz="4" w:space="0" w:color="auto"/>
              <w:bottom w:val="single" w:sz="4" w:space="0" w:color="auto"/>
              <w:right w:val="single" w:sz="4" w:space="0" w:color="auto"/>
            </w:tcBorders>
            <w:hideMark/>
          </w:tcPr>
          <w:p w:rsidR="00A64028" w:rsidRPr="00F170CC" w:rsidRDefault="00A64028" w:rsidP="00F170CC">
            <w:pPr>
              <w:jc w:val="both"/>
              <w:rPr>
                <w:rFonts w:ascii="Arial Narrow" w:eastAsia="Calibri" w:hAnsi="Arial Narrow" w:cs="Arial"/>
                <w:sz w:val="18"/>
                <w:szCs w:val="18"/>
              </w:rPr>
            </w:pPr>
            <w:r w:rsidRPr="00F170CC">
              <w:rPr>
                <w:rFonts w:ascii="Arial Narrow" w:eastAsia="Calibri" w:hAnsi="Arial Narrow" w:cs="Arial"/>
                <w:sz w:val="18"/>
                <w:szCs w:val="18"/>
              </w:rPr>
              <w:t>13</w:t>
            </w:r>
          </w:p>
        </w:tc>
        <w:tc>
          <w:tcPr>
            <w:tcW w:w="4529" w:type="dxa"/>
            <w:tcBorders>
              <w:top w:val="single" w:sz="4" w:space="0" w:color="auto"/>
              <w:left w:val="single" w:sz="4" w:space="0" w:color="auto"/>
              <w:bottom w:val="single" w:sz="4" w:space="0" w:color="auto"/>
              <w:right w:val="single" w:sz="4" w:space="0" w:color="auto"/>
            </w:tcBorders>
            <w:vAlign w:val="center"/>
            <w:hideMark/>
          </w:tcPr>
          <w:p w:rsidR="00A64028" w:rsidRPr="00F170CC" w:rsidRDefault="00A64028" w:rsidP="00F170CC">
            <w:pPr>
              <w:rPr>
                <w:rFonts w:ascii="Arial Narrow" w:eastAsia="Calibri" w:hAnsi="Arial Narrow"/>
                <w:sz w:val="18"/>
                <w:szCs w:val="18"/>
              </w:rPr>
            </w:pPr>
            <w:r w:rsidRPr="00F170CC">
              <w:rPr>
                <w:rFonts w:ascii="Arial Narrow" w:eastAsia="Calibri" w:hAnsi="Arial Narrow"/>
                <w:sz w:val="18"/>
                <w:szCs w:val="18"/>
              </w:rPr>
              <w:t>Рынок услуг по сбору, сортировке и переработке твердых коммунальных (бытовых) отходов</w:t>
            </w:r>
          </w:p>
        </w:tc>
        <w:tc>
          <w:tcPr>
            <w:tcW w:w="4961" w:type="dxa"/>
            <w:tcBorders>
              <w:top w:val="single" w:sz="4" w:space="0" w:color="auto"/>
              <w:left w:val="single" w:sz="4" w:space="0" w:color="auto"/>
              <w:bottom w:val="single" w:sz="4" w:space="0" w:color="auto"/>
              <w:right w:val="single" w:sz="4" w:space="0" w:color="auto"/>
            </w:tcBorders>
            <w:hideMark/>
          </w:tcPr>
          <w:p w:rsidR="00A64028" w:rsidRPr="00F170CC" w:rsidRDefault="00A64028" w:rsidP="00F170CC">
            <w:pPr>
              <w:jc w:val="both"/>
              <w:rPr>
                <w:rFonts w:ascii="Arial Narrow" w:eastAsia="Calibri" w:hAnsi="Arial Narrow" w:cs="Arial"/>
                <w:sz w:val="18"/>
                <w:szCs w:val="18"/>
              </w:rPr>
            </w:pPr>
            <w:r w:rsidRPr="00F170CC">
              <w:rPr>
                <w:rFonts w:ascii="Arial Narrow" w:eastAsia="Calibri" w:hAnsi="Arial Narrow"/>
                <w:sz w:val="18"/>
                <w:szCs w:val="18"/>
              </w:rPr>
              <w:t>Барабинский, Здвинский и Куйбышевский районы</w:t>
            </w:r>
          </w:p>
        </w:tc>
      </w:tr>
    </w:tbl>
    <w:p w:rsidR="00A64028" w:rsidRDefault="00A64028" w:rsidP="00103148">
      <w:pPr>
        <w:spacing w:after="0" w:line="360" w:lineRule="auto"/>
        <w:ind w:firstLine="284"/>
        <w:jc w:val="both"/>
        <w:rPr>
          <w:rFonts w:ascii="Arial Narrow" w:hAnsi="Arial Narrow" w:cs="Arial"/>
          <w:sz w:val="24"/>
          <w:szCs w:val="24"/>
        </w:rPr>
      </w:pPr>
    </w:p>
    <w:p w:rsidR="00A64028" w:rsidRDefault="00A64028" w:rsidP="00F170CC">
      <w:pPr>
        <w:spacing w:after="0" w:line="360" w:lineRule="auto"/>
        <w:ind w:firstLine="284"/>
        <w:jc w:val="both"/>
        <w:rPr>
          <w:rFonts w:ascii="Arial Narrow" w:hAnsi="Arial Narrow" w:cs="Arial"/>
          <w:b/>
          <w:sz w:val="24"/>
          <w:szCs w:val="24"/>
        </w:rPr>
      </w:pPr>
      <w:r>
        <w:rPr>
          <w:rFonts w:ascii="Arial Narrow" w:hAnsi="Arial Narrow" w:cs="Arial"/>
          <w:b/>
          <w:sz w:val="24"/>
          <w:szCs w:val="24"/>
        </w:rPr>
        <w:t>40. Проведение мониторингов цен на товары, работы и услуги, предоставляемые организациями социально значимых и приоритетных рынков, с целью получения информации о состоянии конкурентной среды во всех муниципальных образованиях Новосибирской области.</w:t>
      </w:r>
    </w:p>
    <w:p w:rsidR="00A64028" w:rsidRPr="000A79B3" w:rsidRDefault="00A64028" w:rsidP="00F170CC">
      <w:pPr>
        <w:spacing w:after="0" w:line="360" w:lineRule="auto"/>
        <w:ind w:firstLine="284"/>
        <w:contextualSpacing/>
        <w:jc w:val="both"/>
        <w:rPr>
          <w:rFonts w:ascii="Arial Narrow" w:hAnsi="Arial Narrow"/>
          <w:b/>
          <w:sz w:val="24"/>
          <w:szCs w:val="24"/>
        </w:rPr>
      </w:pPr>
      <w:r>
        <w:rPr>
          <w:rFonts w:ascii="Arial Narrow" w:hAnsi="Arial Narrow"/>
          <w:b/>
          <w:sz w:val="24"/>
          <w:szCs w:val="24"/>
        </w:rPr>
        <w:lastRenderedPageBreak/>
        <w:t>41</w:t>
      </w:r>
      <w:r w:rsidRPr="000A79B3">
        <w:rPr>
          <w:rFonts w:ascii="Arial Narrow" w:hAnsi="Arial Narrow"/>
          <w:b/>
          <w:sz w:val="24"/>
          <w:szCs w:val="24"/>
        </w:rPr>
        <w:t>. Обратить внимание на наличие фактов ценового демпинга, который отметило 50,2 % представителей бизнеса. Установить наличие взаимосвязи фактов ценового демпинга с наличием преференций для отдельных участников рынка.</w:t>
      </w:r>
    </w:p>
    <w:p w:rsidR="00A64028" w:rsidRPr="000A79B3" w:rsidRDefault="00A64028" w:rsidP="00F170CC">
      <w:pPr>
        <w:spacing w:after="0" w:line="360" w:lineRule="auto"/>
        <w:ind w:firstLine="284"/>
        <w:contextualSpacing/>
        <w:jc w:val="both"/>
        <w:rPr>
          <w:rFonts w:ascii="Arial Narrow" w:hAnsi="Arial Narrow"/>
          <w:sz w:val="24"/>
          <w:szCs w:val="24"/>
        </w:rPr>
      </w:pPr>
      <w:r w:rsidRPr="000A79B3">
        <w:rPr>
          <w:rFonts w:ascii="Arial Narrow" w:hAnsi="Arial Narrow" w:cs="Arial"/>
          <w:sz w:val="24"/>
          <w:szCs w:val="24"/>
        </w:rPr>
        <w:t>Уделить особое внимание рынкам, на которых факты ценового демпинга наиболее распространены (отметили более 50 %):</w:t>
      </w:r>
      <w:r>
        <w:rPr>
          <w:rFonts w:ascii="Arial Narrow" w:hAnsi="Arial Narrow" w:cs="Arial"/>
          <w:sz w:val="24"/>
          <w:szCs w:val="24"/>
        </w:rPr>
        <w:t xml:space="preserve"> </w:t>
      </w:r>
      <w:r w:rsidRPr="000A79B3">
        <w:rPr>
          <w:rFonts w:ascii="Arial Narrow" w:hAnsi="Arial Narrow"/>
          <w:sz w:val="24"/>
          <w:szCs w:val="24"/>
        </w:rPr>
        <w:t>рынок услуг в сфере культуры;</w:t>
      </w:r>
      <w:r>
        <w:rPr>
          <w:rFonts w:ascii="Arial Narrow" w:hAnsi="Arial Narrow"/>
          <w:sz w:val="24"/>
          <w:szCs w:val="24"/>
        </w:rPr>
        <w:t xml:space="preserve"> </w:t>
      </w:r>
      <w:r w:rsidRPr="000A79B3">
        <w:rPr>
          <w:rFonts w:ascii="Arial Narrow" w:hAnsi="Arial Narrow"/>
          <w:sz w:val="24"/>
          <w:szCs w:val="24"/>
        </w:rPr>
        <w:t>рынок услуг перевозок пассажиров наземным транспортом;</w:t>
      </w:r>
      <w:r>
        <w:rPr>
          <w:rFonts w:ascii="Arial Narrow" w:hAnsi="Arial Narrow"/>
          <w:sz w:val="24"/>
          <w:szCs w:val="24"/>
        </w:rPr>
        <w:t xml:space="preserve"> </w:t>
      </w:r>
      <w:r w:rsidRPr="000A79B3">
        <w:rPr>
          <w:rFonts w:ascii="Arial Narrow" w:hAnsi="Arial Narrow"/>
          <w:sz w:val="24"/>
          <w:szCs w:val="24"/>
        </w:rPr>
        <w:t>рынок услуг по сбору, сортировке и переработке ТБО.</w:t>
      </w:r>
    </w:p>
    <w:p w:rsidR="00A64028" w:rsidRPr="000A79B3" w:rsidRDefault="00A64028" w:rsidP="00F170CC">
      <w:pPr>
        <w:spacing w:after="0" w:line="360" w:lineRule="auto"/>
        <w:ind w:firstLine="284"/>
        <w:contextualSpacing/>
        <w:jc w:val="both"/>
        <w:rPr>
          <w:rFonts w:ascii="Arial Narrow" w:hAnsi="Arial Narrow"/>
          <w:sz w:val="24"/>
          <w:szCs w:val="24"/>
        </w:rPr>
      </w:pPr>
      <w:r w:rsidRPr="000A79B3">
        <w:rPr>
          <w:rFonts w:ascii="Arial Narrow" w:hAnsi="Arial Narrow"/>
          <w:sz w:val="24"/>
          <w:szCs w:val="24"/>
        </w:rPr>
        <w:t>Обратить особое внимание на факты ценового демпинга и установление их причин в муниципальных образованиях, где наличие демпинга цен отметили 60 % респондентов и более, а также где наблюдается рост распространенности данных фактов в 2016 г.</w:t>
      </w:r>
      <w:r>
        <w:rPr>
          <w:rFonts w:ascii="Arial Narrow" w:hAnsi="Arial Narrow"/>
          <w:sz w:val="24"/>
          <w:szCs w:val="24"/>
        </w:rPr>
        <w:t xml:space="preserve">: в </w:t>
      </w:r>
      <w:r w:rsidRPr="000A79B3">
        <w:rPr>
          <w:rFonts w:ascii="Arial Narrow" w:hAnsi="Arial Narrow"/>
          <w:sz w:val="24"/>
          <w:szCs w:val="24"/>
        </w:rPr>
        <w:t>Доволенском МР;</w:t>
      </w:r>
      <w:r>
        <w:rPr>
          <w:rFonts w:ascii="Arial Narrow" w:hAnsi="Arial Narrow"/>
          <w:sz w:val="24"/>
          <w:szCs w:val="24"/>
        </w:rPr>
        <w:t xml:space="preserve"> </w:t>
      </w:r>
      <w:r w:rsidRPr="000A79B3">
        <w:rPr>
          <w:rFonts w:ascii="Arial Narrow" w:hAnsi="Arial Narrow"/>
          <w:sz w:val="24"/>
          <w:szCs w:val="24"/>
        </w:rPr>
        <w:t>Каргатском МР (рост распространенности);</w:t>
      </w:r>
      <w:r>
        <w:rPr>
          <w:rFonts w:ascii="Arial Narrow" w:hAnsi="Arial Narrow"/>
          <w:sz w:val="24"/>
          <w:szCs w:val="24"/>
        </w:rPr>
        <w:t xml:space="preserve"> </w:t>
      </w:r>
      <w:r w:rsidRPr="000A79B3">
        <w:rPr>
          <w:rFonts w:ascii="Arial Narrow" w:hAnsi="Arial Narrow"/>
          <w:sz w:val="24"/>
          <w:szCs w:val="24"/>
        </w:rPr>
        <w:t>Коченевском МР;</w:t>
      </w:r>
      <w:r>
        <w:rPr>
          <w:rFonts w:ascii="Arial Narrow" w:hAnsi="Arial Narrow"/>
          <w:sz w:val="24"/>
          <w:szCs w:val="24"/>
        </w:rPr>
        <w:t xml:space="preserve"> </w:t>
      </w:r>
      <w:r w:rsidRPr="000A79B3">
        <w:rPr>
          <w:rFonts w:ascii="Arial Narrow" w:hAnsi="Arial Narrow"/>
          <w:sz w:val="24"/>
          <w:szCs w:val="24"/>
        </w:rPr>
        <w:t>Кыштовском МР;</w:t>
      </w:r>
      <w:r>
        <w:rPr>
          <w:rFonts w:ascii="Arial Narrow" w:hAnsi="Arial Narrow"/>
          <w:sz w:val="24"/>
          <w:szCs w:val="24"/>
        </w:rPr>
        <w:t xml:space="preserve"> </w:t>
      </w:r>
      <w:r w:rsidRPr="000A79B3">
        <w:rPr>
          <w:rFonts w:ascii="Arial Narrow" w:hAnsi="Arial Narrow"/>
          <w:sz w:val="24"/>
          <w:szCs w:val="24"/>
        </w:rPr>
        <w:t>С</w:t>
      </w:r>
      <w:r>
        <w:rPr>
          <w:rFonts w:ascii="Arial Narrow" w:hAnsi="Arial Narrow"/>
          <w:sz w:val="24"/>
          <w:szCs w:val="24"/>
        </w:rPr>
        <w:t>е</w:t>
      </w:r>
      <w:r w:rsidRPr="000A79B3">
        <w:rPr>
          <w:rFonts w:ascii="Arial Narrow" w:hAnsi="Arial Narrow"/>
          <w:sz w:val="24"/>
          <w:szCs w:val="24"/>
        </w:rPr>
        <w:t>верном МР (рост распространенности);</w:t>
      </w:r>
      <w:r>
        <w:rPr>
          <w:rFonts w:ascii="Arial Narrow" w:hAnsi="Arial Narrow"/>
          <w:sz w:val="24"/>
          <w:szCs w:val="24"/>
        </w:rPr>
        <w:t xml:space="preserve"> </w:t>
      </w:r>
      <w:r w:rsidRPr="000A79B3">
        <w:rPr>
          <w:rFonts w:ascii="Arial Narrow" w:hAnsi="Arial Narrow"/>
          <w:sz w:val="24"/>
          <w:szCs w:val="24"/>
        </w:rPr>
        <w:t>Убинском МР;</w:t>
      </w:r>
      <w:r>
        <w:rPr>
          <w:rFonts w:ascii="Arial Narrow" w:hAnsi="Arial Narrow"/>
          <w:sz w:val="24"/>
          <w:szCs w:val="24"/>
        </w:rPr>
        <w:t xml:space="preserve"> </w:t>
      </w:r>
      <w:r w:rsidRPr="000A79B3">
        <w:rPr>
          <w:rFonts w:ascii="Arial Narrow" w:hAnsi="Arial Narrow"/>
          <w:sz w:val="24"/>
          <w:szCs w:val="24"/>
        </w:rPr>
        <w:t>Усть-Таркском МР (рост распространенности).</w:t>
      </w:r>
    </w:p>
    <w:p w:rsidR="00A64028" w:rsidRDefault="00A64028" w:rsidP="00F170CC">
      <w:pPr>
        <w:spacing w:after="0" w:line="360" w:lineRule="auto"/>
        <w:ind w:firstLine="284"/>
        <w:jc w:val="both"/>
        <w:rPr>
          <w:rFonts w:ascii="Arial Narrow" w:hAnsi="Arial Narrow" w:cs="Arial"/>
          <w:b/>
          <w:sz w:val="24"/>
          <w:szCs w:val="24"/>
        </w:rPr>
      </w:pPr>
    </w:p>
    <w:p w:rsidR="00A64028" w:rsidRPr="000A79B3" w:rsidRDefault="00A64028" w:rsidP="00F170CC">
      <w:pPr>
        <w:spacing w:after="0" w:line="360" w:lineRule="auto"/>
        <w:ind w:firstLine="284"/>
        <w:jc w:val="both"/>
        <w:rPr>
          <w:rFonts w:ascii="Arial Narrow" w:hAnsi="Arial Narrow" w:cs="Arial"/>
          <w:b/>
          <w:sz w:val="24"/>
          <w:szCs w:val="24"/>
          <w:u w:val="single"/>
        </w:rPr>
      </w:pPr>
      <w:r w:rsidRPr="000A79B3">
        <w:rPr>
          <w:rFonts w:ascii="Arial Narrow" w:hAnsi="Arial Narrow" w:cs="Arial"/>
          <w:b/>
          <w:sz w:val="24"/>
          <w:szCs w:val="24"/>
          <w:u w:val="single"/>
        </w:rPr>
        <w:t>Часть 3. Предложения по повышению удовлетворенности субъектов предпринимательства и потребителей товаров, работ и услуг качеством официальной информации о состоянии конкурентной среды на рынках товаров, работ и услуг и деятельности по содействию развитию конкуренции в Новосибирской области, размещаемой уполномоченным органом и муниципальными образованиями, на 2017 г.</w:t>
      </w:r>
    </w:p>
    <w:p w:rsidR="00A64028" w:rsidRDefault="00A64028" w:rsidP="00F170CC">
      <w:pPr>
        <w:spacing w:after="0" w:line="360" w:lineRule="auto"/>
        <w:ind w:firstLine="284"/>
        <w:jc w:val="both"/>
        <w:rPr>
          <w:rFonts w:ascii="Arial Narrow" w:hAnsi="Arial Narrow" w:cs="Arial"/>
          <w:b/>
          <w:sz w:val="24"/>
          <w:szCs w:val="24"/>
        </w:rPr>
      </w:pPr>
      <w:r>
        <w:rPr>
          <w:rFonts w:ascii="Arial Narrow" w:hAnsi="Arial Narrow" w:cs="Arial"/>
          <w:b/>
          <w:sz w:val="24"/>
          <w:szCs w:val="24"/>
        </w:rPr>
        <w:t>42. Повысить удовлетворенность субъектов предпринимательства всеми направлениями качества информации, размещаемой Министерством экономического развития Новосибирской области и органами местного самоуправления в открытом доступе, о состоянии конкурентной среды и деятельности по содействию развитию конкуренции в Новосибирской области, до 60%.</w:t>
      </w:r>
    </w:p>
    <w:p w:rsidR="00A64028" w:rsidRDefault="00A64028" w:rsidP="00F170CC">
      <w:pPr>
        <w:spacing w:after="0" w:line="360" w:lineRule="auto"/>
        <w:ind w:firstLine="284"/>
        <w:jc w:val="both"/>
        <w:rPr>
          <w:rFonts w:ascii="Arial Narrow" w:hAnsi="Arial Narrow" w:cs="Arial"/>
          <w:sz w:val="24"/>
          <w:szCs w:val="24"/>
        </w:rPr>
      </w:pPr>
      <w:r>
        <w:rPr>
          <w:rFonts w:ascii="Arial Narrow" w:hAnsi="Arial Narrow" w:cs="Arial"/>
          <w:sz w:val="24"/>
          <w:szCs w:val="24"/>
        </w:rPr>
        <w:t>Уделить особое внимание рынкам, получившим оценки менее 60 %, по крайней мере, по одному из направлений оценки (уровень доступности, уровень понятности, уровень удобства получения):</w:t>
      </w:r>
    </w:p>
    <w:p w:rsidR="00A64028" w:rsidRDefault="00A64028" w:rsidP="00F170CC">
      <w:pPr>
        <w:spacing w:after="0" w:line="360" w:lineRule="auto"/>
        <w:ind w:firstLine="284"/>
        <w:jc w:val="both"/>
        <w:rPr>
          <w:rFonts w:ascii="Arial Narrow" w:hAnsi="Arial Narrow" w:cs="Arial"/>
          <w:sz w:val="24"/>
          <w:szCs w:val="24"/>
        </w:rPr>
      </w:pPr>
      <w:r>
        <w:rPr>
          <w:rFonts w:ascii="Arial Narrow" w:hAnsi="Arial Narrow" w:cs="Arial"/>
          <w:sz w:val="24"/>
          <w:szCs w:val="24"/>
        </w:rPr>
        <w:t>- Рынок услуг детского отдыха и оздоровления;</w:t>
      </w:r>
    </w:p>
    <w:p w:rsidR="00A64028" w:rsidRDefault="00A64028" w:rsidP="00F170CC">
      <w:pPr>
        <w:spacing w:after="0" w:line="360" w:lineRule="auto"/>
        <w:ind w:firstLine="284"/>
        <w:jc w:val="both"/>
        <w:rPr>
          <w:rFonts w:ascii="Arial Narrow" w:hAnsi="Arial Narrow" w:cs="Arial"/>
          <w:sz w:val="24"/>
          <w:szCs w:val="24"/>
        </w:rPr>
      </w:pPr>
      <w:r>
        <w:rPr>
          <w:rFonts w:ascii="Arial Narrow" w:hAnsi="Arial Narrow" w:cs="Arial"/>
          <w:sz w:val="24"/>
          <w:szCs w:val="24"/>
        </w:rPr>
        <w:t>- Рынок дополнительного образования детей;</w:t>
      </w:r>
    </w:p>
    <w:p w:rsidR="00A64028" w:rsidRDefault="00A64028" w:rsidP="00F170CC">
      <w:pPr>
        <w:spacing w:after="0" w:line="360" w:lineRule="auto"/>
        <w:ind w:firstLine="284"/>
        <w:jc w:val="both"/>
        <w:rPr>
          <w:rFonts w:ascii="Arial Narrow" w:hAnsi="Arial Narrow" w:cs="Arial"/>
          <w:sz w:val="24"/>
          <w:szCs w:val="24"/>
        </w:rPr>
      </w:pPr>
      <w:r>
        <w:rPr>
          <w:rFonts w:ascii="Arial Narrow" w:hAnsi="Arial Narrow" w:cs="Arial"/>
          <w:sz w:val="24"/>
          <w:szCs w:val="24"/>
        </w:rPr>
        <w:t>- Рынок медицинских услуг;</w:t>
      </w:r>
    </w:p>
    <w:p w:rsidR="00A64028" w:rsidRDefault="00A64028" w:rsidP="00F170CC">
      <w:pPr>
        <w:spacing w:after="0" w:line="360" w:lineRule="auto"/>
        <w:ind w:firstLine="284"/>
        <w:jc w:val="both"/>
        <w:rPr>
          <w:rFonts w:ascii="Arial Narrow" w:hAnsi="Arial Narrow" w:cs="Arial"/>
          <w:sz w:val="24"/>
          <w:szCs w:val="24"/>
        </w:rPr>
      </w:pPr>
      <w:r>
        <w:rPr>
          <w:rFonts w:ascii="Arial Narrow" w:hAnsi="Arial Narrow" w:cs="Arial"/>
          <w:sz w:val="24"/>
          <w:szCs w:val="24"/>
        </w:rPr>
        <w:t>- Рынок услуг в сфере культуры;</w:t>
      </w:r>
    </w:p>
    <w:p w:rsidR="00A64028" w:rsidRDefault="00A64028" w:rsidP="00F170CC">
      <w:pPr>
        <w:spacing w:after="0" w:line="360" w:lineRule="auto"/>
        <w:ind w:firstLine="284"/>
        <w:jc w:val="both"/>
        <w:rPr>
          <w:rFonts w:ascii="Arial Narrow" w:hAnsi="Arial Narrow" w:cs="Arial"/>
          <w:sz w:val="24"/>
          <w:szCs w:val="24"/>
        </w:rPr>
      </w:pPr>
      <w:r>
        <w:rPr>
          <w:rFonts w:ascii="Arial Narrow" w:hAnsi="Arial Narrow" w:cs="Arial"/>
          <w:sz w:val="24"/>
          <w:szCs w:val="24"/>
        </w:rPr>
        <w:t>- Розничная торговля (продажа продуктов питания и непродовольственных товаров);</w:t>
      </w:r>
    </w:p>
    <w:p w:rsidR="00A64028" w:rsidRDefault="00A64028" w:rsidP="00F170CC">
      <w:pPr>
        <w:spacing w:after="0" w:line="360" w:lineRule="auto"/>
        <w:ind w:firstLine="284"/>
        <w:jc w:val="both"/>
        <w:rPr>
          <w:rFonts w:ascii="Arial Narrow" w:hAnsi="Arial Narrow" w:cs="Arial"/>
          <w:sz w:val="24"/>
          <w:szCs w:val="24"/>
        </w:rPr>
      </w:pPr>
      <w:r>
        <w:rPr>
          <w:rFonts w:ascii="Arial Narrow" w:hAnsi="Arial Narrow" w:cs="Arial"/>
          <w:sz w:val="24"/>
          <w:szCs w:val="24"/>
        </w:rPr>
        <w:t>- Рынок услуг связи;</w:t>
      </w:r>
    </w:p>
    <w:p w:rsidR="00A64028" w:rsidRDefault="00A64028" w:rsidP="00F170CC">
      <w:pPr>
        <w:spacing w:after="0" w:line="360" w:lineRule="auto"/>
        <w:ind w:firstLine="284"/>
        <w:jc w:val="both"/>
        <w:rPr>
          <w:rFonts w:ascii="Arial Narrow" w:hAnsi="Arial Narrow" w:cs="Arial"/>
          <w:sz w:val="24"/>
          <w:szCs w:val="24"/>
        </w:rPr>
      </w:pPr>
      <w:r>
        <w:rPr>
          <w:rFonts w:ascii="Arial Narrow" w:hAnsi="Arial Narrow" w:cs="Arial"/>
          <w:sz w:val="24"/>
          <w:szCs w:val="24"/>
        </w:rPr>
        <w:t>- Рынок услуг по сбору, сортировке и переработке твердых коммунальных (бытовых) отходов.</w:t>
      </w:r>
    </w:p>
    <w:p w:rsidR="00A64028" w:rsidRDefault="00A64028" w:rsidP="00F170CC">
      <w:pPr>
        <w:spacing w:after="0" w:line="360" w:lineRule="auto"/>
        <w:ind w:firstLine="284"/>
        <w:jc w:val="both"/>
        <w:rPr>
          <w:rFonts w:ascii="Arial Narrow" w:hAnsi="Arial Narrow" w:cs="Arial"/>
          <w:b/>
          <w:sz w:val="24"/>
          <w:szCs w:val="24"/>
        </w:rPr>
      </w:pPr>
      <w:r>
        <w:rPr>
          <w:rFonts w:ascii="Arial Narrow" w:hAnsi="Arial Narrow" w:cs="Arial"/>
          <w:b/>
          <w:sz w:val="24"/>
          <w:szCs w:val="24"/>
        </w:rPr>
        <w:t>43. Повысить удовлетворенность потребителей товаров, работ и услуг качеством информации, размещаемой Министерством экономического развития Новосибирской области и органами местного самоуправления в открытом доступе, о состоянии конкурентной среды и деятельности по содействию развитию конкуренции в Новосибирской области (деятельности некоммерческих предприятий), до 60 %.</w:t>
      </w:r>
    </w:p>
    <w:p w:rsidR="00A64028" w:rsidRDefault="00A64028" w:rsidP="00F170CC">
      <w:pPr>
        <w:spacing w:after="0" w:line="360" w:lineRule="auto"/>
        <w:ind w:firstLine="284"/>
        <w:jc w:val="both"/>
        <w:rPr>
          <w:rFonts w:ascii="Arial Narrow" w:hAnsi="Arial Narrow" w:cs="Arial"/>
          <w:sz w:val="24"/>
          <w:szCs w:val="24"/>
        </w:rPr>
      </w:pPr>
      <w:r>
        <w:rPr>
          <w:rFonts w:ascii="Arial Narrow" w:hAnsi="Arial Narrow" w:cs="Arial"/>
          <w:sz w:val="24"/>
          <w:szCs w:val="24"/>
        </w:rPr>
        <w:lastRenderedPageBreak/>
        <w:t>Уделить особое внимание социально значимым и приоритетным рынкам, получившим оценки менее 60 %, по крайней мере, по одному из направлений оценки (уровень доступности, уровень понятности, уровень удобства получения):</w:t>
      </w:r>
    </w:p>
    <w:p w:rsidR="00A64028" w:rsidRDefault="00A64028" w:rsidP="00F170CC">
      <w:pPr>
        <w:spacing w:after="0" w:line="360" w:lineRule="auto"/>
        <w:ind w:firstLine="284"/>
        <w:jc w:val="both"/>
        <w:rPr>
          <w:rFonts w:ascii="Arial Narrow" w:hAnsi="Arial Narrow" w:cs="Arial"/>
          <w:sz w:val="24"/>
          <w:szCs w:val="24"/>
        </w:rPr>
      </w:pPr>
      <w:r>
        <w:rPr>
          <w:rFonts w:ascii="Arial Narrow" w:hAnsi="Arial Narrow" w:cs="Arial"/>
          <w:sz w:val="24"/>
          <w:szCs w:val="24"/>
        </w:rPr>
        <w:t>- Рынок услуг детского отдыха и оздоровления;</w:t>
      </w:r>
    </w:p>
    <w:p w:rsidR="00A64028" w:rsidRDefault="00A64028" w:rsidP="00F170CC">
      <w:pPr>
        <w:spacing w:after="0" w:line="360" w:lineRule="auto"/>
        <w:ind w:firstLine="284"/>
        <w:jc w:val="both"/>
        <w:rPr>
          <w:rFonts w:ascii="Arial Narrow" w:hAnsi="Arial Narrow" w:cs="Arial"/>
          <w:sz w:val="24"/>
          <w:szCs w:val="24"/>
        </w:rPr>
      </w:pPr>
      <w:r>
        <w:rPr>
          <w:rFonts w:ascii="Arial Narrow" w:hAnsi="Arial Narrow" w:cs="Arial"/>
          <w:sz w:val="24"/>
          <w:szCs w:val="24"/>
        </w:rPr>
        <w:t>- Рынок услуг психолого-педагогического сопровождения детей с ограниченными возможностями здоровья;</w:t>
      </w:r>
    </w:p>
    <w:p w:rsidR="00A64028" w:rsidRDefault="00A64028" w:rsidP="00F170CC">
      <w:pPr>
        <w:spacing w:after="0" w:line="360" w:lineRule="auto"/>
        <w:ind w:firstLine="284"/>
        <w:jc w:val="both"/>
        <w:rPr>
          <w:rFonts w:ascii="Arial Narrow" w:hAnsi="Arial Narrow" w:cs="Arial"/>
          <w:sz w:val="24"/>
          <w:szCs w:val="24"/>
        </w:rPr>
      </w:pPr>
      <w:r>
        <w:rPr>
          <w:rFonts w:ascii="Arial Narrow" w:hAnsi="Arial Narrow" w:cs="Arial"/>
          <w:sz w:val="24"/>
          <w:szCs w:val="24"/>
        </w:rPr>
        <w:t>- Розничная торговля (продажа продуктов питания и непродовольственных товаров);</w:t>
      </w:r>
    </w:p>
    <w:p w:rsidR="00A64028" w:rsidRDefault="00A64028" w:rsidP="00F170CC">
      <w:pPr>
        <w:spacing w:after="0" w:line="360" w:lineRule="auto"/>
        <w:ind w:firstLine="284"/>
        <w:jc w:val="both"/>
        <w:rPr>
          <w:rFonts w:ascii="Arial Narrow" w:hAnsi="Arial Narrow" w:cs="Arial"/>
          <w:sz w:val="24"/>
          <w:szCs w:val="24"/>
        </w:rPr>
      </w:pPr>
      <w:r>
        <w:rPr>
          <w:rFonts w:ascii="Arial Narrow" w:hAnsi="Arial Narrow" w:cs="Arial"/>
          <w:sz w:val="24"/>
          <w:szCs w:val="24"/>
        </w:rPr>
        <w:t>- Рынок услуг по сбору, сортировке и переработке твердых коммунальных (бытовых) отходов.</w:t>
      </w:r>
    </w:p>
    <w:p w:rsidR="00A64028" w:rsidRDefault="00A64028" w:rsidP="00F170CC">
      <w:pPr>
        <w:spacing w:after="0" w:line="360" w:lineRule="auto"/>
        <w:ind w:firstLine="284"/>
        <w:jc w:val="both"/>
        <w:rPr>
          <w:rFonts w:ascii="Arial Narrow" w:hAnsi="Arial Narrow" w:cs="Arial"/>
          <w:sz w:val="24"/>
          <w:szCs w:val="24"/>
        </w:rPr>
      </w:pPr>
      <w:r>
        <w:rPr>
          <w:rFonts w:ascii="Arial Narrow" w:hAnsi="Arial Narrow" w:cs="Arial"/>
          <w:b/>
          <w:sz w:val="24"/>
          <w:szCs w:val="24"/>
        </w:rPr>
        <w:t>44. Повысить долю субъектов предпринимательства, ведущих деятельность на социально значимых и приоритетных рынках, считающих, что все участники их рынка обладают равными возможностями получить информацию от органов государственной власти по вопросам ведения бизнеса на рынке, до 70 %.</w:t>
      </w:r>
      <w:r>
        <w:rPr>
          <w:rFonts w:ascii="Arial Narrow" w:hAnsi="Arial Narrow" w:cs="Arial"/>
          <w:sz w:val="24"/>
          <w:szCs w:val="24"/>
        </w:rPr>
        <w:t xml:space="preserve"> </w:t>
      </w:r>
    </w:p>
    <w:p w:rsidR="00A64028" w:rsidRDefault="00A64028" w:rsidP="00F170CC">
      <w:pPr>
        <w:spacing w:after="0" w:line="360" w:lineRule="auto"/>
        <w:ind w:firstLine="284"/>
        <w:jc w:val="both"/>
        <w:rPr>
          <w:rFonts w:ascii="Arial Narrow" w:hAnsi="Arial Narrow" w:cs="Arial"/>
          <w:sz w:val="24"/>
          <w:szCs w:val="24"/>
        </w:rPr>
      </w:pPr>
      <w:r>
        <w:rPr>
          <w:rFonts w:ascii="Arial Narrow" w:hAnsi="Arial Narrow" w:cs="Arial"/>
          <w:sz w:val="24"/>
          <w:szCs w:val="24"/>
        </w:rPr>
        <w:t>Уделить особое внимание рынкам, получившим оценки менее 70 %:</w:t>
      </w:r>
    </w:p>
    <w:p w:rsidR="00A64028" w:rsidRDefault="00A64028" w:rsidP="00F170CC">
      <w:pPr>
        <w:spacing w:after="0" w:line="360" w:lineRule="auto"/>
        <w:ind w:firstLine="284"/>
        <w:jc w:val="both"/>
        <w:rPr>
          <w:rFonts w:ascii="Arial Narrow" w:hAnsi="Arial Narrow" w:cs="Arial"/>
          <w:sz w:val="24"/>
          <w:szCs w:val="24"/>
        </w:rPr>
      </w:pPr>
      <w:r>
        <w:rPr>
          <w:rFonts w:ascii="Arial Narrow" w:hAnsi="Arial Narrow" w:cs="Arial"/>
          <w:sz w:val="24"/>
          <w:szCs w:val="24"/>
        </w:rPr>
        <w:t>- Рынок услуг детского отдыха и оздоровления;</w:t>
      </w:r>
    </w:p>
    <w:p w:rsidR="00A64028" w:rsidRDefault="00A64028" w:rsidP="00F170CC">
      <w:pPr>
        <w:spacing w:after="0" w:line="360" w:lineRule="auto"/>
        <w:ind w:firstLine="284"/>
        <w:jc w:val="both"/>
        <w:rPr>
          <w:rFonts w:ascii="Arial Narrow" w:hAnsi="Arial Narrow" w:cs="Arial"/>
          <w:sz w:val="24"/>
          <w:szCs w:val="24"/>
        </w:rPr>
      </w:pPr>
      <w:r>
        <w:rPr>
          <w:rFonts w:ascii="Arial Narrow" w:hAnsi="Arial Narrow" w:cs="Arial"/>
          <w:sz w:val="24"/>
          <w:szCs w:val="24"/>
        </w:rPr>
        <w:t>- Рынок дополнительного образования детей;</w:t>
      </w:r>
    </w:p>
    <w:p w:rsidR="00A64028" w:rsidRDefault="00A64028" w:rsidP="00F170CC">
      <w:pPr>
        <w:spacing w:after="0" w:line="360" w:lineRule="auto"/>
        <w:ind w:firstLine="284"/>
        <w:jc w:val="both"/>
        <w:rPr>
          <w:rFonts w:ascii="Arial Narrow" w:hAnsi="Arial Narrow" w:cs="Arial"/>
          <w:sz w:val="24"/>
          <w:szCs w:val="24"/>
        </w:rPr>
      </w:pPr>
      <w:r>
        <w:rPr>
          <w:rFonts w:ascii="Arial Narrow" w:hAnsi="Arial Narrow" w:cs="Arial"/>
          <w:sz w:val="24"/>
          <w:szCs w:val="24"/>
        </w:rPr>
        <w:t>- Рынок медицинских услуг;</w:t>
      </w:r>
    </w:p>
    <w:p w:rsidR="00A64028" w:rsidRDefault="00A64028" w:rsidP="00F170CC">
      <w:pPr>
        <w:spacing w:after="0" w:line="360" w:lineRule="auto"/>
        <w:ind w:firstLine="284"/>
        <w:jc w:val="both"/>
        <w:rPr>
          <w:rFonts w:ascii="Arial Narrow" w:hAnsi="Arial Narrow" w:cs="Arial"/>
          <w:sz w:val="24"/>
          <w:szCs w:val="24"/>
        </w:rPr>
      </w:pPr>
      <w:r>
        <w:rPr>
          <w:rFonts w:ascii="Arial Narrow" w:hAnsi="Arial Narrow" w:cs="Arial"/>
          <w:sz w:val="24"/>
          <w:szCs w:val="24"/>
        </w:rPr>
        <w:t>- Рынок услуг психолого-педагогического сопровождения детей с ограниченными возможностями здоровья;</w:t>
      </w:r>
    </w:p>
    <w:p w:rsidR="00A64028" w:rsidRDefault="00A64028" w:rsidP="00F170CC">
      <w:pPr>
        <w:spacing w:after="0" w:line="360" w:lineRule="auto"/>
        <w:ind w:firstLine="284"/>
        <w:jc w:val="both"/>
        <w:rPr>
          <w:rFonts w:ascii="Arial Narrow" w:hAnsi="Arial Narrow" w:cs="Arial"/>
          <w:sz w:val="24"/>
          <w:szCs w:val="24"/>
        </w:rPr>
      </w:pPr>
      <w:r>
        <w:rPr>
          <w:rFonts w:ascii="Arial Narrow" w:hAnsi="Arial Narrow" w:cs="Arial"/>
          <w:sz w:val="24"/>
          <w:szCs w:val="24"/>
        </w:rPr>
        <w:t>- Рынок услуг в сфере культуры;</w:t>
      </w:r>
    </w:p>
    <w:p w:rsidR="00A64028" w:rsidRDefault="00A64028" w:rsidP="00F170CC">
      <w:pPr>
        <w:spacing w:after="0" w:line="360" w:lineRule="auto"/>
        <w:ind w:firstLine="284"/>
        <w:jc w:val="both"/>
        <w:rPr>
          <w:rFonts w:ascii="Arial Narrow" w:hAnsi="Arial Narrow" w:cs="Arial"/>
          <w:sz w:val="24"/>
          <w:szCs w:val="24"/>
        </w:rPr>
      </w:pPr>
      <w:r>
        <w:rPr>
          <w:rFonts w:ascii="Arial Narrow" w:hAnsi="Arial Narrow" w:cs="Arial"/>
          <w:sz w:val="24"/>
          <w:szCs w:val="24"/>
        </w:rPr>
        <w:t>- Розничная торговля (продажа продуктов питания и непродовольственных товаров);</w:t>
      </w:r>
    </w:p>
    <w:p w:rsidR="00A64028" w:rsidRDefault="00A64028" w:rsidP="00F170CC">
      <w:pPr>
        <w:spacing w:after="0" w:line="360" w:lineRule="auto"/>
        <w:ind w:firstLine="284"/>
        <w:jc w:val="both"/>
        <w:rPr>
          <w:rFonts w:ascii="Arial Narrow" w:hAnsi="Arial Narrow" w:cs="Arial"/>
          <w:sz w:val="24"/>
          <w:szCs w:val="24"/>
        </w:rPr>
      </w:pPr>
      <w:r>
        <w:rPr>
          <w:rFonts w:ascii="Arial Narrow" w:hAnsi="Arial Narrow" w:cs="Arial"/>
          <w:sz w:val="24"/>
          <w:szCs w:val="24"/>
        </w:rPr>
        <w:t>- Рынок услуг перевозок пассажиров наземным транспортом (автобусные перевозки и такси);</w:t>
      </w:r>
    </w:p>
    <w:p w:rsidR="00A64028" w:rsidRDefault="00A64028" w:rsidP="00F170CC">
      <w:pPr>
        <w:spacing w:after="0" w:line="360" w:lineRule="auto"/>
        <w:ind w:firstLine="284"/>
        <w:jc w:val="both"/>
        <w:rPr>
          <w:rFonts w:ascii="Arial Narrow" w:hAnsi="Arial Narrow" w:cs="Arial"/>
          <w:sz w:val="24"/>
          <w:szCs w:val="24"/>
        </w:rPr>
      </w:pPr>
      <w:r>
        <w:rPr>
          <w:rFonts w:ascii="Arial Narrow" w:hAnsi="Arial Narrow" w:cs="Arial"/>
          <w:sz w:val="24"/>
          <w:szCs w:val="24"/>
        </w:rPr>
        <w:t>- Рынок услуг связи;</w:t>
      </w:r>
    </w:p>
    <w:p w:rsidR="00A64028" w:rsidRDefault="00A64028" w:rsidP="00F170CC">
      <w:pPr>
        <w:spacing w:after="0" w:line="360" w:lineRule="auto"/>
        <w:ind w:firstLine="284"/>
        <w:jc w:val="both"/>
        <w:rPr>
          <w:rFonts w:ascii="Arial Narrow" w:hAnsi="Arial Narrow" w:cs="Arial"/>
          <w:sz w:val="24"/>
          <w:szCs w:val="24"/>
        </w:rPr>
      </w:pPr>
      <w:r>
        <w:rPr>
          <w:rFonts w:ascii="Arial Narrow" w:hAnsi="Arial Narrow" w:cs="Arial"/>
          <w:sz w:val="24"/>
          <w:szCs w:val="24"/>
        </w:rPr>
        <w:t>- Рынок услуг социального обслуживания населения;</w:t>
      </w:r>
    </w:p>
    <w:p w:rsidR="00A64028" w:rsidRDefault="00A64028" w:rsidP="00F170CC">
      <w:pPr>
        <w:spacing w:after="0" w:line="360" w:lineRule="auto"/>
        <w:ind w:firstLine="284"/>
        <w:jc w:val="both"/>
        <w:rPr>
          <w:rFonts w:ascii="Arial Narrow" w:hAnsi="Arial Narrow" w:cs="Arial"/>
          <w:sz w:val="24"/>
          <w:szCs w:val="24"/>
        </w:rPr>
      </w:pPr>
      <w:r>
        <w:rPr>
          <w:rFonts w:ascii="Arial Narrow" w:hAnsi="Arial Narrow" w:cs="Arial"/>
          <w:sz w:val="24"/>
          <w:szCs w:val="24"/>
        </w:rPr>
        <w:t>- Рынок развития, производства, переработки и хранения сельскохозяйственной продукции.</w:t>
      </w:r>
    </w:p>
    <w:p w:rsidR="00A64028" w:rsidRDefault="00A64028" w:rsidP="00F170CC">
      <w:pPr>
        <w:spacing w:after="0" w:line="360" w:lineRule="auto"/>
        <w:ind w:firstLine="284"/>
        <w:jc w:val="both"/>
        <w:rPr>
          <w:rFonts w:ascii="Arial Narrow" w:hAnsi="Arial Narrow" w:cs="Arial"/>
          <w:b/>
          <w:sz w:val="24"/>
          <w:szCs w:val="24"/>
        </w:rPr>
      </w:pPr>
      <w:r>
        <w:rPr>
          <w:rFonts w:ascii="Arial Narrow" w:hAnsi="Arial Narrow" w:cs="Arial"/>
          <w:b/>
          <w:sz w:val="24"/>
          <w:szCs w:val="24"/>
        </w:rPr>
        <w:t>45. Проводить мероприятия по повышению качества официальной информации, предоставляемой Министерством экономического развития Новосибирской области и муниципальными образованиями субъектам предпринимательства и потребителям товаров, работ и услуг.</w:t>
      </w:r>
    </w:p>
    <w:p w:rsidR="00A64028" w:rsidRDefault="00A64028" w:rsidP="00103148">
      <w:pPr>
        <w:spacing w:after="0" w:line="360" w:lineRule="auto"/>
        <w:ind w:firstLine="284"/>
        <w:jc w:val="both"/>
        <w:rPr>
          <w:rFonts w:ascii="Arial Narrow" w:hAnsi="Arial Narrow" w:cs="Arial"/>
          <w:b/>
          <w:sz w:val="24"/>
          <w:szCs w:val="24"/>
        </w:rPr>
      </w:pPr>
    </w:p>
    <w:p w:rsidR="00F170CC" w:rsidRDefault="00F170CC">
      <w:pPr>
        <w:rPr>
          <w:rFonts w:ascii="Arial Narrow" w:hAnsi="Arial Narrow" w:cs="Arial"/>
          <w:sz w:val="24"/>
          <w:szCs w:val="24"/>
        </w:rPr>
      </w:pPr>
      <w:r>
        <w:rPr>
          <w:rFonts w:ascii="Arial Narrow" w:hAnsi="Arial Narrow" w:cs="Arial"/>
          <w:sz w:val="24"/>
          <w:szCs w:val="24"/>
        </w:rPr>
        <w:br w:type="page"/>
      </w:r>
    </w:p>
    <w:p w:rsidR="00A64028" w:rsidRDefault="00F170CC" w:rsidP="00103148">
      <w:pPr>
        <w:spacing w:after="0"/>
        <w:rPr>
          <w:rFonts w:ascii="Arial Narrow" w:hAnsi="Arial Narrow" w:cs="Arial"/>
          <w:sz w:val="24"/>
          <w:szCs w:val="24"/>
        </w:rPr>
      </w:pPr>
      <w:r>
        <w:rPr>
          <w:rFonts w:ascii="Arial Narrow" w:hAnsi="Arial Narrow" w:cs="Arial"/>
          <w:sz w:val="24"/>
          <w:szCs w:val="24"/>
        </w:rPr>
        <w:lastRenderedPageBreak/>
        <w:t>Таблица 7.59</w:t>
      </w:r>
      <w:r w:rsidR="00A64028">
        <w:rPr>
          <w:rFonts w:ascii="Arial Narrow" w:hAnsi="Arial Narrow" w:cs="Arial"/>
          <w:sz w:val="24"/>
          <w:szCs w:val="24"/>
        </w:rPr>
        <w:t xml:space="preserve"> </w:t>
      </w:r>
      <w:r w:rsidR="00A64028">
        <w:rPr>
          <w:rFonts w:ascii="Arial Narrow" w:hAnsi="Arial Narrow" w:cs="Arial"/>
          <w:b/>
          <w:sz w:val="24"/>
          <w:szCs w:val="24"/>
        </w:rPr>
        <w:t>– Рекомендованные мероприятия по повышению качества официальной информации, предоставляемой Министерством экономического развития Новосибирской области и муниципальными образованиями</w:t>
      </w:r>
    </w:p>
    <w:tbl>
      <w:tblPr>
        <w:tblStyle w:val="a7"/>
        <w:tblW w:w="9923" w:type="dxa"/>
        <w:tblInd w:w="-34" w:type="dxa"/>
        <w:tblLayout w:type="fixed"/>
        <w:tblLook w:val="04A0"/>
      </w:tblPr>
      <w:tblGrid>
        <w:gridCol w:w="582"/>
        <w:gridCol w:w="1261"/>
        <w:gridCol w:w="8080"/>
      </w:tblGrid>
      <w:tr w:rsidR="00A64028" w:rsidRPr="00F170CC" w:rsidTr="00754B4E">
        <w:tc>
          <w:tcPr>
            <w:tcW w:w="582" w:type="dxa"/>
            <w:tcBorders>
              <w:top w:val="single" w:sz="4" w:space="0" w:color="auto"/>
              <w:left w:val="single" w:sz="4" w:space="0" w:color="auto"/>
              <w:bottom w:val="single" w:sz="4" w:space="0" w:color="auto"/>
              <w:right w:val="single" w:sz="4" w:space="0" w:color="auto"/>
            </w:tcBorders>
            <w:hideMark/>
          </w:tcPr>
          <w:p w:rsidR="00A64028" w:rsidRPr="00F170CC" w:rsidRDefault="00A64028" w:rsidP="00103148">
            <w:pPr>
              <w:jc w:val="center"/>
              <w:rPr>
                <w:rFonts w:ascii="Arial Narrow" w:hAnsi="Arial Narrow" w:cs="Arial"/>
              </w:rPr>
            </w:pPr>
            <w:r w:rsidRPr="00F170CC">
              <w:rPr>
                <w:rFonts w:ascii="Arial Narrow" w:hAnsi="Arial Narrow" w:cs="Arial"/>
              </w:rPr>
              <w:t>№ п/п</w:t>
            </w:r>
          </w:p>
        </w:tc>
        <w:tc>
          <w:tcPr>
            <w:tcW w:w="1261" w:type="dxa"/>
            <w:tcBorders>
              <w:top w:val="single" w:sz="4" w:space="0" w:color="auto"/>
              <w:left w:val="single" w:sz="4" w:space="0" w:color="auto"/>
              <w:bottom w:val="single" w:sz="4" w:space="0" w:color="auto"/>
              <w:right w:val="single" w:sz="4" w:space="0" w:color="auto"/>
            </w:tcBorders>
            <w:hideMark/>
          </w:tcPr>
          <w:p w:rsidR="00A64028" w:rsidRPr="00F170CC" w:rsidRDefault="00A64028" w:rsidP="00103148">
            <w:pPr>
              <w:jc w:val="center"/>
              <w:rPr>
                <w:rFonts w:ascii="Arial Narrow" w:hAnsi="Arial Narrow" w:cs="Arial"/>
              </w:rPr>
            </w:pPr>
            <w:r w:rsidRPr="00F170CC">
              <w:rPr>
                <w:rFonts w:ascii="Arial Narrow" w:hAnsi="Arial Narrow" w:cs="Arial"/>
              </w:rPr>
              <w:t>Наименование социально значимого и приоритетного рынка</w:t>
            </w:r>
          </w:p>
        </w:tc>
        <w:tc>
          <w:tcPr>
            <w:tcW w:w="8080" w:type="dxa"/>
            <w:tcBorders>
              <w:top w:val="single" w:sz="4" w:space="0" w:color="auto"/>
              <w:left w:val="single" w:sz="4" w:space="0" w:color="auto"/>
              <w:bottom w:val="single" w:sz="4" w:space="0" w:color="auto"/>
              <w:right w:val="single" w:sz="4" w:space="0" w:color="auto"/>
            </w:tcBorders>
            <w:hideMark/>
          </w:tcPr>
          <w:p w:rsidR="00A64028" w:rsidRPr="00F170CC" w:rsidRDefault="00A64028" w:rsidP="00103148">
            <w:pPr>
              <w:jc w:val="center"/>
              <w:rPr>
                <w:rFonts w:ascii="Arial Narrow" w:hAnsi="Arial Narrow" w:cs="Arial"/>
              </w:rPr>
            </w:pPr>
            <w:r w:rsidRPr="00F170CC">
              <w:rPr>
                <w:rFonts w:ascii="Arial Narrow" w:hAnsi="Arial Narrow" w:cs="Arial"/>
              </w:rPr>
              <w:t>Мероприятия</w:t>
            </w:r>
          </w:p>
        </w:tc>
      </w:tr>
      <w:tr w:rsidR="00A64028" w:rsidRPr="00F170CC" w:rsidTr="00754B4E">
        <w:tc>
          <w:tcPr>
            <w:tcW w:w="582" w:type="dxa"/>
            <w:tcBorders>
              <w:top w:val="single" w:sz="4" w:space="0" w:color="auto"/>
              <w:left w:val="single" w:sz="4" w:space="0" w:color="auto"/>
              <w:bottom w:val="single" w:sz="4" w:space="0" w:color="auto"/>
              <w:right w:val="single" w:sz="4" w:space="0" w:color="auto"/>
            </w:tcBorders>
            <w:hideMark/>
          </w:tcPr>
          <w:p w:rsidR="00A64028" w:rsidRPr="00F170CC" w:rsidRDefault="00A64028" w:rsidP="00103148">
            <w:pPr>
              <w:jc w:val="both"/>
              <w:rPr>
                <w:rFonts w:ascii="Arial Narrow" w:hAnsi="Arial Narrow" w:cs="Arial"/>
                <w:sz w:val="18"/>
                <w:szCs w:val="18"/>
              </w:rPr>
            </w:pPr>
            <w:r w:rsidRPr="00F170CC">
              <w:rPr>
                <w:rFonts w:ascii="Arial Narrow" w:hAnsi="Arial Narrow" w:cs="Arial"/>
                <w:sz w:val="18"/>
                <w:szCs w:val="18"/>
              </w:rPr>
              <w:t>1</w:t>
            </w:r>
          </w:p>
        </w:tc>
        <w:tc>
          <w:tcPr>
            <w:tcW w:w="1261" w:type="dxa"/>
            <w:tcBorders>
              <w:top w:val="single" w:sz="4" w:space="0" w:color="auto"/>
              <w:left w:val="single" w:sz="4" w:space="0" w:color="auto"/>
              <w:bottom w:val="single" w:sz="4" w:space="0" w:color="auto"/>
              <w:right w:val="single" w:sz="4" w:space="0" w:color="auto"/>
            </w:tcBorders>
            <w:hideMark/>
          </w:tcPr>
          <w:p w:rsidR="00A64028" w:rsidRPr="00F170CC" w:rsidRDefault="00A64028" w:rsidP="00103148">
            <w:pPr>
              <w:rPr>
                <w:rFonts w:ascii="Arial Narrow" w:hAnsi="Arial Narrow" w:cs="Arial"/>
                <w:sz w:val="18"/>
                <w:szCs w:val="18"/>
              </w:rPr>
            </w:pPr>
            <w:r w:rsidRPr="00F170CC">
              <w:rPr>
                <w:rFonts w:ascii="Arial Narrow" w:hAnsi="Arial Narrow" w:cs="Arial"/>
                <w:sz w:val="18"/>
                <w:szCs w:val="18"/>
              </w:rPr>
              <w:t>Рынок услуг дошкольного образования</w:t>
            </w:r>
          </w:p>
        </w:tc>
        <w:tc>
          <w:tcPr>
            <w:tcW w:w="8080" w:type="dxa"/>
            <w:tcBorders>
              <w:top w:val="single" w:sz="4" w:space="0" w:color="auto"/>
              <w:left w:val="single" w:sz="4" w:space="0" w:color="auto"/>
              <w:bottom w:val="single" w:sz="4" w:space="0" w:color="auto"/>
              <w:right w:val="single" w:sz="4" w:space="0" w:color="auto"/>
            </w:tcBorders>
            <w:hideMark/>
          </w:tcPr>
          <w:p w:rsidR="00A64028" w:rsidRPr="00F170CC" w:rsidRDefault="00A64028" w:rsidP="00103148">
            <w:pPr>
              <w:ind w:right="34"/>
              <w:rPr>
                <w:rFonts w:ascii="Arial Narrow" w:hAnsi="Arial Narrow" w:cs="Arial"/>
                <w:sz w:val="18"/>
                <w:szCs w:val="18"/>
              </w:rPr>
            </w:pPr>
            <w:r w:rsidRPr="00F170CC">
              <w:rPr>
                <w:rFonts w:ascii="Arial Narrow" w:hAnsi="Arial Narrow" w:cs="Arial"/>
                <w:sz w:val="18"/>
                <w:szCs w:val="18"/>
              </w:rPr>
              <w:t>1. Осуществление информационно-методической поддержки субъектов предпринимательства по вопросам дошкольного образования (в соответствии с п. 1.1.3. Дорожной карты достижения целевых значений показателей мероприятий по содействию развитию конкуренции на территории Новосибирской области до 2018 года</w:t>
            </w:r>
            <w:r w:rsidRPr="00F170CC">
              <w:rPr>
                <w:rFonts w:ascii="Arial Narrow" w:hAnsi="Arial Narrow" w:cs="Arial"/>
                <w:sz w:val="18"/>
                <w:szCs w:val="18"/>
              </w:rPr>
              <w:footnoteReference w:id="9"/>
            </w:r>
            <w:r w:rsidRPr="00F170CC">
              <w:rPr>
                <w:rFonts w:ascii="Arial Narrow" w:hAnsi="Arial Narrow" w:cs="Arial"/>
                <w:sz w:val="18"/>
                <w:szCs w:val="18"/>
              </w:rPr>
              <w:t xml:space="preserve">), в частности дополнить план мероприятий следующими пунктами: </w:t>
            </w:r>
          </w:p>
          <w:p w:rsidR="00A64028" w:rsidRPr="00F170CC" w:rsidRDefault="00A64028" w:rsidP="00103148">
            <w:pPr>
              <w:ind w:right="34"/>
              <w:rPr>
                <w:rFonts w:ascii="Arial Narrow" w:hAnsi="Arial Narrow" w:cs="Arial"/>
                <w:sz w:val="18"/>
                <w:szCs w:val="18"/>
              </w:rPr>
            </w:pPr>
            <w:r w:rsidRPr="00F170CC">
              <w:rPr>
                <w:rFonts w:ascii="Arial Narrow" w:hAnsi="Arial Narrow" w:cs="Arial"/>
                <w:sz w:val="18"/>
                <w:szCs w:val="18"/>
              </w:rPr>
              <w:t xml:space="preserve">1.1. Предоставление субъектам предпринимательства посредством интернет-сайта комплексного пакета информации о ведении деятельности на данном рынке: </w:t>
            </w:r>
          </w:p>
          <w:p w:rsidR="00A64028" w:rsidRPr="00F170CC" w:rsidRDefault="00A64028" w:rsidP="00103148">
            <w:pPr>
              <w:ind w:right="34"/>
              <w:rPr>
                <w:rFonts w:ascii="Arial Narrow" w:hAnsi="Arial Narrow" w:cs="Arial"/>
                <w:sz w:val="18"/>
                <w:szCs w:val="18"/>
              </w:rPr>
            </w:pPr>
            <w:r w:rsidRPr="00F170CC">
              <w:rPr>
                <w:rFonts w:ascii="Arial Narrow" w:hAnsi="Arial Narrow" w:cs="Arial"/>
                <w:sz w:val="18"/>
                <w:szCs w:val="18"/>
              </w:rPr>
              <w:t xml:space="preserve">- информации о лицензировании, </w:t>
            </w:r>
          </w:p>
          <w:p w:rsidR="00A64028" w:rsidRPr="00F170CC" w:rsidRDefault="00A64028" w:rsidP="00103148">
            <w:pPr>
              <w:ind w:right="34"/>
              <w:rPr>
                <w:rFonts w:ascii="Arial Narrow" w:hAnsi="Arial Narrow" w:cs="Arial"/>
                <w:sz w:val="18"/>
                <w:szCs w:val="18"/>
              </w:rPr>
            </w:pPr>
            <w:r w:rsidRPr="00F170CC">
              <w:rPr>
                <w:rFonts w:ascii="Arial Narrow" w:hAnsi="Arial Narrow" w:cs="Arial"/>
                <w:sz w:val="18"/>
                <w:szCs w:val="18"/>
              </w:rPr>
              <w:t xml:space="preserve">- об условиях и способах реализации бизнес-проекта по открытию и развитию организации на данном рынке (как на основе лицензии, полный день, так и неполный день, без требований лицензирования), </w:t>
            </w:r>
          </w:p>
          <w:p w:rsidR="00A64028" w:rsidRPr="00F170CC" w:rsidRDefault="00A64028" w:rsidP="00103148">
            <w:pPr>
              <w:ind w:right="34"/>
              <w:rPr>
                <w:rFonts w:ascii="Arial Narrow" w:hAnsi="Arial Narrow" w:cs="Arial"/>
                <w:sz w:val="18"/>
                <w:szCs w:val="18"/>
              </w:rPr>
            </w:pPr>
            <w:r w:rsidRPr="00F170CC">
              <w:rPr>
                <w:rFonts w:ascii="Arial Narrow" w:hAnsi="Arial Narrow" w:cs="Arial"/>
                <w:sz w:val="18"/>
                <w:szCs w:val="18"/>
              </w:rPr>
              <w:t xml:space="preserve">- о наличии доступных для аренды, концессии или выкупа помещений, соответствующих требованиям, для организации дошкольного образовательного учреждения, </w:t>
            </w:r>
          </w:p>
          <w:p w:rsidR="00A64028" w:rsidRPr="00F170CC" w:rsidRDefault="00A64028" w:rsidP="00103148">
            <w:pPr>
              <w:ind w:right="34"/>
              <w:rPr>
                <w:rFonts w:ascii="Arial Narrow" w:hAnsi="Arial Narrow" w:cs="Arial"/>
                <w:sz w:val="18"/>
                <w:szCs w:val="18"/>
              </w:rPr>
            </w:pPr>
            <w:r w:rsidRPr="00F170CC">
              <w:rPr>
                <w:rFonts w:ascii="Arial Narrow" w:hAnsi="Arial Narrow" w:cs="Arial"/>
                <w:sz w:val="18"/>
                <w:szCs w:val="18"/>
              </w:rPr>
              <w:t>- об обеспеченности населения услугами дошкольного образования, а также перспективах открытия государственных учреждений дошкольного образования в муниципальном образовании на текущий год и последующие 3 года.</w:t>
            </w:r>
          </w:p>
          <w:p w:rsidR="00A64028" w:rsidRPr="00F170CC" w:rsidRDefault="00A64028" w:rsidP="00103148">
            <w:pPr>
              <w:ind w:right="34"/>
              <w:rPr>
                <w:rFonts w:ascii="Arial Narrow" w:hAnsi="Arial Narrow" w:cs="Arial"/>
                <w:sz w:val="18"/>
                <w:szCs w:val="18"/>
              </w:rPr>
            </w:pPr>
            <w:r w:rsidRPr="00F170CC">
              <w:rPr>
                <w:rFonts w:ascii="Arial Narrow" w:hAnsi="Arial Narrow" w:cs="Arial"/>
                <w:sz w:val="18"/>
                <w:szCs w:val="18"/>
              </w:rPr>
              <w:t>1.2. Изучение потребностей субъектов предпринимательства в информации о ведении бизнеса на данном рынке.</w:t>
            </w:r>
          </w:p>
          <w:p w:rsidR="00A64028" w:rsidRPr="00F170CC" w:rsidRDefault="00A64028" w:rsidP="00103148">
            <w:pPr>
              <w:ind w:right="34"/>
              <w:rPr>
                <w:rFonts w:ascii="Arial Narrow" w:hAnsi="Arial Narrow" w:cs="Arial"/>
                <w:sz w:val="18"/>
                <w:szCs w:val="18"/>
              </w:rPr>
            </w:pPr>
            <w:r w:rsidRPr="00F170CC">
              <w:rPr>
                <w:rFonts w:ascii="Arial Narrow" w:hAnsi="Arial Narrow" w:cs="Arial"/>
                <w:sz w:val="18"/>
                <w:szCs w:val="18"/>
              </w:rPr>
              <w:t xml:space="preserve">2. Предоставление информации потребителям услуг дошкольного образования о возможности их получения в негосударственных организациях. </w:t>
            </w:r>
          </w:p>
          <w:p w:rsidR="00A64028" w:rsidRPr="00F170CC" w:rsidRDefault="00A64028" w:rsidP="00103148">
            <w:pPr>
              <w:ind w:right="34"/>
              <w:rPr>
                <w:rFonts w:ascii="Arial Narrow" w:hAnsi="Arial Narrow" w:cs="Arial"/>
                <w:sz w:val="18"/>
                <w:szCs w:val="18"/>
              </w:rPr>
            </w:pPr>
            <w:r w:rsidRPr="00F170CC">
              <w:rPr>
                <w:rFonts w:ascii="Arial Narrow" w:hAnsi="Arial Narrow" w:cs="Arial"/>
                <w:sz w:val="18"/>
                <w:szCs w:val="18"/>
              </w:rPr>
              <w:t xml:space="preserve">2.1. Обеспечение представленности негосударственных дошкольных образовательных учреждений на специализированных или информационных интернет-сайтах Новосибирской области (например, </w:t>
            </w:r>
            <w:hyperlink r:id="rId108" w:history="1">
              <w:r w:rsidRPr="00F170CC">
                <w:rPr>
                  <w:rStyle w:val="ac"/>
                  <w:rFonts w:ascii="Arial Narrow" w:hAnsi="Arial Narrow" w:cs="Arial"/>
                  <w:sz w:val="18"/>
                  <w:szCs w:val="18"/>
                </w:rPr>
                <w:t>http://websib.ru/</w:t>
              </w:r>
            </w:hyperlink>
            <w:r w:rsidRPr="00F170CC">
              <w:rPr>
                <w:rFonts w:ascii="Arial Narrow" w:hAnsi="Arial Narrow" w:cs="Arial"/>
                <w:sz w:val="18"/>
                <w:szCs w:val="18"/>
              </w:rPr>
              <w:t xml:space="preserve"> или других), предоставление возможности размещения краткой информации об оказываемых услугах со ссылками на официальные интернет-сайты данных организаций.</w:t>
            </w:r>
          </w:p>
        </w:tc>
      </w:tr>
      <w:tr w:rsidR="00A64028" w:rsidRPr="00F170CC" w:rsidTr="00754B4E">
        <w:tc>
          <w:tcPr>
            <w:tcW w:w="582" w:type="dxa"/>
            <w:tcBorders>
              <w:top w:val="single" w:sz="4" w:space="0" w:color="auto"/>
              <w:left w:val="single" w:sz="4" w:space="0" w:color="auto"/>
              <w:bottom w:val="single" w:sz="4" w:space="0" w:color="auto"/>
              <w:right w:val="single" w:sz="4" w:space="0" w:color="auto"/>
            </w:tcBorders>
            <w:hideMark/>
          </w:tcPr>
          <w:p w:rsidR="00A64028" w:rsidRPr="00F170CC" w:rsidRDefault="00A64028" w:rsidP="00103148">
            <w:pPr>
              <w:jc w:val="both"/>
              <w:rPr>
                <w:rFonts w:ascii="Arial Narrow" w:hAnsi="Arial Narrow" w:cs="Arial"/>
                <w:sz w:val="18"/>
                <w:szCs w:val="18"/>
              </w:rPr>
            </w:pPr>
            <w:r w:rsidRPr="00F170CC">
              <w:rPr>
                <w:rFonts w:ascii="Arial Narrow" w:hAnsi="Arial Narrow" w:cs="Arial"/>
                <w:sz w:val="18"/>
                <w:szCs w:val="18"/>
              </w:rPr>
              <w:t>2</w:t>
            </w:r>
          </w:p>
        </w:tc>
        <w:tc>
          <w:tcPr>
            <w:tcW w:w="1261" w:type="dxa"/>
            <w:tcBorders>
              <w:top w:val="single" w:sz="4" w:space="0" w:color="auto"/>
              <w:left w:val="single" w:sz="4" w:space="0" w:color="auto"/>
              <w:bottom w:val="single" w:sz="4" w:space="0" w:color="auto"/>
              <w:right w:val="single" w:sz="4" w:space="0" w:color="auto"/>
            </w:tcBorders>
            <w:hideMark/>
          </w:tcPr>
          <w:p w:rsidR="00A64028" w:rsidRPr="00F170CC" w:rsidRDefault="00A64028" w:rsidP="00103148">
            <w:pPr>
              <w:rPr>
                <w:rFonts w:ascii="Arial Narrow" w:hAnsi="Arial Narrow" w:cs="Arial"/>
                <w:sz w:val="18"/>
                <w:szCs w:val="18"/>
              </w:rPr>
            </w:pPr>
            <w:r w:rsidRPr="00F170CC">
              <w:rPr>
                <w:rFonts w:ascii="Arial Narrow" w:hAnsi="Arial Narrow" w:cs="Arial"/>
                <w:sz w:val="18"/>
                <w:szCs w:val="18"/>
              </w:rPr>
              <w:t>Рынок услуг детского отдыха и оздоровления</w:t>
            </w:r>
          </w:p>
        </w:tc>
        <w:tc>
          <w:tcPr>
            <w:tcW w:w="8080" w:type="dxa"/>
            <w:tcBorders>
              <w:top w:val="single" w:sz="4" w:space="0" w:color="auto"/>
              <w:left w:val="single" w:sz="4" w:space="0" w:color="auto"/>
              <w:bottom w:val="single" w:sz="4" w:space="0" w:color="auto"/>
              <w:right w:val="single" w:sz="4" w:space="0" w:color="auto"/>
            </w:tcBorders>
            <w:hideMark/>
          </w:tcPr>
          <w:p w:rsidR="00A64028" w:rsidRPr="00F170CC" w:rsidRDefault="00A64028" w:rsidP="00103148">
            <w:pPr>
              <w:ind w:right="34"/>
              <w:rPr>
                <w:rFonts w:ascii="Arial Narrow" w:hAnsi="Arial Narrow" w:cs="Arial"/>
                <w:sz w:val="18"/>
                <w:szCs w:val="18"/>
              </w:rPr>
            </w:pPr>
            <w:r w:rsidRPr="00F170CC">
              <w:rPr>
                <w:rFonts w:ascii="Arial Narrow" w:hAnsi="Arial Narrow" w:cs="Arial"/>
                <w:sz w:val="18"/>
                <w:szCs w:val="18"/>
              </w:rPr>
              <w:t>1. Предоставление субъектам предпринимательства посредством интернет-сайта информации об условиях и способах реализации бизнес-проекта по открытию и развитию организации на данном рынке.</w:t>
            </w:r>
          </w:p>
          <w:p w:rsidR="00A64028" w:rsidRPr="00F170CC" w:rsidRDefault="00A64028" w:rsidP="00103148">
            <w:pPr>
              <w:ind w:right="34"/>
              <w:rPr>
                <w:rFonts w:ascii="Arial Narrow" w:hAnsi="Arial Narrow" w:cs="Arial"/>
                <w:sz w:val="18"/>
                <w:szCs w:val="18"/>
              </w:rPr>
            </w:pPr>
            <w:r w:rsidRPr="00F170CC">
              <w:rPr>
                <w:rFonts w:ascii="Arial Narrow" w:hAnsi="Arial Narrow" w:cs="Arial"/>
                <w:sz w:val="18"/>
                <w:szCs w:val="18"/>
              </w:rPr>
              <w:t>2. Изучение потребностей субъектов предпринимательства в информации о ведении бизнеса на данном рынке.</w:t>
            </w:r>
          </w:p>
          <w:p w:rsidR="00A64028" w:rsidRPr="00F170CC" w:rsidRDefault="00A64028" w:rsidP="00103148">
            <w:pPr>
              <w:ind w:right="34"/>
              <w:rPr>
                <w:rFonts w:ascii="Arial Narrow" w:hAnsi="Arial Narrow" w:cs="Arial"/>
                <w:sz w:val="18"/>
                <w:szCs w:val="18"/>
              </w:rPr>
            </w:pPr>
            <w:r w:rsidRPr="00F170CC">
              <w:rPr>
                <w:rFonts w:ascii="Arial Narrow" w:hAnsi="Arial Narrow" w:cs="Arial"/>
                <w:sz w:val="18"/>
                <w:szCs w:val="18"/>
              </w:rPr>
              <w:t>3. Предоставление информации потребителям услуг детского отдыха и оздоровления о возможности их получения в негосударственных организациях. Продвижение организаций в сети Интернет посредством интернет-сайта.</w:t>
            </w:r>
          </w:p>
        </w:tc>
      </w:tr>
      <w:tr w:rsidR="00A64028" w:rsidRPr="00F170CC" w:rsidTr="00754B4E">
        <w:tc>
          <w:tcPr>
            <w:tcW w:w="582" w:type="dxa"/>
            <w:tcBorders>
              <w:top w:val="single" w:sz="4" w:space="0" w:color="auto"/>
              <w:left w:val="single" w:sz="4" w:space="0" w:color="auto"/>
              <w:bottom w:val="single" w:sz="4" w:space="0" w:color="auto"/>
              <w:right w:val="single" w:sz="4" w:space="0" w:color="auto"/>
            </w:tcBorders>
            <w:hideMark/>
          </w:tcPr>
          <w:p w:rsidR="00A64028" w:rsidRPr="00F170CC" w:rsidRDefault="00A64028" w:rsidP="00103148">
            <w:pPr>
              <w:jc w:val="both"/>
              <w:rPr>
                <w:rFonts w:ascii="Arial Narrow" w:hAnsi="Arial Narrow" w:cs="Arial"/>
                <w:sz w:val="18"/>
                <w:szCs w:val="18"/>
              </w:rPr>
            </w:pPr>
            <w:r w:rsidRPr="00F170CC">
              <w:rPr>
                <w:rFonts w:ascii="Arial Narrow" w:hAnsi="Arial Narrow" w:cs="Arial"/>
                <w:sz w:val="18"/>
                <w:szCs w:val="18"/>
              </w:rPr>
              <w:t>3</w:t>
            </w:r>
          </w:p>
        </w:tc>
        <w:tc>
          <w:tcPr>
            <w:tcW w:w="1261" w:type="dxa"/>
            <w:tcBorders>
              <w:top w:val="single" w:sz="4" w:space="0" w:color="auto"/>
              <w:left w:val="single" w:sz="4" w:space="0" w:color="auto"/>
              <w:bottom w:val="single" w:sz="4" w:space="0" w:color="auto"/>
              <w:right w:val="single" w:sz="4" w:space="0" w:color="auto"/>
            </w:tcBorders>
            <w:hideMark/>
          </w:tcPr>
          <w:p w:rsidR="00A64028" w:rsidRPr="00F170CC" w:rsidRDefault="00A64028" w:rsidP="00103148">
            <w:pPr>
              <w:rPr>
                <w:rFonts w:ascii="Arial Narrow" w:hAnsi="Arial Narrow" w:cs="Arial"/>
                <w:sz w:val="18"/>
                <w:szCs w:val="18"/>
              </w:rPr>
            </w:pPr>
            <w:r w:rsidRPr="00F170CC">
              <w:rPr>
                <w:rFonts w:ascii="Arial Narrow" w:hAnsi="Arial Narrow" w:cs="Arial"/>
                <w:sz w:val="18"/>
                <w:szCs w:val="18"/>
              </w:rPr>
              <w:t>Рынок услуг дополнительного образования детей</w:t>
            </w:r>
          </w:p>
        </w:tc>
        <w:tc>
          <w:tcPr>
            <w:tcW w:w="8080" w:type="dxa"/>
            <w:tcBorders>
              <w:top w:val="single" w:sz="4" w:space="0" w:color="auto"/>
              <w:left w:val="single" w:sz="4" w:space="0" w:color="auto"/>
              <w:bottom w:val="single" w:sz="4" w:space="0" w:color="auto"/>
              <w:right w:val="single" w:sz="4" w:space="0" w:color="auto"/>
            </w:tcBorders>
            <w:hideMark/>
          </w:tcPr>
          <w:p w:rsidR="00A64028" w:rsidRPr="00F170CC" w:rsidRDefault="00A64028" w:rsidP="00103148">
            <w:pPr>
              <w:ind w:right="176"/>
              <w:rPr>
                <w:rFonts w:ascii="Arial Narrow" w:hAnsi="Arial Narrow" w:cs="Arial"/>
                <w:sz w:val="18"/>
                <w:szCs w:val="18"/>
              </w:rPr>
            </w:pPr>
            <w:r w:rsidRPr="00F170CC">
              <w:rPr>
                <w:rFonts w:ascii="Arial Narrow" w:hAnsi="Arial Narrow" w:cs="Arial"/>
                <w:sz w:val="18"/>
                <w:szCs w:val="18"/>
              </w:rPr>
              <w:t xml:space="preserve">1. Предоставление субъектам предпринимательства посредством интернет-сайта комплексного пакета информации о ведении деятельности на данном рынке: </w:t>
            </w:r>
          </w:p>
          <w:p w:rsidR="00A64028" w:rsidRPr="00F170CC" w:rsidRDefault="00A64028" w:rsidP="00103148">
            <w:pPr>
              <w:ind w:right="176"/>
              <w:rPr>
                <w:rFonts w:ascii="Arial Narrow" w:hAnsi="Arial Narrow" w:cs="Arial"/>
                <w:sz w:val="18"/>
                <w:szCs w:val="18"/>
              </w:rPr>
            </w:pPr>
            <w:r w:rsidRPr="00F170CC">
              <w:rPr>
                <w:rFonts w:ascii="Arial Narrow" w:hAnsi="Arial Narrow" w:cs="Arial"/>
                <w:sz w:val="18"/>
                <w:szCs w:val="18"/>
              </w:rPr>
              <w:t xml:space="preserve">- информации об условиях и способах реализации бизнес-проекта по открытию и развитию организации на рынке, </w:t>
            </w:r>
          </w:p>
          <w:p w:rsidR="00A64028" w:rsidRPr="00F170CC" w:rsidRDefault="00A64028" w:rsidP="00103148">
            <w:pPr>
              <w:ind w:right="176"/>
              <w:rPr>
                <w:rFonts w:ascii="Arial Narrow" w:hAnsi="Arial Narrow" w:cs="Arial"/>
                <w:sz w:val="18"/>
                <w:szCs w:val="18"/>
              </w:rPr>
            </w:pPr>
            <w:r w:rsidRPr="00F170CC">
              <w:rPr>
                <w:rFonts w:ascii="Arial Narrow" w:hAnsi="Arial Narrow" w:cs="Arial"/>
                <w:sz w:val="18"/>
                <w:szCs w:val="18"/>
              </w:rPr>
              <w:t xml:space="preserve">- о наличии доступных для аренды, концессии или выкупа помещений, соответствующих требованиям, для организации учреждения, </w:t>
            </w:r>
          </w:p>
          <w:p w:rsidR="00A64028" w:rsidRPr="00F170CC" w:rsidRDefault="00A64028" w:rsidP="00103148">
            <w:pPr>
              <w:ind w:right="176"/>
              <w:rPr>
                <w:rFonts w:ascii="Arial Narrow" w:hAnsi="Arial Narrow" w:cs="Arial"/>
                <w:sz w:val="18"/>
                <w:szCs w:val="18"/>
              </w:rPr>
            </w:pPr>
            <w:r w:rsidRPr="00F170CC">
              <w:rPr>
                <w:rFonts w:ascii="Arial Narrow" w:hAnsi="Arial Narrow" w:cs="Arial"/>
                <w:sz w:val="18"/>
                <w:szCs w:val="18"/>
              </w:rPr>
              <w:t>- об обеспеченности населения услугами дополнительного образования детей, а также перспективах открытия/передачи в частную форму собственности государственных учреждений дополнительного образования детей в муниципальном образовании на текущий год и последующие 3 года.</w:t>
            </w:r>
          </w:p>
          <w:p w:rsidR="00A64028" w:rsidRPr="00F170CC" w:rsidRDefault="00A64028" w:rsidP="00103148">
            <w:pPr>
              <w:ind w:right="176"/>
              <w:rPr>
                <w:rFonts w:ascii="Arial Narrow" w:hAnsi="Arial Narrow" w:cs="Arial"/>
                <w:sz w:val="18"/>
                <w:szCs w:val="18"/>
              </w:rPr>
            </w:pPr>
            <w:r w:rsidRPr="00F170CC">
              <w:rPr>
                <w:rFonts w:ascii="Arial Narrow" w:hAnsi="Arial Narrow" w:cs="Arial"/>
                <w:sz w:val="18"/>
                <w:szCs w:val="18"/>
              </w:rPr>
              <w:t>2. Изучение потребностей субъектов предпринимательства в информации о ведении бизнеса на данном рынке.</w:t>
            </w:r>
          </w:p>
          <w:p w:rsidR="00A64028" w:rsidRPr="00F170CC" w:rsidRDefault="00A64028" w:rsidP="00103148">
            <w:pPr>
              <w:ind w:right="176"/>
              <w:rPr>
                <w:rFonts w:ascii="Arial Narrow" w:hAnsi="Arial Narrow" w:cs="Arial"/>
                <w:sz w:val="18"/>
                <w:szCs w:val="18"/>
              </w:rPr>
            </w:pPr>
            <w:r w:rsidRPr="00F170CC">
              <w:rPr>
                <w:rFonts w:ascii="Arial Narrow" w:hAnsi="Arial Narrow" w:cs="Arial"/>
                <w:sz w:val="18"/>
                <w:szCs w:val="18"/>
              </w:rPr>
              <w:t>3. Предоставление информации потребителям услуг дополнительного образования для детей о возможности их получения в негосударственных организациях:</w:t>
            </w:r>
          </w:p>
          <w:p w:rsidR="00A64028" w:rsidRPr="00F170CC" w:rsidRDefault="00A64028" w:rsidP="00103148">
            <w:pPr>
              <w:ind w:right="176"/>
              <w:rPr>
                <w:rFonts w:ascii="Arial Narrow" w:hAnsi="Arial Narrow" w:cs="Arial"/>
                <w:sz w:val="18"/>
                <w:szCs w:val="18"/>
              </w:rPr>
            </w:pPr>
            <w:r w:rsidRPr="00F170CC">
              <w:rPr>
                <w:rFonts w:ascii="Arial Narrow" w:hAnsi="Arial Narrow" w:cs="Arial"/>
                <w:sz w:val="18"/>
                <w:szCs w:val="18"/>
              </w:rPr>
              <w:t xml:space="preserve">3.1. Обеспечение представленности негосударственных организаций, оказывающих услуги на рынке дополнительного образования детей, на специализированных или информационных интернет-сайтах Новосибирской области (например, </w:t>
            </w:r>
            <w:hyperlink r:id="rId109" w:history="1">
              <w:r w:rsidRPr="00F170CC">
                <w:rPr>
                  <w:rStyle w:val="ac"/>
                  <w:rFonts w:ascii="Arial Narrow" w:hAnsi="Arial Narrow" w:cs="Arial"/>
                  <w:sz w:val="18"/>
                  <w:szCs w:val="18"/>
                </w:rPr>
                <w:t>http://websib.ru/</w:t>
              </w:r>
            </w:hyperlink>
            <w:r w:rsidRPr="00F170CC">
              <w:rPr>
                <w:rFonts w:ascii="Arial Narrow" w:hAnsi="Arial Narrow" w:cs="Arial"/>
                <w:sz w:val="18"/>
                <w:szCs w:val="18"/>
              </w:rPr>
              <w:t xml:space="preserve"> или других), предоставление им возможности размещения краткой информации об услугах со ссылками на официальные интернет-сайты данных организаций.</w:t>
            </w:r>
          </w:p>
        </w:tc>
      </w:tr>
    </w:tbl>
    <w:p w:rsidR="00F170CC" w:rsidRDefault="00F170CC"/>
    <w:p w:rsidR="00F170CC" w:rsidRDefault="00F170CC"/>
    <w:p w:rsidR="00F170CC" w:rsidRDefault="00F170CC"/>
    <w:p w:rsidR="00F170CC" w:rsidRDefault="00F170CC"/>
    <w:p w:rsidR="00F170CC" w:rsidRDefault="00F170CC"/>
    <w:p w:rsidR="00754B4E" w:rsidRDefault="00754B4E" w:rsidP="00F170CC">
      <w:pPr>
        <w:spacing w:after="0" w:line="240" w:lineRule="auto"/>
        <w:jc w:val="right"/>
        <w:rPr>
          <w:rFonts w:ascii="Arial Narrow" w:hAnsi="Arial Narrow"/>
          <w:sz w:val="24"/>
          <w:szCs w:val="24"/>
        </w:rPr>
      </w:pPr>
    </w:p>
    <w:p w:rsidR="00F170CC" w:rsidRPr="00F170CC" w:rsidRDefault="00F170CC" w:rsidP="00F170CC">
      <w:pPr>
        <w:spacing w:after="0" w:line="240" w:lineRule="auto"/>
        <w:jc w:val="right"/>
        <w:rPr>
          <w:rFonts w:ascii="Arial Narrow" w:hAnsi="Arial Narrow"/>
          <w:sz w:val="24"/>
          <w:szCs w:val="24"/>
        </w:rPr>
      </w:pPr>
      <w:r w:rsidRPr="00BF6DC4">
        <w:rPr>
          <w:rFonts w:ascii="Arial Narrow" w:hAnsi="Arial Narrow"/>
          <w:sz w:val="24"/>
          <w:szCs w:val="24"/>
        </w:rPr>
        <w:lastRenderedPageBreak/>
        <w:t xml:space="preserve">Продолжение Таблицы </w:t>
      </w:r>
      <w:r>
        <w:rPr>
          <w:rFonts w:ascii="Arial Narrow" w:hAnsi="Arial Narrow"/>
          <w:sz w:val="24"/>
          <w:szCs w:val="24"/>
        </w:rPr>
        <w:t>7.59</w:t>
      </w:r>
    </w:p>
    <w:tbl>
      <w:tblPr>
        <w:tblStyle w:val="a7"/>
        <w:tblW w:w="9923" w:type="dxa"/>
        <w:tblInd w:w="-34" w:type="dxa"/>
        <w:tblLayout w:type="fixed"/>
        <w:tblLook w:val="04A0"/>
      </w:tblPr>
      <w:tblGrid>
        <w:gridCol w:w="582"/>
        <w:gridCol w:w="1261"/>
        <w:gridCol w:w="8080"/>
      </w:tblGrid>
      <w:tr w:rsidR="00A64028" w:rsidRPr="003D5D18" w:rsidTr="00754B4E">
        <w:tc>
          <w:tcPr>
            <w:tcW w:w="582" w:type="dxa"/>
            <w:tcBorders>
              <w:top w:val="single" w:sz="4" w:space="0" w:color="auto"/>
              <w:left w:val="single" w:sz="4" w:space="0" w:color="auto"/>
              <w:bottom w:val="single" w:sz="4" w:space="0" w:color="auto"/>
              <w:right w:val="single" w:sz="4" w:space="0" w:color="auto"/>
            </w:tcBorders>
            <w:hideMark/>
          </w:tcPr>
          <w:p w:rsidR="00A64028" w:rsidRPr="00F170CC" w:rsidRDefault="00A64028" w:rsidP="00103148">
            <w:pPr>
              <w:jc w:val="both"/>
              <w:rPr>
                <w:rFonts w:ascii="Arial Narrow" w:hAnsi="Arial Narrow" w:cs="Arial"/>
                <w:sz w:val="18"/>
                <w:szCs w:val="18"/>
              </w:rPr>
            </w:pPr>
            <w:r w:rsidRPr="00F170CC">
              <w:rPr>
                <w:rFonts w:ascii="Arial Narrow" w:hAnsi="Arial Narrow" w:cs="Arial"/>
                <w:sz w:val="18"/>
                <w:szCs w:val="18"/>
              </w:rPr>
              <w:t>4</w:t>
            </w:r>
          </w:p>
        </w:tc>
        <w:tc>
          <w:tcPr>
            <w:tcW w:w="1261" w:type="dxa"/>
            <w:tcBorders>
              <w:top w:val="single" w:sz="4" w:space="0" w:color="auto"/>
              <w:left w:val="single" w:sz="4" w:space="0" w:color="auto"/>
              <w:bottom w:val="single" w:sz="4" w:space="0" w:color="auto"/>
              <w:right w:val="single" w:sz="4" w:space="0" w:color="auto"/>
            </w:tcBorders>
            <w:hideMark/>
          </w:tcPr>
          <w:p w:rsidR="00A64028" w:rsidRPr="00F170CC" w:rsidRDefault="00A64028" w:rsidP="00103148">
            <w:pPr>
              <w:rPr>
                <w:rFonts w:ascii="Arial Narrow" w:hAnsi="Arial Narrow" w:cs="Arial"/>
                <w:sz w:val="18"/>
                <w:szCs w:val="18"/>
              </w:rPr>
            </w:pPr>
            <w:r w:rsidRPr="00F170CC">
              <w:rPr>
                <w:rFonts w:ascii="Arial Narrow" w:hAnsi="Arial Narrow" w:cs="Arial"/>
                <w:sz w:val="18"/>
                <w:szCs w:val="18"/>
              </w:rPr>
              <w:t>Рынок медицинских услуг</w:t>
            </w:r>
          </w:p>
        </w:tc>
        <w:tc>
          <w:tcPr>
            <w:tcW w:w="8080" w:type="dxa"/>
            <w:tcBorders>
              <w:top w:val="single" w:sz="4" w:space="0" w:color="auto"/>
              <w:left w:val="single" w:sz="4" w:space="0" w:color="auto"/>
              <w:bottom w:val="single" w:sz="4" w:space="0" w:color="auto"/>
              <w:right w:val="single" w:sz="4" w:space="0" w:color="auto"/>
            </w:tcBorders>
            <w:hideMark/>
          </w:tcPr>
          <w:p w:rsidR="00A64028" w:rsidRPr="00F170CC" w:rsidRDefault="00A64028" w:rsidP="00103148">
            <w:pPr>
              <w:ind w:right="34"/>
              <w:rPr>
                <w:rFonts w:ascii="Arial Narrow" w:hAnsi="Arial Narrow" w:cs="Arial"/>
                <w:sz w:val="18"/>
                <w:szCs w:val="18"/>
              </w:rPr>
            </w:pPr>
            <w:r w:rsidRPr="00F170CC">
              <w:rPr>
                <w:rFonts w:ascii="Arial Narrow" w:hAnsi="Arial Narrow" w:cs="Arial"/>
                <w:sz w:val="18"/>
                <w:szCs w:val="18"/>
              </w:rPr>
              <w:t>1. Оказание информационной поддержки негосударственным (немуниципальным) организациям (в соответствии с п. 1.4.4. Дорожной карты достижения целевых значений показателей мероприятий по содействию развитию конкуренции на территории Новосибирской области до 2018 года</w:t>
            </w:r>
            <w:r w:rsidRPr="00F170CC">
              <w:rPr>
                <w:rFonts w:ascii="Arial Narrow" w:hAnsi="Arial Narrow" w:cs="Arial"/>
                <w:sz w:val="18"/>
                <w:szCs w:val="18"/>
              </w:rPr>
              <w:footnoteReference w:id="10"/>
            </w:r>
            <w:r w:rsidRPr="00F170CC">
              <w:rPr>
                <w:rFonts w:ascii="Arial Narrow" w:hAnsi="Arial Narrow" w:cs="Arial"/>
                <w:sz w:val="18"/>
                <w:szCs w:val="18"/>
              </w:rPr>
              <w:t xml:space="preserve">), в частности дополнить план мероприятий следующими пунктами: </w:t>
            </w:r>
          </w:p>
          <w:p w:rsidR="00A64028" w:rsidRPr="00F170CC" w:rsidRDefault="00A64028" w:rsidP="00103148">
            <w:pPr>
              <w:ind w:right="34"/>
              <w:rPr>
                <w:rFonts w:ascii="Arial Narrow" w:hAnsi="Arial Narrow" w:cs="Arial"/>
                <w:sz w:val="18"/>
                <w:szCs w:val="18"/>
              </w:rPr>
            </w:pPr>
            <w:r w:rsidRPr="00F170CC">
              <w:rPr>
                <w:rFonts w:ascii="Arial Narrow" w:hAnsi="Arial Narrow" w:cs="Arial"/>
                <w:sz w:val="18"/>
                <w:szCs w:val="18"/>
              </w:rPr>
              <w:t xml:space="preserve">1.1. Предоставление субъектам предпринимательства посредством интернет-сайта комплексного пакета информации о ведении деятельности на данном рынке: </w:t>
            </w:r>
          </w:p>
          <w:p w:rsidR="00A64028" w:rsidRPr="00F170CC" w:rsidRDefault="00A64028" w:rsidP="00103148">
            <w:pPr>
              <w:ind w:right="34"/>
              <w:rPr>
                <w:rFonts w:ascii="Arial Narrow" w:hAnsi="Arial Narrow" w:cs="Arial"/>
                <w:sz w:val="18"/>
                <w:szCs w:val="18"/>
              </w:rPr>
            </w:pPr>
            <w:r w:rsidRPr="00F170CC">
              <w:rPr>
                <w:rFonts w:ascii="Arial Narrow" w:hAnsi="Arial Narrow" w:cs="Arial"/>
                <w:sz w:val="18"/>
                <w:szCs w:val="18"/>
              </w:rPr>
              <w:t xml:space="preserve">- информации о лицензировании, участии в программах ОМС, ДМС, </w:t>
            </w:r>
          </w:p>
          <w:p w:rsidR="00A64028" w:rsidRPr="00F170CC" w:rsidRDefault="00A64028" w:rsidP="00103148">
            <w:pPr>
              <w:ind w:right="34"/>
              <w:rPr>
                <w:rFonts w:ascii="Arial Narrow" w:hAnsi="Arial Narrow" w:cs="Arial"/>
                <w:sz w:val="18"/>
                <w:szCs w:val="18"/>
              </w:rPr>
            </w:pPr>
            <w:r w:rsidRPr="00F170CC">
              <w:rPr>
                <w:rFonts w:ascii="Arial Narrow" w:hAnsi="Arial Narrow" w:cs="Arial"/>
                <w:sz w:val="18"/>
                <w:szCs w:val="18"/>
              </w:rPr>
              <w:t xml:space="preserve">- об условиях и способах реализации бизнес-проекта по открытию и развитию организации на данном рынке, </w:t>
            </w:r>
          </w:p>
          <w:p w:rsidR="00A64028" w:rsidRPr="00F170CC" w:rsidRDefault="00A64028" w:rsidP="00103148">
            <w:pPr>
              <w:ind w:right="34"/>
              <w:rPr>
                <w:rFonts w:ascii="Arial Narrow" w:hAnsi="Arial Narrow" w:cs="Arial"/>
                <w:sz w:val="18"/>
                <w:szCs w:val="18"/>
              </w:rPr>
            </w:pPr>
            <w:r w:rsidRPr="00F170CC">
              <w:rPr>
                <w:rFonts w:ascii="Arial Narrow" w:hAnsi="Arial Narrow" w:cs="Arial"/>
                <w:sz w:val="18"/>
                <w:szCs w:val="18"/>
              </w:rPr>
              <w:t xml:space="preserve">- о наличии доступных для аренды, концессии или выкупа помещений, соответствующих требованиям, для организации медицинского учреждения, </w:t>
            </w:r>
          </w:p>
          <w:p w:rsidR="00A64028" w:rsidRPr="00F170CC" w:rsidRDefault="00A64028" w:rsidP="00103148">
            <w:pPr>
              <w:ind w:right="34"/>
              <w:rPr>
                <w:rFonts w:ascii="Arial Narrow" w:hAnsi="Arial Narrow" w:cs="Arial"/>
                <w:sz w:val="18"/>
                <w:szCs w:val="18"/>
              </w:rPr>
            </w:pPr>
            <w:r w:rsidRPr="00F170CC">
              <w:rPr>
                <w:rFonts w:ascii="Arial Narrow" w:hAnsi="Arial Narrow" w:cs="Arial"/>
                <w:sz w:val="18"/>
                <w:szCs w:val="18"/>
              </w:rPr>
              <w:t>- об обеспеченности населения медицинскими услугами, наличии неудовлетворенного спроса на различные виды медицинских услуг в отдельных муниципальных образованиях, а также о перспективах открытия государственных медицинских организаций в муниципальном образовании на текущий год и последующие 3 года.</w:t>
            </w:r>
          </w:p>
          <w:p w:rsidR="00A64028" w:rsidRPr="00F170CC" w:rsidRDefault="00A64028" w:rsidP="00103148">
            <w:pPr>
              <w:ind w:right="34"/>
              <w:rPr>
                <w:rFonts w:ascii="Arial Narrow" w:hAnsi="Arial Narrow" w:cs="Arial"/>
                <w:sz w:val="18"/>
                <w:szCs w:val="18"/>
              </w:rPr>
            </w:pPr>
            <w:r w:rsidRPr="00F170CC">
              <w:rPr>
                <w:rFonts w:ascii="Arial Narrow" w:hAnsi="Arial Narrow" w:cs="Arial"/>
                <w:sz w:val="18"/>
                <w:szCs w:val="18"/>
              </w:rPr>
              <w:t xml:space="preserve">1.2. Рассмотрение возможности предоставления услуги записи к врачу в негосударственные медицинские организации посредством интернет-сайта </w:t>
            </w:r>
            <w:hyperlink r:id="rId110" w:history="1">
              <w:r w:rsidRPr="00F170CC">
                <w:rPr>
                  <w:rStyle w:val="ac"/>
                  <w:rFonts w:ascii="Arial Narrow" w:hAnsi="Arial Narrow" w:cs="Arial"/>
                  <w:sz w:val="18"/>
                  <w:szCs w:val="18"/>
                </w:rPr>
                <w:t>http://www.zdravnsk.ru</w:t>
              </w:r>
            </w:hyperlink>
            <w:r w:rsidRPr="00F170CC">
              <w:rPr>
                <w:rFonts w:ascii="Arial Narrow" w:hAnsi="Arial Narrow" w:cs="Arial"/>
                <w:sz w:val="18"/>
                <w:szCs w:val="18"/>
              </w:rPr>
              <w:t>.</w:t>
            </w:r>
          </w:p>
          <w:p w:rsidR="00A64028" w:rsidRPr="00F170CC" w:rsidRDefault="00A64028" w:rsidP="00103148">
            <w:pPr>
              <w:ind w:right="34"/>
              <w:rPr>
                <w:rFonts w:ascii="Arial Narrow" w:hAnsi="Arial Narrow" w:cs="Arial"/>
                <w:sz w:val="18"/>
                <w:szCs w:val="18"/>
              </w:rPr>
            </w:pPr>
            <w:r w:rsidRPr="00F170CC">
              <w:rPr>
                <w:rFonts w:ascii="Arial Narrow" w:hAnsi="Arial Narrow" w:cs="Arial"/>
                <w:sz w:val="18"/>
                <w:szCs w:val="18"/>
              </w:rPr>
              <w:t>1.3. Изучение потребностей субъектов предпринимательства в информации о ведении бизнеса на данном рынке.</w:t>
            </w:r>
          </w:p>
          <w:p w:rsidR="00A64028" w:rsidRPr="00F170CC" w:rsidRDefault="00A64028" w:rsidP="00103148">
            <w:pPr>
              <w:ind w:right="34"/>
              <w:rPr>
                <w:rFonts w:ascii="Arial Narrow" w:hAnsi="Arial Narrow" w:cs="Arial"/>
                <w:sz w:val="18"/>
                <w:szCs w:val="18"/>
              </w:rPr>
            </w:pPr>
            <w:r w:rsidRPr="00F170CC">
              <w:rPr>
                <w:rFonts w:ascii="Arial Narrow" w:hAnsi="Arial Narrow" w:cs="Arial"/>
                <w:sz w:val="18"/>
                <w:szCs w:val="18"/>
              </w:rPr>
              <w:t xml:space="preserve">2. Предоставление информации потребителям медицинских услуг о возможности их получения в негосударственных организациях. </w:t>
            </w:r>
          </w:p>
          <w:p w:rsidR="00A64028" w:rsidRPr="00F170CC" w:rsidRDefault="00A64028" w:rsidP="00103148">
            <w:pPr>
              <w:ind w:right="34"/>
              <w:rPr>
                <w:rFonts w:ascii="Arial Narrow" w:hAnsi="Arial Narrow" w:cs="Arial"/>
                <w:sz w:val="18"/>
                <w:szCs w:val="18"/>
              </w:rPr>
            </w:pPr>
            <w:r w:rsidRPr="00F170CC">
              <w:rPr>
                <w:rFonts w:ascii="Arial Narrow" w:hAnsi="Arial Narrow" w:cs="Arial"/>
                <w:sz w:val="18"/>
                <w:szCs w:val="18"/>
              </w:rPr>
              <w:t>2.1. Создание специализированного интернет-сайта с обновляемым каталогом услуг государственных и негосударственных медицинских организаций Новосибирской области и предоставление им возможности размещения краткой информации об оказываемых услугах со ссылками на официальные интернет-сайты.</w:t>
            </w:r>
          </w:p>
        </w:tc>
      </w:tr>
      <w:tr w:rsidR="00A64028" w:rsidRPr="003D5D18" w:rsidTr="00754B4E">
        <w:tc>
          <w:tcPr>
            <w:tcW w:w="582" w:type="dxa"/>
            <w:tcBorders>
              <w:top w:val="single" w:sz="4" w:space="0" w:color="auto"/>
              <w:left w:val="single" w:sz="4" w:space="0" w:color="auto"/>
              <w:bottom w:val="single" w:sz="4" w:space="0" w:color="auto"/>
              <w:right w:val="single" w:sz="4" w:space="0" w:color="auto"/>
            </w:tcBorders>
            <w:hideMark/>
          </w:tcPr>
          <w:p w:rsidR="00A64028" w:rsidRPr="00F170CC" w:rsidRDefault="00A64028" w:rsidP="00103148">
            <w:pPr>
              <w:jc w:val="both"/>
              <w:rPr>
                <w:rFonts w:ascii="Arial Narrow" w:hAnsi="Arial Narrow" w:cs="Arial"/>
                <w:sz w:val="18"/>
                <w:szCs w:val="18"/>
              </w:rPr>
            </w:pPr>
            <w:r w:rsidRPr="00F170CC">
              <w:rPr>
                <w:rFonts w:ascii="Arial Narrow" w:hAnsi="Arial Narrow" w:cs="Arial"/>
                <w:sz w:val="18"/>
                <w:szCs w:val="18"/>
              </w:rPr>
              <w:t>5</w:t>
            </w:r>
          </w:p>
        </w:tc>
        <w:tc>
          <w:tcPr>
            <w:tcW w:w="1261" w:type="dxa"/>
            <w:tcBorders>
              <w:top w:val="single" w:sz="4" w:space="0" w:color="auto"/>
              <w:left w:val="single" w:sz="4" w:space="0" w:color="auto"/>
              <w:bottom w:val="single" w:sz="4" w:space="0" w:color="auto"/>
              <w:right w:val="single" w:sz="4" w:space="0" w:color="auto"/>
            </w:tcBorders>
            <w:hideMark/>
          </w:tcPr>
          <w:p w:rsidR="00A64028" w:rsidRPr="00F170CC" w:rsidRDefault="00A64028" w:rsidP="00103148">
            <w:pPr>
              <w:rPr>
                <w:rFonts w:ascii="Arial Narrow" w:hAnsi="Arial Narrow" w:cs="Arial"/>
                <w:sz w:val="18"/>
                <w:szCs w:val="18"/>
              </w:rPr>
            </w:pPr>
            <w:r w:rsidRPr="00F170CC">
              <w:rPr>
                <w:rFonts w:ascii="Arial Narrow" w:hAnsi="Arial Narrow" w:cs="Arial"/>
                <w:sz w:val="18"/>
                <w:szCs w:val="18"/>
              </w:rPr>
              <w:t>Рынок услуг психолого-педагогического сопровождения детей с ограниченными возможностями здоровья</w:t>
            </w:r>
          </w:p>
        </w:tc>
        <w:tc>
          <w:tcPr>
            <w:tcW w:w="8080" w:type="dxa"/>
            <w:tcBorders>
              <w:top w:val="single" w:sz="4" w:space="0" w:color="auto"/>
              <w:left w:val="single" w:sz="4" w:space="0" w:color="auto"/>
              <w:bottom w:val="single" w:sz="4" w:space="0" w:color="auto"/>
              <w:right w:val="single" w:sz="4" w:space="0" w:color="auto"/>
            </w:tcBorders>
            <w:hideMark/>
          </w:tcPr>
          <w:p w:rsidR="00A64028" w:rsidRPr="00F170CC" w:rsidRDefault="00A64028" w:rsidP="00103148">
            <w:pPr>
              <w:ind w:right="34"/>
              <w:rPr>
                <w:rFonts w:ascii="Arial Narrow" w:hAnsi="Arial Narrow" w:cs="Arial"/>
                <w:sz w:val="18"/>
                <w:szCs w:val="18"/>
              </w:rPr>
            </w:pPr>
            <w:r w:rsidRPr="00F170CC">
              <w:rPr>
                <w:rFonts w:ascii="Arial Narrow" w:hAnsi="Arial Narrow" w:cs="Arial"/>
                <w:sz w:val="18"/>
                <w:szCs w:val="18"/>
              </w:rPr>
              <w:t>1. Оказание информационной поддержки негосударственным (немуниципальным) организациям (в соответствии с п. 1.5.3. Дорожной карты достижения целевых значений показателей мероприятий по содействию развитию конкуренции на территории Новосибирской области до 2018 года</w:t>
            </w:r>
            <w:r w:rsidRPr="00F170CC">
              <w:rPr>
                <w:rFonts w:ascii="Arial Narrow" w:hAnsi="Arial Narrow" w:cs="Arial"/>
                <w:sz w:val="18"/>
                <w:szCs w:val="18"/>
              </w:rPr>
              <w:footnoteReference w:id="11"/>
            </w:r>
            <w:r w:rsidRPr="00F170CC">
              <w:rPr>
                <w:rFonts w:ascii="Arial Narrow" w:hAnsi="Arial Narrow" w:cs="Arial"/>
                <w:sz w:val="18"/>
                <w:szCs w:val="18"/>
              </w:rPr>
              <w:t xml:space="preserve">), в частности дополнить план мероприятий следующими пунктами: </w:t>
            </w:r>
          </w:p>
          <w:p w:rsidR="00A64028" w:rsidRPr="00F170CC" w:rsidRDefault="00A64028" w:rsidP="00103148">
            <w:pPr>
              <w:ind w:right="34"/>
              <w:rPr>
                <w:rFonts w:ascii="Arial Narrow" w:hAnsi="Arial Narrow" w:cs="Arial"/>
                <w:sz w:val="18"/>
                <w:szCs w:val="18"/>
              </w:rPr>
            </w:pPr>
            <w:r w:rsidRPr="00F170CC">
              <w:rPr>
                <w:rFonts w:ascii="Arial Narrow" w:hAnsi="Arial Narrow" w:cs="Arial"/>
                <w:sz w:val="18"/>
                <w:szCs w:val="18"/>
              </w:rPr>
              <w:t xml:space="preserve">1.1. Предоставление субъектам предпринимательства посредством интернет-сайта комплексного пакета информации о ведении деятельности на данном рынке: </w:t>
            </w:r>
          </w:p>
          <w:p w:rsidR="00A64028" w:rsidRPr="00F170CC" w:rsidRDefault="00A64028" w:rsidP="00103148">
            <w:pPr>
              <w:ind w:right="34"/>
              <w:rPr>
                <w:rFonts w:ascii="Arial Narrow" w:hAnsi="Arial Narrow" w:cs="Arial"/>
                <w:sz w:val="18"/>
                <w:szCs w:val="18"/>
              </w:rPr>
            </w:pPr>
            <w:r w:rsidRPr="00F170CC">
              <w:rPr>
                <w:rFonts w:ascii="Arial Narrow" w:hAnsi="Arial Narrow" w:cs="Arial"/>
                <w:sz w:val="18"/>
                <w:szCs w:val="18"/>
              </w:rPr>
              <w:t xml:space="preserve">- информации о лицензировании, </w:t>
            </w:r>
          </w:p>
          <w:p w:rsidR="00A64028" w:rsidRPr="00F170CC" w:rsidRDefault="00A64028" w:rsidP="00103148">
            <w:pPr>
              <w:ind w:right="34"/>
              <w:rPr>
                <w:rFonts w:ascii="Arial Narrow" w:hAnsi="Arial Narrow" w:cs="Arial"/>
                <w:sz w:val="18"/>
                <w:szCs w:val="18"/>
              </w:rPr>
            </w:pPr>
            <w:r w:rsidRPr="00F170CC">
              <w:rPr>
                <w:rFonts w:ascii="Arial Narrow" w:hAnsi="Arial Narrow" w:cs="Arial"/>
                <w:sz w:val="18"/>
                <w:szCs w:val="18"/>
              </w:rPr>
              <w:t xml:space="preserve">- об условиях и способах реализации бизнес-проекта по открытию и развитию организации на данном рынке, </w:t>
            </w:r>
          </w:p>
          <w:p w:rsidR="00A64028" w:rsidRPr="00F170CC" w:rsidRDefault="00A64028" w:rsidP="00103148">
            <w:pPr>
              <w:ind w:right="34"/>
              <w:rPr>
                <w:rFonts w:ascii="Arial Narrow" w:hAnsi="Arial Narrow" w:cs="Arial"/>
                <w:sz w:val="18"/>
                <w:szCs w:val="18"/>
              </w:rPr>
            </w:pPr>
            <w:r w:rsidRPr="00F170CC">
              <w:rPr>
                <w:rFonts w:ascii="Arial Narrow" w:hAnsi="Arial Narrow" w:cs="Arial"/>
                <w:sz w:val="18"/>
                <w:szCs w:val="18"/>
              </w:rPr>
              <w:t xml:space="preserve">- о наличии доступных для аренды, концессии или выкупа помещений, соответствующих требованиям, для организации учреждения, </w:t>
            </w:r>
          </w:p>
          <w:p w:rsidR="00A64028" w:rsidRPr="00F170CC" w:rsidRDefault="00A64028" w:rsidP="00103148">
            <w:pPr>
              <w:ind w:right="34"/>
              <w:rPr>
                <w:rFonts w:ascii="Arial Narrow" w:hAnsi="Arial Narrow" w:cs="Arial"/>
                <w:sz w:val="18"/>
                <w:szCs w:val="18"/>
              </w:rPr>
            </w:pPr>
            <w:r w:rsidRPr="00F170CC">
              <w:rPr>
                <w:rFonts w:ascii="Arial Narrow" w:hAnsi="Arial Narrow" w:cs="Arial"/>
                <w:sz w:val="18"/>
                <w:szCs w:val="18"/>
              </w:rPr>
              <w:t>- об обеспеченности населения услугами психолого-педагогического сопровождения детей с ограниченными возможностями здоровья, наличии неудовлетворенного спроса в отдельных муниципальных образованиях, а также о перспективах оказания данного вида услуг государственными предприятиями в муниципальном образовании на текущий год и последующие 3 года.</w:t>
            </w:r>
          </w:p>
          <w:p w:rsidR="00A64028" w:rsidRPr="00F170CC" w:rsidRDefault="00A64028" w:rsidP="00103148">
            <w:pPr>
              <w:ind w:right="34"/>
              <w:rPr>
                <w:rFonts w:ascii="Arial Narrow" w:hAnsi="Arial Narrow" w:cs="Arial"/>
                <w:sz w:val="18"/>
                <w:szCs w:val="18"/>
              </w:rPr>
            </w:pPr>
            <w:r w:rsidRPr="00F170CC">
              <w:rPr>
                <w:rFonts w:ascii="Arial Narrow" w:hAnsi="Arial Narrow" w:cs="Arial"/>
                <w:sz w:val="18"/>
                <w:szCs w:val="18"/>
              </w:rPr>
              <w:t>1.2. Изучение потребностей субъектов предпринимательства в информации о ведении бизнеса на данном рынке.</w:t>
            </w:r>
          </w:p>
          <w:p w:rsidR="00A64028" w:rsidRPr="00F170CC" w:rsidRDefault="00A64028" w:rsidP="00103148">
            <w:pPr>
              <w:ind w:right="34"/>
              <w:rPr>
                <w:rFonts w:ascii="Arial Narrow" w:hAnsi="Arial Narrow" w:cs="Arial"/>
                <w:sz w:val="18"/>
                <w:szCs w:val="18"/>
              </w:rPr>
            </w:pPr>
            <w:r w:rsidRPr="00F170CC">
              <w:rPr>
                <w:rFonts w:ascii="Arial Narrow" w:hAnsi="Arial Narrow" w:cs="Arial"/>
                <w:sz w:val="18"/>
                <w:szCs w:val="18"/>
              </w:rPr>
              <w:t xml:space="preserve">2. Предоставление информации потребителям услуг психолого-педагогического сопровождения детей с ограниченными возможностями здоровья о возможности их получения в негосударственных организациях. </w:t>
            </w:r>
          </w:p>
          <w:p w:rsidR="00A64028" w:rsidRPr="00F170CC" w:rsidRDefault="00A64028" w:rsidP="00103148">
            <w:pPr>
              <w:ind w:right="34"/>
              <w:jc w:val="both"/>
              <w:rPr>
                <w:rFonts w:ascii="Arial Narrow" w:hAnsi="Arial Narrow" w:cs="Arial"/>
                <w:sz w:val="18"/>
                <w:szCs w:val="18"/>
              </w:rPr>
            </w:pPr>
            <w:r w:rsidRPr="00F170CC">
              <w:rPr>
                <w:rFonts w:ascii="Arial Narrow" w:hAnsi="Arial Narrow" w:cs="Arial"/>
                <w:sz w:val="18"/>
                <w:szCs w:val="18"/>
              </w:rPr>
              <w:t>2.1. Создание специализированного интернет-сайта с обновляемым каталогом услуг государственных и негосударственных организаций Новосибирской области, работающих в сфере оказания социальных услуг, и предоставление им возможности размещения краткой информации об оказываемых услугах со ссылками на официальные интернет-сайты.</w:t>
            </w:r>
          </w:p>
        </w:tc>
      </w:tr>
      <w:tr w:rsidR="00A64028" w:rsidRPr="003D5D18" w:rsidTr="00754B4E">
        <w:tc>
          <w:tcPr>
            <w:tcW w:w="582" w:type="dxa"/>
            <w:tcBorders>
              <w:top w:val="single" w:sz="4" w:space="0" w:color="auto"/>
              <w:left w:val="single" w:sz="4" w:space="0" w:color="auto"/>
              <w:bottom w:val="single" w:sz="4" w:space="0" w:color="auto"/>
              <w:right w:val="single" w:sz="4" w:space="0" w:color="auto"/>
            </w:tcBorders>
            <w:hideMark/>
          </w:tcPr>
          <w:p w:rsidR="00A64028" w:rsidRPr="00F170CC" w:rsidRDefault="00A64028" w:rsidP="00103148">
            <w:pPr>
              <w:jc w:val="both"/>
              <w:rPr>
                <w:rFonts w:ascii="Arial Narrow" w:hAnsi="Arial Narrow" w:cs="Arial"/>
                <w:sz w:val="18"/>
                <w:szCs w:val="18"/>
              </w:rPr>
            </w:pPr>
            <w:r w:rsidRPr="00F170CC">
              <w:rPr>
                <w:rFonts w:ascii="Arial Narrow" w:hAnsi="Arial Narrow" w:cs="Arial"/>
                <w:sz w:val="18"/>
                <w:szCs w:val="18"/>
              </w:rPr>
              <w:t>6</w:t>
            </w:r>
          </w:p>
        </w:tc>
        <w:tc>
          <w:tcPr>
            <w:tcW w:w="1261" w:type="dxa"/>
            <w:tcBorders>
              <w:top w:val="single" w:sz="4" w:space="0" w:color="auto"/>
              <w:left w:val="single" w:sz="4" w:space="0" w:color="auto"/>
              <w:bottom w:val="single" w:sz="4" w:space="0" w:color="auto"/>
              <w:right w:val="single" w:sz="4" w:space="0" w:color="auto"/>
            </w:tcBorders>
            <w:hideMark/>
          </w:tcPr>
          <w:p w:rsidR="00A64028" w:rsidRPr="00F170CC" w:rsidRDefault="00A64028" w:rsidP="00103148">
            <w:pPr>
              <w:rPr>
                <w:rFonts w:ascii="Arial Narrow" w:hAnsi="Arial Narrow" w:cs="Arial"/>
                <w:sz w:val="18"/>
                <w:szCs w:val="18"/>
              </w:rPr>
            </w:pPr>
            <w:r w:rsidRPr="00F170CC">
              <w:rPr>
                <w:rFonts w:ascii="Arial Narrow" w:hAnsi="Arial Narrow" w:cs="Arial"/>
                <w:sz w:val="18"/>
                <w:szCs w:val="18"/>
              </w:rPr>
              <w:t>Рынок услуг в сфере культуры</w:t>
            </w:r>
          </w:p>
        </w:tc>
        <w:tc>
          <w:tcPr>
            <w:tcW w:w="8080" w:type="dxa"/>
            <w:tcBorders>
              <w:top w:val="single" w:sz="4" w:space="0" w:color="auto"/>
              <w:left w:val="single" w:sz="4" w:space="0" w:color="auto"/>
              <w:bottom w:val="single" w:sz="4" w:space="0" w:color="auto"/>
              <w:right w:val="single" w:sz="4" w:space="0" w:color="auto"/>
            </w:tcBorders>
            <w:hideMark/>
          </w:tcPr>
          <w:p w:rsidR="00A64028" w:rsidRPr="00F170CC" w:rsidRDefault="00A64028" w:rsidP="00103148">
            <w:pPr>
              <w:ind w:right="34"/>
              <w:jc w:val="both"/>
              <w:rPr>
                <w:rFonts w:ascii="Arial Narrow" w:hAnsi="Arial Narrow" w:cs="Arial"/>
                <w:sz w:val="18"/>
                <w:szCs w:val="18"/>
              </w:rPr>
            </w:pPr>
            <w:r w:rsidRPr="00F170CC">
              <w:rPr>
                <w:rFonts w:ascii="Arial Narrow" w:hAnsi="Arial Narrow" w:cs="Arial"/>
                <w:sz w:val="18"/>
                <w:szCs w:val="18"/>
              </w:rPr>
              <w:t>1. Организация интернет-площадки для обмена информацией между государственными и негосударственными организациями, ведущими деятельность в сфере культуры (афиши, планы мероприятий, направления деятельности, стоимость услуг).</w:t>
            </w:r>
          </w:p>
          <w:p w:rsidR="00A64028" w:rsidRPr="00F170CC" w:rsidRDefault="00A64028" w:rsidP="00103148">
            <w:pPr>
              <w:ind w:right="34"/>
              <w:rPr>
                <w:rFonts w:ascii="Arial Narrow" w:hAnsi="Arial Narrow" w:cs="Arial"/>
                <w:sz w:val="18"/>
                <w:szCs w:val="18"/>
              </w:rPr>
            </w:pPr>
            <w:r w:rsidRPr="00F170CC">
              <w:rPr>
                <w:rFonts w:ascii="Arial Narrow" w:hAnsi="Arial Narrow" w:cs="Arial"/>
                <w:sz w:val="18"/>
                <w:szCs w:val="18"/>
              </w:rPr>
              <w:t>2. Изучение потребностей субъектов предпринимательства в информации о ведении бизнеса на данном рынке.</w:t>
            </w:r>
          </w:p>
        </w:tc>
      </w:tr>
    </w:tbl>
    <w:p w:rsidR="00754B4E" w:rsidRDefault="00754B4E"/>
    <w:p w:rsidR="00754B4E" w:rsidRDefault="00754B4E"/>
    <w:p w:rsidR="00754B4E" w:rsidRDefault="00754B4E"/>
    <w:p w:rsidR="00754B4E" w:rsidRDefault="00754B4E"/>
    <w:p w:rsidR="00754B4E" w:rsidRDefault="00754B4E"/>
    <w:p w:rsidR="00754B4E" w:rsidRDefault="00754B4E"/>
    <w:p w:rsidR="00754B4E" w:rsidRDefault="00754B4E"/>
    <w:p w:rsidR="00754B4E" w:rsidRPr="00754B4E" w:rsidRDefault="00754B4E" w:rsidP="00754B4E">
      <w:pPr>
        <w:spacing w:after="0" w:line="240" w:lineRule="auto"/>
        <w:jc w:val="right"/>
        <w:rPr>
          <w:rFonts w:ascii="Arial Narrow" w:hAnsi="Arial Narrow"/>
          <w:sz w:val="24"/>
          <w:szCs w:val="24"/>
        </w:rPr>
      </w:pPr>
      <w:r w:rsidRPr="00BF6DC4">
        <w:rPr>
          <w:rFonts w:ascii="Arial Narrow" w:hAnsi="Arial Narrow"/>
          <w:sz w:val="24"/>
          <w:szCs w:val="24"/>
        </w:rPr>
        <w:lastRenderedPageBreak/>
        <w:t xml:space="preserve">Продолжение Таблицы </w:t>
      </w:r>
      <w:r>
        <w:rPr>
          <w:rFonts w:ascii="Arial Narrow" w:hAnsi="Arial Narrow"/>
          <w:sz w:val="24"/>
          <w:szCs w:val="24"/>
        </w:rPr>
        <w:t>7.59</w:t>
      </w:r>
    </w:p>
    <w:tbl>
      <w:tblPr>
        <w:tblStyle w:val="a7"/>
        <w:tblW w:w="9923" w:type="dxa"/>
        <w:tblInd w:w="-34" w:type="dxa"/>
        <w:tblLayout w:type="fixed"/>
        <w:tblLook w:val="04A0"/>
      </w:tblPr>
      <w:tblGrid>
        <w:gridCol w:w="582"/>
        <w:gridCol w:w="1261"/>
        <w:gridCol w:w="8080"/>
      </w:tblGrid>
      <w:tr w:rsidR="00A64028" w:rsidRPr="003D5D18" w:rsidTr="00754B4E">
        <w:tc>
          <w:tcPr>
            <w:tcW w:w="582" w:type="dxa"/>
            <w:tcBorders>
              <w:top w:val="single" w:sz="4" w:space="0" w:color="auto"/>
              <w:left w:val="single" w:sz="4" w:space="0" w:color="auto"/>
              <w:bottom w:val="single" w:sz="4" w:space="0" w:color="auto"/>
              <w:right w:val="single" w:sz="4" w:space="0" w:color="auto"/>
            </w:tcBorders>
            <w:hideMark/>
          </w:tcPr>
          <w:p w:rsidR="00A64028" w:rsidRPr="00F170CC" w:rsidRDefault="00A64028" w:rsidP="00103148">
            <w:pPr>
              <w:jc w:val="both"/>
              <w:rPr>
                <w:rFonts w:ascii="Arial Narrow" w:hAnsi="Arial Narrow" w:cs="Arial"/>
                <w:sz w:val="18"/>
                <w:szCs w:val="18"/>
              </w:rPr>
            </w:pPr>
            <w:r w:rsidRPr="00F170CC">
              <w:rPr>
                <w:rFonts w:ascii="Arial Narrow" w:hAnsi="Arial Narrow" w:cs="Arial"/>
                <w:sz w:val="18"/>
                <w:szCs w:val="18"/>
              </w:rPr>
              <w:t>7</w:t>
            </w:r>
          </w:p>
        </w:tc>
        <w:tc>
          <w:tcPr>
            <w:tcW w:w="1261" w:type="dxa"/>
            <w:tcBorders>
              <w:top w:val="single" w:sz="4" w:space="0" w:color="auto"/>
              <w:left w:val="single" w:sz="4" w:space="0" w:color="auto"/>
              <w:bottom w:val="single" w:sz="4" w:space="0" w:color="auto"/>
              <w:right w:val="single" w:sz="4" w:space="0" w:color="auto"/>
            </w:tcBorders>
            <w:hideMark/>
          </w:tcPr>
          <w:p w:rsidR="00A64028" w:rsidRPr="00F170CC" w:rsidRDefault="00A64028" w:rsidP="00103148">
            <w:pPr>
              <w:rPr>
                <w:rFonts w:ascii="Arial Narrow" w:hAnsi="Arial Narrow" w:cs="Arial"/>
                <w:sz w:val="18"/>
                <w:szCs w:val="18"/>
              </w:rPr>
            </w:pPr>
            <w:r w:rsidRPr="00F170CC">
              <w:rPr>
                <w:rFonts w:ascii="Arial Narrow" w:hAnsi="Arial Narrow" w:cs="Arial"/>
                <w:sz w:val="18"/>
                <w:szCs w:val="18"/>
              </w:rPr>
              <w:t>Рынок услуг жилищно-коммунального хозяйства</w:t>
            </w:r>
          </w:p>
        </w:tc>
        <w:tc>
          <w:tcPr>
            <w:tcW w:w="8080" w:type="dxa"/>
            <w:tcBorders>
              <w:top w:val="single" w:sz="4" w:space="0" w:color="auto"/>
              <w:left w:val="single" w:sz="4" w:space="0" w:color="auto"/>
              <w:bottom w:val="single" w:sz="4" w:space="0" w:color="auto"/>
              <w:right w:val="single" w:sz="4" w:space="0" w:color="auto"/>
            </w:tcBorders>
            <w:hideMark/>
          </w:tcPr>
          <w:p w:rsidR="00A64028" w:rsidRPr="00F170CC" w:rsidRDefault="00A64028" w:rsidP="00103148">
            <w:pPr>
              <w:ind w:right="34"/>
              <w:rPr>
                <w:rFonts w:ascii="Arial Narrow" w:hAnsi="Arial Narrow" w:cs="Arial"/>
                <w:sz w:val="18"/>
                <w:szCs w:val="18"/>
              </w:rPr>
            </w:pPr>
            <w:r w:rsidRPr="00F170CC">
              <w:rPr>
                <w:rFonts w:ascii="Arial Narrow" w:hAnsi="Arial Narrow" w:cs="Arial"/>
                <w:sz w:val="18"/>
                <w:szCs w:val="18"/>
              </w:rPr>
              <w:t xml:space="preserve">1. Оказание информационной поддержки негосударственным (немуниципальным) организациям: </w:t>
            </w:r>
          </w:p>
          <w:p w:rsidR="00A64028" w:rsidRPr="00F170CC" w:rsidRDefault="00A64028" w:rsidP="00103148">
            <w:pPr>
              <w:ind w:right="34"/>
              <w:rPr>
                <w:rFonts w:ascii="Arial Narrow" w:hAnsi="Arial Narrow" w:cs="Arial"/>
                <w:sz w:val="18"/>
                <w:szCs w:val="18"/>
              </w:rPr>
            </w:pPr>
            <w:r w:rsidRPr="00F170CC">
              <w:rPr>
                <w:rFonts w:ascii="Arial Narrow" w:hAnsi="Arial Narrow" w:cs="Arial"/>
                <w:sz w:val="18"/>
                <w:szCs w:val="18"/>
              </w:rPr>
              <w:t xml:space="preserve">1.1. Предоставление субъектам предпринимательства посредством интернет-сайта комплексного пакета информации о ведении деятельности на данном рынке: </w:t>
            </w:r>
          </w:p>
          <w:p w:rsidR="00A64028" w:rsidRPr="00F170CC" w:rsidRDefault="00A64028" w:rsidP="00103148">
            <w:pPr>
              <w:ind w:right="34"/>
              <w:rPr>
                <w:rFonts w:ascii="Arial Narrow" w:hAnsi="Arial Narrow" w:cs="Arial"/>
                <w:sz w:val="18"/>
                <w:szCs w:val="18"/>
              </w:rPr>
            </w:pPr>
            <w:r w:rsidRPr="00F170CC">
              <w:rPr>
                <w:rFonts w:ascii="Arial Narrow" w:hAnsi="Arial Narrow" w:cs="Arial"/>
                <w:sz w:val="18"/>
                <w:szCs w:val="18"/>
              </w:rPr>
              <w:t xml:space="preserve">- информации о лицензировании, </w:t>
            </w:r>
          </w:p>
          <w:p w:rsidR="00A64028" w:rsidRPr="00F170CC" w:rsidRDefault="00A64028" w:rsidP="00103148">
            <w:pPr>
              <w:ind w:right="34"/>
              <w:rPr>
                <w:rFonts w:ascii="Arial Narrow" w:hAnsi="Arial Narrow" w:cs="Arial"/>
                <w:sz w:val="18"/>
                <w:szCs w:val="18"/>
              </w:rPr>
            </w:pPr>
            <w:r w:rsidRPr="00F170CC">
              <w:rPr>
                <w:rFonts w:ascii="Arial Narrow" w:hAnsi="Arial Narrow" w:cs="Arial"/>
                <w:sz w:val="18"/>
                <w:szCs w:val="18"/>
              </w:rPr>
              <w:t xml:space="preserve">- о наличии доступных для концессионных соглашений объектов жилищно-коммунального хозяйства всех государственных и муниципальных предприятий, осуществляющих неэффективное управление; </w:t>
            </w:r>
          </w:p>
          <w:p w:rsidR="00A64028" w:rsidRPr="00F170CC" w:rsidRDefault="00A64028" w:rsidP="00103148">
            <w:pPr>
              <w:ind w:right="34"/>
              <w:rPr>
                <w:rFonts w:ascii="Arial Narrow" w:hAnsi="Arial Narrow" w:cs="Arial"/>
                <w:sz w:val="18"/>
                <w:szCs w:val="18"/>
              </w:rPr>
            </w:pPr>
            <w:r w:rsidRPr="00F170CC">
              <w:rPr>
                <w:rFonts w:ascii="Arial Narrow" w:hAnsi="Arial Narrow" w:cs="Arial"/>
                <w:sz w:val="18"/>
                <w:szCs w:val="18"/>
              </w:rPr>
              <w:t>- об оформлении прав собственности на объекты жилищно-коммунального хозяйства неэффективно управляемых муниципальных предприятий Новосибирской области, осуществляющих деятельность в сфере жилищно-коммунального хозяйства.</w:t>
            </w:r>
          </w:p>
          <w:p w:rsidR="00A64028" w:rsidRPr="00F170CC" w:rsidRDefault="00A64028" w:rsidP="00103148">
            <w:pPr>
              <w:ind w:right="34"/>
              <w:rPr>
                <w:rFonts w:ascii="Arial Narrow" w:hAnsi="Arial Narrow" w:cs="Arial"/>
                <w:sz w:val="18"/>
                <w:szCs w:val="18"/>
              </w:rPr>
            </w:pPr>
            <w:r w:rsidRPr="00F170CC">
              <w:rPr>
                <w:rFonts w:ascii="Arial Narrow" w:hAnsi="Arial Narrow" w:cs="Arial"/>
                <w:sz w:val="18"/>
                <w:szCs w:val="18"/>
              </w:rPr>
              <w:t>1.2. Изучение потребностей субъектов предпринимательства в информации о ведении бизнеса на данном рынке.</w:t>
            </w:r>
          </w:p>
          <w:p w:rsidR="00A64028" w:rsidRPr="00F170CC" w:rsidRDefault="00A64028" w:rsidP="00103148">
            <w:pPr>
              <w:ind w:right="34"/>
              <w:rPr>
                <w:rFonts w:ascii="Arial Narrow" w:hAnsi="Arial Narrow" w:cs="Arial"/>
                <w:sz w:val="18"/>
                <w:szCs w:val="18"/>
              </w:rPr>
            </w:pPr>
            <w:r w:rsidRPr="00F170CC">
              <w:rPr>
                <w:rFonts w:ascii="Arial Narrow" w:hAnsi="Arial Narrow" w:cs="Arial"/>
                <w:sz w:val="18"/>
                <w:szCs w:val="18"/>
              </w:rPr>
              <w:t xml:space="preserve">2. Предоставление потребителям информации об услугах ЖКХ и возможности осуществить обратную связь по вопросам качества оказания услуг: </w:t>
            </w:r>
          </w:p>
          <w:p w:rsidR="00A64028" w:rsidRPr="00F170CC" w:rsidRDefault="00A64028" w:rsidP="00103148">
            <w:pPr>
              <w:ind w:right="34"/>
              <w:jc w:val="both"/>
              <w:rPr>
                <w:rFonts w:ascii="Arial Narrow" w:hAnsi="Arial Narrow" w:cs="Arial"/>
                <w:sz w:val="18"/>
                <w:szCs w:val="18"/>
              </w:rPr>
            </w:pPr>
            <w:r w:rsidRPr="00F170CC">
              <w:rPr>
                <w:rFonts w:ascii="Arial Narrow" w:hAnsi="Arial Narrow" w:cs="Arial"/>
                <w:sz w:val="18"/>
                <w:szCs w:val="18"/>
              </w:rPr>
              <w:t xml:space="preserve">2.1. Наличие «горячей телефонной линии», а также электронной формы обратной связи в информационно-телекоммуникационной сети Интернет (с возможностью прикрепления файлов фото- и видеосъемки). Данное мероприятие закреплено в п. 1.7.2. Дорожной карты: поддержка сайта (ГЖИ НСО – прим. автора) в актуальном состоянии.  </w:t>
            </w:r>
          </w:p>
          <w:p w:rsidR="00A64028" w:rsidRPr="00F170CC" w:rsidRDefault="00A64028" w:rsidP="00103148">
            <w:pPr>
              <w:ind w:right="34"/>
              <w:jc w:val="both"/>
              <w:rPr>
                <w:rFonts w:ascii="Arial Narrow" w:hAnsi="Arial Narrow" w:cs="Arial"/>
                <w:sz w:val="18"/>
                <w:szCs w:val="18"/>
              </w:rPr>
            </w:pPr>
            <w:r w:rsidRPr="00F170CC">
              <w:rPr>
                <w:rFonts w:ascii="Arial Narrow" w:hAnsi="Arial Narrow" w:cs="Arial"/>
                <w:sz w:val="18"/>
                <w:szCs w:val="18"/>
              </w:rPr>
              <w:t>2.2. Информирование населения о рейтинге управляющих компаний г. Новосибирска. Внедрение аналогичной системы оценки на территории всей Новосибирской области или отдельных муниципальных образований (кроме г. Новосибирска).</w:t>
            </w:r>
          </w:p>
          <w:p w:rsidR="00A64028" w:rsidRPr="00F170CC" w:rsidRDefault="00A64028" w:rsidP="00103148">
            <w:pPr>
              <w:ind w:right="34"/>
              <w:jc w:val="both"/>
              <w:rPr>
                <w:rFonts w:ascii="Arial Narrow" w:hAnsi="Arial Narrow" w:cs="Arial"/>
                <w:sz w:val="18"/>
                <w:szCs w:val="18"/>
              </w:rPr>
            </w:pPr>
            <w:r w:rsidRPr="00F170CC">
              <w:rPr>
                <w:rFonts w:ascii="Arial Narrow" w:hAnsi="Arial Narrow" w:cs="Arial"/>
                <w:sz w:val="18"/>
                <w:szCs w:val="18"/>
              </w:rPr>
              <w:t>3. Обеспечение информационной открытости отрасли жилищно-коммунального хозяйства Российской Федерации путем создания государственной информационной системы жилищно-коммунального хозяйства в соответствии с Федеральным законом «О государственной информационной системе жилищно-коммунального хозяйства» (закреплено в п. 1.7.6. Дорожной карты). Показатель: доля информации, раскрываемой в соответствии с требованиями государственной информационной системы жилищно-коммунального хозяйства, в общем объеме информации об отрасли жилищно-коммунального хозяйства Российской Федерации, начиная с 2016 г., должна составлять 100 %.</w:t>
            </w:r>
          </w:p>
        </w:tc>
      </w:tr>
      <w:tr w:rsidR="00A64028" w:rsidRPr="003D5D18" w:rsidTr="00754B4E">
        <w:tc>
          <w:tcPr>
            <w:tcW w:w="582" w:type="dxa"/>
            <w:tcBorders>
              <w:top w:val="single" w:sz="4" w:space="0" w:color="auto"/>
              <w:left w:val="single" w:sz="4" w:space="0" w:color="auto"/>
              <w:bottom w:val="single" w:sz="4" w:space="0" w:color="auto"/>
              <w:right w:val="single" w:sz="4" w:space="0" w:color="auto"/>
            </w:tcBorders>
            <w:hideMark/>
          </w:tcPr>
          <w:p w:rsidR="00A64028" w:rsidRPr="00F170CC" w:rsidRDefault="00A64028" w:rsidP="00103148">
            <w:pPr>
              <w:jc w:val="both"/>
              <w:rPr>
                <w:rFonts w:ascii="Arial Narrow" w:hAnsi="Arial Narrow" w:cs="Arial"/>
                <w:sz w:val="18"/>
                <w:szCs w:val="18"/>
              </w:rPr>
            </w:pPr>
            <w:r w:rsidRPr="00F170CC">
              <w:rPr>
                <w:rFonts w:ascii="Arial Narrow" w:hAnsi="Arial Narrow" w:cs="Arial"/>
                <w:sz w:val="18"/>
                <w:szCs w:val="18"/>
              </w:rPr>
              <w:t>8</w:t>
            </w:r>
          </w:p>
        </w:tc>
        <w:tc>
          <w:tcPr>
            <w:tcW w:w="1261" w:type="dxa"/>
            <w:tcBorders>
              <w:top w:val="single" w:sz="4" w:space="0" w:color="auto"/>
              <w:left w:val="single" w:sz="4" w:space="0" w:color="auto"/>
              <w:bottom w:val="single" w:sz="4" w:space="0" w:color="auto"/>
              <w:right w:val="single" w:sz="4" w:space="0" w:color="auto"/>
            </w:tcBorders>
            <w:hideMark/>
          </w:tcPr>
          <w:p w:rsidR="00A64028" w:rsidRPr="00F170CC" w:rsidRDefault="00A64028" w:rsidP="00103148">
            <w:pPr>
              <w:rPr>
                <w:rFonts w:ascii="Arial Narrow" w:hAnsi="Arial Narrow" w:cs="Arial"/>
                <w:sz w:val="18"/>
                <w:szCs w:val="18"/>
              </w:rPr>
            </w:pPr>
            <w:r w:rsidRPr="00F170CC">
              <w:rPr>
                <w:rFonts w:ascii="Arial Narrow" w:hAnsi="Arial Narrow" w:cs="Arial"/>
                <w:sz w:val="18"/>
                <w:szCs w:val="18"/>
              </w:rPr>
              <w:t>Розничная торговля</w:t>
            </w:r>
          </w:p>
        </w:tc>
        <w:tc>
          <w:tcPr>
            <w:tcW w:w="8080" w:type="dxa"/>
            <w:tcBorders>
              <w:top w:val="single" w:sz="4" w:space="0" w:color="auto"/>
              <w:left w:val="single" w:sz="4" w:space="0" w:color="auto"/>
              <w:bottom w:val="single" w:sz="4" w:space="0" w:color="auto"/>
              <w:right w:val="single" w:sz="4" w:space="0" w:color="auto"/>
            </w:tcBorders>
            <w:hideMark/>
          </w:tcPr>
          <w:p w:rsidR="00A64028" w:rsidRPr="00F170CC" w:rsidRDefault="00A64028" w:rsidP="00103148">
            <w:pPr>
              <w:ind w:right="34"/>
              <w:jc w:val="both"/>
              <w:rPr>
                <w:rFonts w:ascii="Arial Narrow" w:hAnsi="Arial Narrow" w:cs="Arial"/>
                <w:sz w:val="18"/>
                <w:szCs w:val="18"/>
              </w:rPr>
            </w:pPr>
            <w:r w:rsidRPr="00F170CC">
              <w:rPr>
                <w:rFonts w:ascii="Arial Narrow" w:hAnsi="Arial Narrow" w:cs="Arial"/>
                <w:sz w:val="18"/>
                <w:szCs w:val="18"/>
              </w:rPr>
              <w:t xml:space="preserve">1. Оказание информационной поддержки организациям, ведущим деятельность на рынке: </w:t>
            </w:r>
          </w:p>
          <w:p w:rsidR="00A64028" w:rsidRPr="00F170CC" w:rsidRDefault="00A64028" w:rsidP="00103148">
            <w:pPr>
              <w:ind w:right="34"/>
              <w:jc w:val="both"/>
              <w:rPr>
                <w:rFonts w:ascii="Arial Narrow" w:hAnsi="Arial Narrow" w:cs="Arial"/>
                <w:sz w:val="18"/>
                <w:szCs w:val="18"/>
              </w:rPr>
            </w:pPr>
            <w:r w:rsidRPr="00F170CC">
              <w:rPr>
                <w:rFonts w:ascii="Arial Narrow" w:hAnsi="Arial Narrow" w:cs="Arial"/>
                <w:sz w:val="18"/>
                <w:szCs w:val="18"/>
              </w:rPr>
              <w:t>1.1. Предоставление субъектам предпринимательства информации о лицензировании (в сфере торговли фармацевтической продукцией).</w:t>
            </w:r>
          </w:p>
          <w:p w:rsidR="00A64028" w:rsidRPr="00F170CC" w:rsidRDefault="00A64028" w:rsidP="00103148">
            <w:pPr>
              <w:ind w:right="34"/>
              <w:jc w:val="both"/>
              <w:rPr>
                <w:rFonts w:ascii="Arial Narrow" w:hAnsi="Arial Narrow" w:cs="Arial"/>
                <w:sz w:val="18"/>
                <w:szCs w:val="18"/>
              </w:rPr>
            </w:pPr>
            <w:r w:rsidRPr="00F170CC">
              <w:rPr>
                <w:rFonts w:ascii="Arial Narrow" w:hAnsi="Arial Narrow" w:cs="Arial"/>
                <w:sz w:val="18"/>
                <w:szCs w:val="18"/>
              </w:rPr>
              <w:t xml:space="preserve">1.2. Предоставление субъектам предпринимательства результатов ценовых мониторингов, проводимых в рамках п. 23. </w:t>
            </w:r>
            <w:r w:rsidRPr="00F170CC">
              <w:rPr>
                <w:rFonts w:ascii="Arial Narrow" w:hAnsi="Arial Narrow" w:cs="Arial"/>
                <w:b/>
                <w:sz w:val="18"/>
                <w:szCs w:val="18"/>
              </w:rPr>
              <w:t xml:space="preserve">Мероприятий, входящих в планы мероприятий иных стратегических и программных документов Новосибирской области, реализация которых оказывает влияние на состояние конкуренции на территории Новосибирской области (Приложение к Дорожной карте): </w:t>
            </w:r>
            <w:r w:rsidRPr="00F170CC">
              <w:rPr>
                <w:rFonts w:ascii="Arial Narrow" w:hAnsi="Arial Narrow" w:cs="Arial"/>
                <w:sz w:val="18"/>
                <w:szCs w:val="18"/>
              </w:rPr>
              <w:t>Организация и проведение мониторинга ценовой ситуации: в предприятиях торговли, на розничных рынках, на ярмарках и в местах расширенных продаж.</w:t>
            </w:r>
          </w:p>
          <w:p w:rsidR="00A64028" w:rsidRPr="00F170CC" w:rsidRDefault="00A64028" w:rsidP="00103148">
            <w:pPr>
              <w:ind w:right="34"/>
              <w:jc w:val="both"/>
              <w:rPr>
                <w:rFonts w:ascii="Arial Narrow" w:hAnsi="Arial Narrow" w:cs="Arial"/>
                <w:sz w:val="18"/>
                <w:szCs w:val="18"/>
              </w:rPr>
            </w:pPr>
            <w:r w:rsidRPr="00F170CC">
              <w:rPr>
                <w:rFonts w:ascii="Arial Narrow" w:hAnsi="Arial Narrow" w:cs="Arial"/>
                <w:sz w:val="18"/>
                <w:szCs w:val="18"/>
              </w:rPr>
              <w:t>1.3. Изучение потребностей субъектов предпринимательства в информации о ведении бизнеса на данном рынке.</w:t>
            </w:r>
          </w:p>
          <w:p w:rsidR="00A64028" w:rsidRPr="00F170CC" w:rsidRDefault="00A64028" w:rsidP="00103148">
            <w:pPr>
              <w:ind w:right="34"/>
              <w:jc w:val="both"/>
              <w:rPr>
                <w:rFonts w:ascii="Arial Narrow" w:hAnsi="Arial Narrow" w:cs="Arial"/>
                <w:sz w:val="18"/>
                <w:szCs w:val="18"/>
              </w:rPr>
            </w:pPr>
            <w:r w:rsidRPr="00F170CC">
              <w:rPr>
                <w:rFonts w:ascii="Arial Narrow" w:hAnsi="Arial Narrow" w:cs="Arial"/>
                <w:sz w:val="18"/>
                <w:szCs w:val="18"/>
              </w:rPr>
              <w:t>2. Реализация комплекса мер социального, экономического, информационного и организационного характера для обеспечения населения товарами в первую очередь отечественного производства по доступным ценам в пределах территориальной доступности (закреплено в п. 1.8.5. Дорожной карты). Дополнить мероприятием:</w:t>
            </w:r>
          </w:p>
          <w:p w:rsidR="00A64028" w:rsidRPr="00F170CC" w:rsidRDefault="00A64028" w:rsidP="00103148">
            <w:pPr>
              <w:ind w:right="34"/>
              <w:jc w:val="both"/>
              <w:rPr>
                <w:rFonts w:ascii="Arial Narrow" w:hAnsi="Arial Narrow" w:cs="Arial"/>
                <w:sz w:val="18"/>
                <w:szCs w:val="18"/>
              </w:rPr>
            </w:pPr>
            <w:r w:rsidRPr="00F170CC">
              <w:rPr>
                <w:rFonts w:ascii="Arial Narrow" w:hAnsi="Arial Narrow" w:cs="Arial"/>
                <w:sz w:val="18"/>
                <w:szCs w:val="18"/>
              </w:rPr>
              <w:t>2.1. Информирование потребителей о проведении ярмарочных мероприятий посредством сети Интернет, наружной рекламы, размещения информации на радио, телевидении.</w:t>
            </w:r>
          </w:p>
        </w:tc>
      </w:tr>
      <w:tr w:rsidR="00A64028" w:rsidRPr="003D5D18" w:rsidTr="00754B4E">
        <w:tc>
          <w:tcPr>
            <w:tcW w:w="582" w:type="dxa"/>
            <w:tcBorders>
              <w:top w:val="single" w:sz="4" w:space="0" w:color="auto"/>
              <w:left w:val="single" w:sz="4" w:space="0" w:color="auto"/>
              <w:bottom w:val="single" w:sz="4" w:space="0" w:color="auto"/>
              <w:right w:val="single" w:sz="4" w:space="0" w:color="auto"/>
            </w:tcBorders>
            <w:hideMark/>
          </w:tcPr>
          <w:p w:rsidR="00A64028" w:rsidRPr="00F170CC" w:rsidRDefault="00A64028" w:rsidP="00103148">
            <w:pPr>
              <w:jc w:val="both"/>
              <w:rPr>
                <w:rFonts w:ascii="Arial Narrow" w:hAnsi="Arial Narrow" w:cs="Arial"/>
                <w:sz w:val="18"/>
                <w:szCs w:val="18"/>
              </w:rPr>
            </w:pPr>
            <w:r w:rsidRPr="00F170CC">
              <w:rPr>
                <w:rFonts w:ascii="Arial Narrow" w:hAnsi="Arial Narrow" w:cs="Arial"/>
                <w:sz w:val="18"/>
                <w:szCs w:val="18"/>
              </w:rPr>
              <w:t>9</w:t>
            </w:r>
          </w:p>
        </w:tc>
        <w:tc>
          <w:tcPr>
            <w:tcW w:w="1261" w:type="dxa"/>
            <w:tcBorders>
              <w:top w:val="single" w:sz="4" w:space="0" w:color="auto"/>
              <w:left w:val="single" w:sz="4" w:space="0" w:color="auto"/>
              <w:bottom w:val="single" w:sz="4" w:space="0" w:color="auto"/>
              <w:right w:val="single" w:sz="4" w:space="0" w:color="auto"/>
            </w:tcBorders>
            <w:hideMark/>
          </w:tcPr>
          <w:p w:rsidR="00A64028" w:rsidRPr="00F170CC" w:rsidRDefault="00A64028" w:rsidP="00103148">
            <w:pPr>
              <w:rPr>
                <w:rFonts w:ascii="Arial Narrow" w:hAnsi="Arial Narrow" w:cs="Arial"/>
                <w:sz w:val="18"/>
                <w:szCs w:val="18"/>
              </w:rPr>
            </w:pPr>
            <w:r w:rsidRPr="00F170CC">
              <w:rPr>
                <w:rFonts w:ascii="Arial Narrow" w:hAnsi="Arial Narrow" w:cs="Arial"/>
                <w:sz w:val="18"/>
                <w:szCs w:val="18"/>
              </w:rPr>
              <w:t>Рынок услуг перевозок пассажиров наземным транспортом</w:t>
            </w:r>
          </w:p>
        </w:tc>
        <w:tc>
          <w:tcPr>
            <w:tcW w:w="8080" w:type="dxa"/>
            <w:tcBorders>
              <w:top w:val="single" w:sz="4" w:space="0" w:color="auto"/>
              <w:left w:val="single" w:sz="4" w:space="0" w:color="auto"/>
              <w:bottom w:val="single" w:sz="4" w:space="0" w:color="auto"/>
              <w:right w:val="single" w:sz="4" w:space="0" w:color="auto"/>
            </w:tcBorders>
            <w:hideMark/>
          </w:tcPr>
          <w:p w:rsidR="00A64028" w:rsidRPr="00F170CC" w:rsidRDefault="00A64028" w:rsidP="00103148">
            <w:pPr>
              <w:ind w:right="34"/>
              <w:rPr>
                <w:rFonts w:ascii="Arial Narrow" w:hAnsi="Arial Narrow" w:cs="Arial"/>
                <w:sz w:val="18"/>
                <w:szCs w:val="18"/>
              </w:rPr>
            </w:pPr>
            <w:r w:rsidRPr="00F170CC">
              <w:rPr>
                <w:rFonts w:ascii="Arial Narrow" w:hAnsi="Arial Narrow" w:cs="Arial"/>
                <w:sz w:val="18"/>
                <w:szCs w:val="18"/>
              </w:rPr>
              <w:t xml:space="preserve">1. Предоставление субъектам предпринимательства посредством интернет-сайта комплексного пакета информации о ведении деятельности на данном рынке: </w:t>
            </w:r>
          </w:p>
          <w:p w:rsidR="00A64028" w:rsidRPr="00F170CC" w:rsidRDefault="00A64028" w:rsidP="00103148">
            <w:pPr>
              <w:ind w:right="34"/>
              <w:rPr>
                <w:rFonts w:ascii="Arial Narrow" w:hAnsi="Arial Narrow" w:cs="Arial"/>
                <w:sz w:val="18"/>
                <w:szCs w:val="18"/>
              </w:rPr>
            </w:pPr>
            <w:r w:rsidRPr="00F170CC">
              <w:rPr>
                <w:rFonts w:ascii="Arial Narrow" w:hAnsi="Arial Narrow" w:cs="Arial"/>
                <w:sz w:val="18"/>
                <w:szCs w:val="18"/>
              </w:rPr>
              <w:t xml:space="preserve">- информации об условиях и способах реализации бизнес-проекта по открытию и развитию организации на рынке, </w:t>
            </w:r>
          </w:p>
          <w:p w:rsidR="00A64028" w:rsidRPr="00F170CC" w:rsidRDefault="00A64028" w:rsidP="00103148">
            <w:pPr>
              <w:ind w:right="34"/>
              <w:rPr>
                <w:rFonts w:ascii="Arial Narrow" w:hAnsi="Arial Narrow" w:cs="Arial"/>
                <w:sz w:val="18"/>
                <w:szCs w:val="18"/>
              </w:rPr>
            </w:pPr>
            <w:r w:rsidRPr="00F170CC">
              <w:rPr>
                <w:rFonts w:ascii="Arial Narrow" w:hAnsi="Arial Narrow" w:cs="Arial"/>
                <w:sz w:val="18"/>
                <w:szCs w:val="18"/>
              </w:rPr>
              <w:t>- информации о пассажиропотоке на отдельных маршрутах наземного пассажирского транспорта.</w:t>
            </w:r>
          </w:p>
          <w:p w:rsidR="00A64028" w:rsidRPr="00F170CC" w:rsidRDefault="00A64028" w:rsidP="00103148">
            <w:pPr>
              <w:ind w:right="34"/>
              <w:rPr>
                <w:rFonts w:ascii="Arial Narrow" w:hAnsi="Arial Narrow" w:cs="Arial"/>
                <w:sz w:val="18"/>
                <w:szCs w:val="18"/>
              </w:rPr>
            </w:pPr>
            <w:r w:rsidRPr="00F170CC">
              <w:rPr>
                <w:rFonts w:ascii="Arial Narrow" w:hAnsi="Arial Narrow" w:cs="Arial"/>
                <w:sz w:val="18"/>
                <w:szCs w:val="18"/>
              </w:rPr>
              <w:t>2. Изучение потребностей субъектов предпринимательства в информации о ведении бизнеса на данном рынке.</w:t>
            </w:r>
          </w:p>
          <w:p w:rsidR="00A64028" w:rsidRPr="00F170CC" w:rsidRDefault="00A64028" w:rsidP="00103148">
            <w:pPr>
              <w:ind w:right="34"/>
              <w:rPr>
                <w:rFonts w:ascii="Arial Narrow" w:hAnsi="Arial Narrow" w:cs="Arial"/>
                <w:sz w:val="18"/>
                <w:szCs w:val="18"/>
              </w:rPr>
            </w:pPr>
            <w:r w:rsidRPr="00F170CC">
              <w:rPr>
                <w:rFonts w:ascii="Arial Narrow" w:hAnsi="Arial Narrow" w:cs="Arial"/>
                <w:sz w:val="18"/>
                <w:szCs w:val="18"/>
              </w:rPr>
              <w:t>3. Своевременное информирование пассажиров об изменении маршрутов, стоимости оплаты проезда и прочих условиях оказания услуг.</w:t>
            </w:r>
          </w:p>
        </w:tc>
      </w:tr>
      <w:tr w:rsidR="00A64028" w:rsidRPr="003D5D18" w:rsidTr="00754B4E">
        <w:tc>
          <w:tcPr>
            <w:tcW w:w="582" w:type="dxa"/>
            <w:tcBorders>
              <w:top w:val="single" w:sz="4" w:space="0" w:color="auto"/>
              <w:left w:val="single" w:sz="4" w:space="0" w:color="auto"/>
              <w:bottom w:val="single" w:sz="4" w:space="0" w:color="auto"/>
              <w:right w:val="single" w:sz="4" w:space="0" w:color="auto"/>
            </w:tcBorders>
            <w:hideMark/>
          </w:tcPr>
          <w:p w:rsidR="00A64028" w:rsidRPr="00F170CC" w:rsidRDefault="00A64028" w:rsidP="00103148">
            <w:pPr>
              <w:jc w:val="both"/>
              <w:rPr>
                <w:rFonts w:ascii="Arial Narrow" w:hAnsi="Arial Narrow" w:cs="Arial"/>
                <w:sz w:val="18"/>
                <w:szCs w:val="18"/>
              </w:rPr>
            </w:pPr>
            <w:r w:rsidRPr="00F170CC">
              <w:rPr>
                <w:rFonts w:ascii="Arial Narrow" w:hAnsi="Arial Narrow" w:cs="Arial"/>
                <w:sz w:val="18"/>
                <w:szCs w:val="18"/>
              </w:rPr>
              <w:t>10</w:t>
            </w:r>
          </w:p>
        </w:tc>
        <w:tc>
          <w:tcPr>
            <w:tcW w:w="1261" w:type="dxa"/>
            <w:tcBorders>
              <w:top w:val="single" w:sz="4" w:space="0" w:color="auto"/>
              <w:left w:val="single" w:sz="4" w:space="0" w:color="auto"/>
              <w:bottom w:val="single" w:sz="4" w:space="0" w:color="auto"/>
              <w:right w:val="single" w:sz="4" w:space="0" w:color="auto"/>
            </w:tcBorders>
            <w:hideMark/>
          </w:tcPr>
          <w:p w:rsidR="00A64028" w:rsidRPr="00F170CC" w:rsidRDefault="00A64028" w:rsidP="00103148">
            <w:pPr>
              <w:rPr>
                <w:rFonts w:ascii="Arial Narrow" w:hAnsi="Arial Narrow" w:cs="Arial"/>
                <w:sz w:val="18"/>
                <w:szCs w:val="18"/>
              </w:rPr>
            </w:pPr>
            <w:r w:rsidRPr="00F170CC">
              <w:rPr>
                <w:rFonts w:ascii="Arial Narrow" w:hAnsi="Arial Narrow" w:cs="Arial"/>
                <w:sz w:val="18"/>
                <w:szCs w:val="18"/>
              </w:rPr>
              <w:t>Рынок услуг связи</w:t>
            </w:r>
          </w:p>
        </w:tc>
        <w:tc>
          <w:tcPr>
            <w:tcW w:w="8080" w:type="dxa"/>
            <w:tcBorders>
              <w:top w:val="single" w:sz="4" w:space="0" w:color="auto"/>
              <w:left w:val="single" w:sz="4" w:space="0" w:color="auto"/>
              <w:bottom w:val="single" w:sz="4" w:space="0" w:color="auto"/>
              <w:right w:val="single" w:sz="4" w:space="0" w:color="auto"/>
            </w:tcBorders>
            <w:hideMark/>
          </w:tcPr>
          <w:p w:rsidR="00A64028" w:rsidRPr="00F170CC" w:rsidRDefault="00A64028" w:rsidP="00103148">
            <w:pPr>
              <w:ind w:right="34"/>
              <w:rPr>
                <w:rFonts w:ascii="Arial Narrow" w:hAnsi="Arial Narrow" w:cs="Arial"/>
                <w:sz w:val="18"/>
                <w:szCs w:val="18"/>
              </w:rPr>
            </w:pPr>
            <w:r w:rsidRPr="00F170CC">
              <w:rPr>
                <w:rFonts w:ascii="Arial Narrow" w:hAnsi="Arial Narrow" w:cs="Arial"/>
                <w:sz w:val="18"/>
                <w:szCs w:val="18"/>
              </w:rPr>
              <w:t>1. Изучение потребностей субъектов предпринимательства в информации о ведении бизнеса на данном рынке.</w:t>
            </w:r>
          </w:p>
          <w:p w:rsidR="00A64028" w:rsidRPr="00F170CC" w:rsidRDefault="00A64028" w:rsidP="00103148">
            <w:pPr>
              <w:ind w:right="34"/>
              <w:jc w:val="both"/>
              <w:rPr>
                <w:rFonts w:ascii="Arial Narrow" w:hAnsi="Arial Narrow" w:cs="Arial"/>
                <w:sz w:val="18"/>
                <w:szCs w:val="18"/>
              </w:rPr>
            </w:pPr>
            <w:r w:rsidRPr="00F170CC">
              <w:rPr>
                <w:rFonts w:ascii="Arial Narrow" w:hAnsi="Arial Narrow" w:cs="Arial"/>
                <w:sz w:val="18"/>
                <w:szCs w:val="18"/>
              </w:rPr>
              <w:t>2. Получение «обратной связи» от потребителей услуг связи о качестве предоставляемых услуг (в т.ч. операторами сотовой связи, проводного и беспроводного Интернета) в муниципальных образованиях Новосибирской области.</w:t>
            </w:r>
          </w:p>
        </w:tc>
      </w:tr>
    </w:tbl>
    <w:p w:rsidR="00754B4E" w:rsidRDefault="00754B4E"/>
    <w:p w:rsidR="00754B4E" w:rsidRDefault="00754B4E"/>
    <w:p w:rsidR="00754B4E" w:rsidRDefault="00754B4E"/>
    <w:p w:rsidR="00754B4E" w:rsidRDefault="00754B4E"/>
    <w:p w:rsidR="00754B4E" w:rsidRDefault="00754B4E"/>
    <w:p w:rsidR="00754B4E" w:rsidRDefault="00754B4E"/>
    <w:p w:rsidR="00754B4E" w:rsidRPr="00754B4E" w:rsidRDefault="00754B4E" w:rsidP="00754B4E">
      <w:pPr>
        <w:spacing w:after="0" w:line="240" w:lineRule="auto"/>
        <w:jc w:val="right"/>
        <w:rPr>
          <w:rFonts w:ascii="Arial Narrow" w:hAnsi="Arial Narrow"/>
          <w:sz w:val="24"/>
          <w:szCs w:val="24"/>
        </w:rPr>
      </w:pPr>
      <w:r w:rsidRPr="00BF6DC4">
        <w:rPr>
          <w:rFonts w:ascii="Arial Narrow" w:hAnsi="Arial Narrow"/>
          <w:sz w:val="24"/>
          <w:szCs w:val="24"/>
        </w:rPr>
        <w:lastRenderedPageBreak/>
        <w:t xml:space="preserve">Продолжение Таблицы </w:t>
      </w:r>
      <w:r>
        <w:rPr>
          <w:rFonts w:ascii="Arial Narrow" w:hAnsi="Arial Narrow"/>
          <w:sz w:val="24"/>
          <w:szCs w:val="24"/>
        </w:rPr>
        <w:t>7.59</w:t>
      </w:r>
    </w:p>
    <w:tbl>
      <w:tblPr>
        <w:tblStyle w:val="a7"/>
        <w:tblW w:w="9923" w:type="dxa"/>
        <w:tblInd w:w="-34" w:type="dxa"/>
        <w:tblLayout w:type="fixed"/>
        <w:tblLook w:val="04A0"/>
      </w:tblPr>
      <w:tblGrid>
        <w:gridCol w:w="582"/>
        <w:gridCol w:w="1261"/>
        <w:gridCol w:w="8080"/>
      </w:tblGrid>
      <w:tr w:rsidR="00A64028" w:rsidRPr="003D5D18" w:rsidTr="00754B4E">
        <w:tc>
          <w:tcPr>
            <w:tcW w:w="582" w:type="dxa"/>
            <w:tcBorders>
              <w:top w:val="single" w:sz="4" w:space="0" w:color="auto"/>
              <w:left w:val="single" w:sz="4" w:space="0" w:color="auto"/>
              <w:bottom w:val="single" w:sz="4" w:space="0" w:color="auto"/>
              <w:right w:val="single" w:sz="4" w:space="0" w:color="auto"/>
            </w:tcBorders>
            <w:hideMark/>
          </w:tcPr>
          <w:p w:rsidR="00A64028" w:rsidRPr="00F170CC" w:rsidRDefault="00A64028" w:rsidP="00103148">
            <w:pPr>
              <w:jc w:val="both"/>
              <w:rPr>
                <w:rFonts w:ascii="Arial Narrow" w:hAnsi="Arial Narrow" w:cs="Arial"/>
                <w:sz w:val="18"/>
                <w:szCs w:val="18"/>
              </w:rPr>
            </w:pPr>
            <w:r w:rsidRPr="00F170CC">
              <w:rPr>
                <w:rFonts w:ascii="Arial Narrow" w:hAnsi="Arial Narrow" w:cs="Arial"/>
                <w:sz w:val="18"/>
                <w:szCs w:val="18"/>
              </w:rPr>
              <w:t>11</w:t>
            </w:r>
          </w:p>
        </w:tc>
        <w:tc>
          <w:tcPr>
            <w:tcW w:w="1261" w:type="dxa"/>
            <w:tcBorders>
              <w:top w:val="single" w:sz="4" w:space="0" w:color="auto"/>
              <w:left w:val="single" w:sz="4" w:space="0" w:color="auto"/>
              <w:bottom w:val="single" w:sz="4" w:space="0" w:color="auto"/>
              <w:right w:val="single" w:sz="4" w:space="0" w:color="auto"/>
            </w:tcBorders>
            <w:hideMark/>
          </w:tcPr>
          <w:p w:rsidR="00A64028" w:rsidRPr="00F170CC" w:rsidRDefault="00A64028" w:rsidP="00103148">
            <w:pPr>
              <w:rPr>
                <w:rFonts w:ascii="Arial Narrow" w:hAnsi="Arial Narrow" w:cs="Arial"/>
                <w:sz w:val="18"/>
                <w:szCs w:val="18"/>
              </w:rPr>
            </w:pPr>
            <w:r w:rsidRPr="00F170CC">
              <w:rPr>
                <w:rFonts w:ascii="Arial Narrow" w:hAnsi="Arial Narrow" w:cs="Arial"/>
                <w:sz w:val="18"/>
                <w:szCs w:val="18"/>
              </w:rPr>
              <w:t>Рынок услуг социального обслуживания населения</w:t>
            </w:r>
          </w:p>
        </w:tc>
        <w:tc>
          <w:tcPr>
            <w:tcW w:w="8080" w:type="dxa"/>
            <w:tcBorders>
              <w:top w:val="single" w:sz="4" w:space="0" w:color="auto"/>
              <w:left w:val="single" w:sz="4" w:space="0" w:color="auto"/>
              <w:bottom w:val="single" w:sz="4" w:space="0" w:color="auto"/>
              <w:right w:val="single" w:sz="4" w:space="0" w:color="auto"/>
            </w:tcBorders>
            <w:hideMark/>
          </w:tcPr>
          <w:p w:rsidR="00A64028" w:rsidRPr="00F170CC" w:rsidRDefault="00A64028" w:rsidP="00103148">
            <w:pPr>
              <w:ind w:right="34"/>
              <w:rPr>
                <w:rFonts w:ascii="Arial Narrow" w:hAnsi="Arial Narrow" w:cs="Arial"/>
                <w:sz w:val="18"/>
                <w:szCs w:val="18"/>
              </w:rPr>
            </w:pPr>
            <w:r w:rsidRPr="00F170CC">
              <w:rPr>
                <w:rFonts w:ascii="Arial Narrow" w:hAnsi="Arial Narrow" w:cs="Arial"/>
                <w:sz w:val="18"/>
                <w:szCs w:val="18"/>
              </w:rPr>
              <w:t>1. Предоставление субъектам предпринимательства посредством интернет-сайта комплексного пакета информации о ведении деятельности на данном рынке:</w:t>
            </w:r>
          </w:p>
          <w:p w:rsidR="00A64028" w:rsidRPr="00F170CC" w:rsidRDefault="00A64028" w:rsidP="00103148">
            <w:pPr>
              <w:ind w:right="34"/>
              <w:rPr>
                <w:rFonts w:ascii="Arial Narrow" w:hAnsi="Arial Narrow" w:cs="Arial"/>
                <w:sz w:val="18"/>
                <w:szCs w:val="18"/>
              </w:rPr>
            </w:pPr>
            <w:r w:rsidRPr="00F170CC">
              <w:rPr>
                <w:rFonts w:ascii="Arial Narrow" w:hAnsi="Arial Narrow" w:cs="Arial"/>
                <w:sz w:val="18"/>
                <w:szCs w:val="18"/>
              </w:rPr>
              <w:t>- информации об условиях и способах реализации бизнес-проекта по открытию и развитию организации на данном рынке,</w:t>
            </w:r>
          </w:p>
          <w:p w:rsidR="00A64028" w:rsidRPr="00F170CC" w:rsidRDefault="00A64028" w:rsidP="00103148">
            <w:pPr>
              <w:ind w:right="34"/>
              <w:rPr>
                <w:rFonts w:ascii="Arial Narrow" w:hAnsi="Arial Narrow" w:cs="Arial"/>
                <w:sz w:val="18"/>
                <w:szCs w:val="18"/>
              </w:rPr>
            </w:pPr>
            <w:r w:rsidRPr="00F170CC">
              <w:rPr>
                <w:rFonts w:ascii="Arial Narrow" w:hAnsi="Arial Narrow" w:cs="Arial"/>
                <w:sz w:val="18"/>
                <w:szCs w:val="18"/>
              </w:rPr>
              <w:t>- о наличии доступных для аренды, концессии или выкупа помещений, соответствующих требованиям, для организации учреждения,</w:t>
            </w:r>
          </w:p>
          <w:p w:rsidR="00A64028" w:rsidRPr="00F170CC" w:rsidRDefault="00A64028" w:rsidP="00103148">
            <w:pPr>
              <w:ind w:right="34"/>
              <w:rPr>
                <w:rFonts w:ascii="Arial Narrow" w:hAnsi="Arial Narrow" w:cs="Arial"/>
                <w:sz w:val="18"/>
                <w:szCs w:val="18"/>
              </w:rPr>
            </w:pPr>
            <w:r w:rsidRPr="00F170CC">
              <w:rPr>
                <w:rFonts w:ascii="Arial Narrow" w:hAnsi="Arial Narrow" w:cs="Arial"/>
                <w:sz w:val="18"/>
                <w:szCs w:val="18"/>
              </w:rPr>
              <w:t>- об обеспеченности населения услугами социального обслуживания, наличии неудовлетворенного спроса в отдельных муниципальных образованиях, а также о перспективах оказания данного вида услуг государственными предприятиями в муниципальном образовании на текущий год и последующие 3 года.</w:t>
            </w:r>
          </w:p>
          <w:p w:rsidR="00A64028" w:rsidRPr="00F170CC" w:rsidRDefault="00A64028" w:rsidP="00103148">
            <w:pPr>
              <w:ind w:right="34"/>
              <w:rPr>
                <w:rFonts w:ascii="Arial Narrow" w:hAnsi="Arial Narrow" w:cs="Arial"/>
                <w:sz w:val="18"/>
                <w:szCs w:val="18"/>
              </w:rPr>
            </w:pPr>
            <w:r w:rsidRPr="00F170CC">
              <w:rPr>
                <w:rFonts w:ascii="Arial Narrow" w:hAnsi="Arial Narrow" w:cs="Arial"/>
                <w:sz w:val="18"/>
                <w:szCs w:val="18"/>
              </w:rPr>
              <w:t>2. Изучение потребностей субъектов предпринимательства в информации о ведении бизнеса на данном рынке.</w:t>
            </w:r>
          </w:p>
          <w:p w:rsidR="00A64028" w:rsidRPr="00F170CC" w:rsidRDefault="00A64028" w:rsidP="00103148">
            <w:pPr>
              <w:ind w:right="34"/>
              <w:rPr>
                <w:rFonts w:ascii="Arial Narrow" w:hAnsi="Arial Narrow" w:cs="Arial"/>
                <w:sz w:val="18"/>
                <w:szCs w:val="18"/>
              </w:rPr>
            </w:pPr>
            <w:r w:rsidRPr="00F170CC">
              <w:rPr>
                <w:rFonts w:ascii="Arial Narrow" w:hAnsi="Arial Narrow" w:cs="Arial"/>
                <w:sz w:val="18"/>
                <w:szCs w:val="18"/>
              </w:rPr>
              <w:t>3. Предоставление информации потребителям услуг социального обслуживания о возможности их получения в негосударственных организациях.</w:t>
            </w:r>
          </w:p>
          <w:p w:rsidR="00A64028" w:rsidRPr="00F170CC" w:rsidRDefault="00A64028" w:rsidP="00103148">
            <w:pPr>
              <w:ind w:right="34"/>
              <w:jc w:val="both"/>
              <w:rPr>
                <w:rFonts w:ascii="Arial Narrow" w:hAnsi="Arial Narrow" w:cs="Arial"/>
                <w:sz w:val="18"/>
                <w:szCs w:val="18"/>
              </w:rPr>
            </w:pPr>
            <w:r w:rsidRPr="00F170CC">
              <w:rPr>
                <w:rFonts w:ascii="Arial Narrow" w:hAnsi="Arial Narrow" w:cs="Arial"/>
                <w:sz w:val="18"/>
                <w:szCs w:val="18"/>
              </w:rPr>
              <w:t>4. Создание специализированного интернет-сайта с обновляемым каталогом услуг государственных и негосударственных организаций Новосибирской области, работающих в сфере социального обслуживания, и предоставление им возможности размещения краткой информации об оказываемых услугах со ссылками на официальные интернет-сайты.</w:t>
            </w:r>
          </w:p>
        </w:tc>
      </w:tr>
      <w:tr w:rsidR="00A64028" w:rsidRPr="003D5D18" w:rsidTr="00754B4E">
        <w:tc>
          <w:tcPr>
            <w:tcW w:w="582" w:type="dxa"/>
            <w:tcBorders>
              <w:top w:val="single" w:sz="4" w:space="0" w:color="auto"/>
              <w:left w:val="single" w:sz="4" w:space="0" w:color="auto"/>
              <w:bottom w:val="single" w:sz="4" w:space="0" w:color="auto"/>
              <w:right w:val="single" w:sz="4" w:space="0" w:color="auto"/>
            </w:tcBorders>
            <w:hideMark/>
          </w:tcPr>
          <w:p w:rsidR="00A64028" w:rsidRPr="00F170CC" w:rsidRDefault="00A64028" w:rsidP="00103148">
            <w:pPr>
              <w:jc w:val="both"/>
              <w:rPr>
                <w:rFonts w:ascii="Arial Narrow" w:hAnsi="Arial Narrow" w:cs="Arial"/>
                <w:sz w:val="18"/>
                <w:szCs w:val="18"/>
              </w:rPr>
            </w:pPr>
            <w:r w:rsidRPr="00F170CC">
              <w:rPr>
                <w:rFonts w:ascii="Arial Narrow" w:hAnsi="Arial Narrow" w:cs="Arial"/>
                <w:sz w:val="18"/>
                <w:szCs w:val="18"/>
              </w:rPr>
              <w:t>12</w:t>
            </w:r>
          </w:p>
        </w:tc>
        <w:tc>
          <w:tcPr>
            <w:tcW w:w="1261" w:type="dxa"/>
            <w:tcBorders>
              <w:top w:val="single" w:sz="4" w:space="0" w:color="auto"/>
              <w:left w:val="single" w:sz="4" w:space="0" w:color="auto"/>
              <w:bottom w:val="single" w:sz="4" w:space="0" w:color="auto"/>
              <w:right w:val="single" w:sz="4" w:space="0" w:color="auto"/>
            </w:tcBorders>
            <w:hideMark/>
          </w:tcPr>
          <w:p w:rsidR="00A64028" w:rsidRPr="00F170CC" w:rsidRDefault="00A64028" w:rsidP="00103148">
            <w:pPr>
              <w:rPr>
                <w:rFonts w:ascii="Arial Narrow" w:hAnsi="Arial Narrow" w:cs="Arial"/>
                <w:sz w:val="18"/>
                <w:szCs w:val="18"/>
              </w:rPr>
            </w:pPr>
            <w:r w:rsidRPr="00F170CC">
              <w:rPr>
                <w:rFonts w:ascii="Arial Narrow" w:hAnsi="Arial Narrow" w:cs="Arial"/>
                <w:sz w:val="18"/>
                <w:szCs w:val="18"/>
              </w:rPr>
              <w:t>Рынок развития, производства, переработки и хранения сельскохозяйственной продукции</w:t>
            </w:r>
          </w:p>
        </w:tc>
        <w:tc>
          <w:tcPr>
            <w:tcW w:w="8080" w:type="dxa"/>
            <w:tcBorders>
              <w:top w:val="single" w:sz="4" w:space="0" w:color="auto"/>
              <w:left w:val="single" w:sz="4" w:space="0" w:color="auto"/>
              <w:bottom w:val="single" w:sz="4" w:space="0" w:color="auto"/>
              <w:right w:val="single" w:sz="4" w:space="0" w:color="auto"/>
            </w:tcBorders>
            <w:hideMark/>
          </w:tcPr>
          <w:p w:rsidR="00A64028" w:rsidRPr="00F170CC" w:rsidRDefault="00A64028" w:rsidP="00103148">
            <w:pPr>
              <w:ind w:right="34"/>
              <w:jc w:val="both"/>
              <w:rPr>
                <w:rFonts w:ascii="Arial Narrow" w:hAnsi="Arial Narrow" w:cs="Arial"/>
                <w:sz w:val="18"/>
                <w:szCs w:val="18"/>
              </w:rPr>
            </w:pPr>
            <w:r w:rsidRPr="00F170CC">
              <w:rPr>
                <w:rFonts w:ascii="Arial Narrow" w:hAnsi="Arial Narrow" w:cs="Arial"/>
                <w:sz w:val="18"/>
                <w:szCs w:val="18"/>
              </w:rPr>
              <w:t>1. Предоставление субъектам предпринимательской деятельности информации:</w:t>
            </w:r>
          </w:p>
          <w:p w:rsidR="00A64028" w:rsidRPr="00F170CC" w:rsidRDefault="00A64028" w:rsidP="00103148">
            <w:pPr>
              <w:ind w:right="34"/>
              <w:jc w:val="both"/>
              <w:rPr>
                <w:rFonts w:ascii="Arial Narrow" w:hAnsi="Arial Narrow" w:cs="Arial"/>
                <w:sz w:val="18"/>
                <w:szCs w:val="18"/>
              </w:rPr>
            </w:pPr>
            <w:r w:rsidRPr="00F170CC">
              <w:rPr>
                <w:rFonts w:ascii="Arial Narrow" w:hAnsi="Arial Narrow" w:cs="Arial"/>
                <w:sz w:val="18"/>
                <w:szCs w:val="18"/>
              </w:rPr>
              <w:t>- о проведении ярмарочных мероприятий,</w:t>
            </w:r>
          </w:p>
          <w:p w:rsidR="00A64028" w:rsidRPr="00F170CC" w:rsidRDefault="00A64028" w:rsidP="00103148">
            <w:pPr>
              <w:ind w:right="34"/>
              <w:jc w:val="both"/>
              <w:rPr>
                <w:rFonts w:ascii="Arial Narrow" w:hAnsi="Arial Narrow" w:cs="Arial"/>
                <w:sz w:val="18"/>
                <w:szCs w:val="18"/>
              </w:rPr>
            </w:pPr>
            <w:r w:rsidRPr="00F170CC">
              <w:rPr>
                <w:rFonts w:ascii="Arial Narrow" w:hAnsi="Arial Narrow" w:cs="Arial"/>
                <w:sz w:val="18"/>
                <w:szCs w:val="18"/>
              </w:rPr>
              <w:t>- о наличии объектов недвижимости для организации специализированной/фирменной торговли.</w:t>
            </w:r>
          </w:p>
          <w:p w:rsidR="00A64028" w:rsidRPr="00F170CC" w:rsidRDefault="00A64028" w:rsidP="00103148">
            <w:pPr>
              <w:ind w:right="34"/>
              <w:jc w:val="both"/>
              <w:rPr>
                <w:rFonts w:ascii="Arial Narrow" w:hAnsi="Arial Narrow" w:cs="Arial"/>
                <w:sz w:val="18"/>
                <w:szCs w:val="18"/>
              </w:rPr>
            </w:pPr>
            <w:r w:rsidRPr="00F170CC">
              <w:rPr>
                <w:rFonts w:ascii="Arial Narrow" w:hAnsi="Arial Narrow" w:cs="Arial"/>
                <w:sz w:val="18"/>
                <w:szCs w:val="18"/>
              </w:rPr>
              <w:t>2. Предоставление субъектам предпринимательства результатов ценовых мониторингов, проводимых в рамках п. 23. Мероприятий, входящих в планы мероприятий иных стратегических и программных документов Новосибирской области, реализация которых оказывает влияние на состояние конкуренции на территории Новосибирской области (Приложение к Дорожной карте): Организация и проведение мониторинга ценовой ситуации: в предприятиях торговли, на розничных рынках, на ярмарках и в местах расширенных продаж.</w:t>
            </w:r>
          </w:p>
          <w:p w:rsidR="00A64028" w:rsidRPr="00F170CC" w:rsidRDefault="00A64028" w:rsidP="00103148">
            <w:pPr>
              <w:ind w:right="34"/>
              <w:jc w:val="both"/>
              <w:rPr>
                <w:rFonts w:ascii="Arial Narrow" w:hAnsi="Arial Narrow" w:cs="Arial"/>
                <w:sz w:val="18"/>
                <w:szCs w:val="18"/>
              </w:rPr>
            </w:pPr>
            <w:r w:rsidRPr="00F170CC">
              <w:rPr>
                <w:rFonts w:ascii="Arial Narrow" w:hAnsi="Arial Narrow" w:cs="Arial"/>
                <w:sz w:val="18"/>
                <w:szCs w:val="18"/>
              </w:rPr>
              <w:t>3. Изучение потребностей субъектов предпринимательства в информации о ведении бизнеса на данном рынке.</w:t>
            </w:r>
          </w:p>
          <w:p w:rsidR="00A64028" w:rsidRPr="00F170CC" w:rsidRDefault="00A64028" w:rsidP="00103148">
            <w:pPr>
              <w:ind w:right="34"/>
              <w:jc w:val="both"/>
              <w:rPr>
                <w:rFonts w:ascii="Arial Narrow" w:hAnsi="Arial Narrow" w:cs="Arial"/>
                <w:sz w:val="18"/>
                <w:szCs w:val="18"/>
              </w:rPr>
            </w:pPr>
            <w:r w:rsidRPr="00F170CC">
              <w:rPr>
                <w:rFonts w:ascii="Arial Narrow" w:hAnsi="Arial Narrow" w:cs="Arial"/>
                <w:sz w:val="18"/>
                <w:szCs w:val="18"/>
              </w:rPr>
              <w:t>4. Разработка и создание информационного проекта по поддержке продвижению товаров местных производителей для конечных потребителей, проживающих на территории Новосибирской области.</w:t>
            </w:r>
          </w:p>
        </w:tc>
      </w:tr>
      <w:tr w:rsidR="00A64028" w:rsidRPr="003D5D18" w:rsidTr="00754B4E">
        <w:tc>
          <w:tcPr>
            <w:tcW w:w="582" w:type="dxa"/>
            <w:tcBorders>
              <w:top w:val="single" w:sz="4" w:space="0" w:color="auto"/>
              <w:left w:val="single" w:sz="4" w:space="0" w:color="auto"/>
              <w:bottom w:val="single" w:sz="4" w:space="0" w:color="auto"/>
              <w:right w:val="single" w:sz="4" w:space="0" w:color="auto"/>
            </w:tcBorders>
            <w:hideMark/>
          </w:tcPr>
          <w:p w:rsidR="00A64028" w:rsidRPr="00F170CC" w:rsidRDefault="00A64028" w:rsidP="00103148">
            <w:pPr>
              <w:jc w:val="both"/>
              <w:rPr>
                <w:rFonts w:ascii="Arial Narrow" w:hAnsi="Arial Narrow" w:cs="Arial"/>
                <w:sz w:val="18"/>
                <w:szCs w:val="18"/>
              </w:rPr>
            </w:pPr>
            <w:r w:rsidRPr="00F170CC">
              <w:rPr>
                <w:rFonts w:ascii="Arial Narrow" w:hAnsi="Arial Narrow" w:cs="Arial"/>
                <w:sz w:val="18"/>
                <w:szCs w:val="18"/>
              </w:rPr>
              <w:t>13</w:t>
            </w:r>
          </w:p>
        </w:tc>
        <w:tc>
          <w:tcPr>
            <w:tcW w:w="1261" w:type="dxa"/>
            <w:tcBorders>
              <w:top w:val="single" w:sz="4" w:space="0" w:color="auto"/>
              <w:left w:val="single" w:sz="4" w:space="0" w:color="auto"/>
              <w:bottom w:val="single" w:sz="4" w:space="0" w:color="auto"/>
              <w:right w:val="single" w:sz="4" w:space="0" w:color="auto"/>
            </w:tcBorders>
            <w:hideMark/>
          </w:tcPr>
          <w:p w:rsidR="00A64028" w:rsidRPr="00F170CC" w:rsidRDefault="00A64028" w:rsidP="00103148">
            <w:pPr>
              <w:rPr>
                <w:rFonts w:ascii="Arial Narrow" w:hAnsi="Arial Narrow" w:cs="Arial"/>
                <w:sz w:val="18"/>
                <w:szCs w:val="18"/>
              </w:rPr>
            </w:pPr>
            <w:r w:rsidRPr="00F170CC">
              <w:rPr>
                <w:rFonts w:ascii="Arial Narrow" w:hAnsi="Arial Narrow" w:cs="Arial"/>
                <w:sz w:val="18"/>
                <w:szCs w:val="18"/>
              </w:rPr>
              <w:t>Рынок услуг по сбору, сортировке и переработке твердых коммунальных (бытовых) отходов</w:t>
            </w:r>
          </w:p>
        </w:tc>
        <w:tc>
          <w:tcPr>
            <w:tcW w:w="8080" w:type="dxa"/>
            <w:tcBorders>
              <w:top w:val="single" w:sz="4" w:space="0" w:color="auto"/>
              <w:left w:val="single" w:sz="4" w:space="0" w:color="auto"/>
              <w:bottom w:val="single" w:sz="4" w:space="0" w:color="auto"/>
              <w:right w:val="single" w:sz="4" w:space="0" w:color="auto"/>
            </w:tcBorders>
            <w:hideMark/>
          </w:tcPr>
          <w:p w:rsidR="00A64028" w:rsidRPr="00F170CC" w:rsidRDefault="00A64028" w:rsidP="00103148">
            <w:pPr>
              <w:ind w:right="34"/>
              <w:rPr>
                <w:rFonts w:ascii="Arial Narrow" w:hAnsi="Arial Narrow" w:cs="Arial"/>
                <w:sz w:val="18"/>
                <w:szCs w:val="18"/>
              </w:rPr>
            </w:pPr>
            <w:r w:rsidRPr="00F170CC">
              <w:rPr>
                <w:rFonts w:ascii="Arial Narrow" w:hAnsi="Arial Narrow" w:cs="Arial"/>
                <w:sz w:val="18"/>
                <w:szCs w:val="18"/>
              </w:rPr>
              <w:t>1. Изучение потребностей субъектов предпринимательства в информации о ведении бизнеса на данном рынке.</w:t>
            </w:r>
          </w:p>
          <w:p w:rsidR="00A64028" w:rsidRPr="00F170CC" w:rsidRDefault="00A64028" w:rsidP="00103148">
            <w:pPr>
              <w:ind w:right="34"/>
              <w:rPr>
                <w:rFonts w:ascii="Arial Narrow" w:hAnsi="Arial Narrow" w:cs="Arial"/>
                <w:sz w:val="18"/>
                <w:szCs w:val="18"/>
              </w:rPr>
            </w:pPr>
            <w:r w:rsidRPr="00F170CC">
              <w:rPr>
                <w:rFonts w:ascii="Arial Narrow" w:hAnsi="Arial Narrow" w:cs="Arial"/>
                <w:sz w:val="18"/>
                <w:szCs w:val="18"/>
              </w:rPr>
              <w:t>2. Предоставление субъектам предпринимательства посредством иИнтернет-сайта комплексного пакета информации об условиях и способах реализации бизнес-проекта по открытию и развитию организации на данном рынке.</w:t>
            </w:r>
          </w:p>
        </w:tc>
      </w:tr>
      <w:tr w:rsidR="00A64028" w:rsidRPr="003D5D18" w:rsidTr="00754B4E">
        <w:tc>
          <w:tcPr>
            <w:tcW w:w="1843" w:type="dxa"/>
            <w:gridSpan w:val="2"/>
            <w:tcBorders>
              <w:top w:val="single" w:sz="4" w:space="0" w:color="auto"/>
              <w:left w:val="single" w:sz="4" w:space="0" w:color="auto"/>
              <w:bottom w:val="single" w:sz="4" w:space="0" w:color="auto"/>
              <w:right w:val="single" w:sz="4" w:space="0" w:color="auto"/>
            </w:tcBorders>
            <w:hideMark/>
          </w:tcPr>
          <w:p w:rsidR="00A64028" w:rsidRPr="00F170CC" w:rsidRDefault="00A64028" w:rsidP="00103148">
            <w:pPr>
              <w:rPr>
                <w:rFonts w:ascii="Arial Narrow" w:hAnsi="Arial Narrow" w:cs="Arial"/>
                <w:sz w:val="18"/>
                <w:szCs w:val="18"/>
              </w:rPr>
            </w:pPr>
            <w:r w:rsidRPr="00F170CC">
              <w:rPr>
                <w:rFonts w:ascii="Arial Narrow" w:hAnsi="Arial Narrow" w:cs="Arial"/>
                <w:sz w:val="18"/>
                <w:szCs w:val="18"/>
              </w:rPr>
              <w:t>Для всех социально значимых и приоритетных рынков</w:t>
            </w:r>
          </w:p>
        </w:tc>
        <w:tc>
          <w:tcPr>
            <w:tcW w:w="8080" w:type="dxa"/>
            <w:tcBorders>
              <w:top w:val="single" w:sz="4" w:space="0" w:color="auto"/>
              <w:left w:val="single" w:sz="4" w:space="0" w:color="auto"/>
              <w:bottom w:val="single" w:sz="4" w:space="0" w:color="auto"/>
              <w:right w:val="single" w:sz="4" w:space="0" w:color="auto"/>
            </w:tcBorders>
            <w:hideMark/>
          </w:tcPr>
          <w:p w:rsidR="00A64028" w:rsidRPr="00F170CC" w:rsidRDefault="00A64028" w:rsidP="00103148">
            <w:pPr>
              <w:ind w:right="34"/>
              <w:jc w:val="both"/>
              <w:rPr>
                <w:rFonts w:ascii="Arial Narrow" w:hAnsi="Arial Narrow" w:cs="Arial"/>
                <w:sz w:val="18"/>
                <w:szCs w:val="18"/>
              </w:rPr>
            </w:pPr>
            <w:r w:rsidRPr="00F170CC">
              <w:rPr>
                <w:rFonts w:ascii="Arial Narrow" w:hAnsi="Arial Narrow" w:cs="Arial"/>
                <w:sz w:val="18"/>
                <w:szCs w:val="18"/>
              </w:rPr>
              <w:t xml:space="preserve">1. Активизация работы администраций муниципальных районов и городских округов Новосибирской области по размещению актуальной информации для предпринимательского сообщества на официальных сайтах муниципальных образований (закреплено в п. 2.6.11 Дорожной карты). </w:t>
            </w:r>
          </w:p>
          <w:p w:rsidR="00A64028" w:rsidRPr="00F170CC" w:rsidRDefault="00A64028" w:rsidP="00103148">
            <w:pPr>
              <w:ind w:right="34"/>
              <w:jc w:val="both"/>
              <w:rPr>
                <w:rFonts w:ascii="Arial Narrow" w:hAnsi="Arial Narrow" w:cs="Arial"/>
                <w:sz w:val="18"/>
                <w:szCs w:val="18"/>
              </w:rPr>
            </w:pPr>
            <w:r w:rsidRPr="00F170CC">
              <w:rPr>
                <w:rFonts w:ascii="Arial Narrow" w:hAnsi="Arial Narrow" w:cs="Arial"/>
                <w:sz w:val="18"/>
                <w:szCs w:val="18"/>
              </w:rPr>
              <w:t>- Разработка показателей оценки эффективности обновления интернет-сайтов муниципалитетами.</w:t>
            </w:r>
          </w:p>
          <w:p w:rsidR="00A64028" w:rsidRPr="00F170CC" w:rsidRDefault="00A64028" w:rsidP="00103148">
            <w:pPr>
              <w:ind w:right="34"/>
              <w:jc w:val="both"/>
              <w:rPr>
                <w:rFonts w:ascii="Arial Narrow" w:hAnsi="Arial Narrow" w:cs="Arial"/>
                <w:sz w:val="18"/>
                <w:szCs w:val="18"/>
              </w:rPr>
            </w:pPr>
            <w:r w:rsidRPr="00F170CC">
              <w:rPr>
                <w:rFonts w:ascii="Arial Narrow" w:hAnsi="Arial Narrow" w:cs="Arial"/>
                <w:sz w:val="18"/>
                <w:szCs w:val="18"/>
              </w:rPr>
              <w:t>- Ежемесячный выборочный аудит муниципальных интернет-сайтов на предмет выполнения показателей.</w:t>
            </w:r>
          </w:p>
          <w:p w:rsidR="00A64028" w:rsidRPr="00F170CC" w:rsidRDefault="00A64028" w:rsidP="00103148">
            <w:pPr>
              <w:ind w:right="34"/>
              <w:jc w:val="both"/>
              <w:rPr>
                <w:rFonts w:ascii="Arial Narrow" w:hAnsi="Arial Narrow" w:cs="Arial"/>
                <w:sz w:val="18"/>
                <w:szCs w:val="18"/>
              </w:rPr>
            </w:pPr>
            <w:r w:rsidRPr="00F170CC">
              <w:rPr>
                <w:rFonts w:ascii="Arial Narrow" w:hAnsi="Arial Narrow" w:cs="Arial"/>
                <w:sz w:val="18"/>
                <w:szCs w:val="18"/>
              </w:rPr>
              <w:t>2. Информирование субъектов предпринимательской деятельности о порядке взаимодействия с органами государственной власти посредством проведения семинаров, тренингов, распространения печатных и иных информационных материалов (закреплено в п. 2.6.12. Дорожной карты):</w:t>
            </w:r>
          </w:p>
          <w:p w:rsidR="00A64028" w:rsidRPr="00F170CC" w:rsidRDefault="00A64028" w:rsidP="00103148">
            <w:pPr>
              <w:ind w:right="34"/>
              <w:jc w:val="both"/>
              <w:rPr>
                <w:rFonts w:ascii="Arial Narrow" w:hAnsi="Arial Narrow" w:cs="Arial"/>
                <w:sz w:val="18"/>
                <w:szCs w:val="18"/>
              </w:rPr>
            </w:pPr>
            <w:r w:rsidRPr="00F170CC">
              <w:rPr>
                <w:rFonts w:ascii="Arial Narrow" w:hAnsi="Arial Narrow" w:cs="Arial"/>
                <w:sz w:val="18"/>
                <w:szCs w:val="18"/>
              </w:rPr>
              <w:t>- Размещение информации в сети Интернет, в новостных лентах региональных новостных порталов.</w:t>
            </w:r>
          </w:p>
          <w:p w:rsidR="00A64028" w:rsidRPr="00F170CC" w:rsidRDefault="00A64028" w:rsidP="00103148">
            <w:pPr>
              <w:ind w:right="34"/>
              <w:jc w:val="both"/>
              <w:rPr>
                <w:rFonts w:ascii="Arial Narrow" w:hAnsi="Arial Narrow" w:cs="Arial"/>
                <w:sz w:val="18"/>
                <w:szCs w:val="18"/>
              </w:rPr>
            </w:pPr>
            <w:r w:rsidRPr="00F170CC">
              <w:rPr>
                <w:rFonts w:ascii="Arial Narrow" w:hAnsi="Arial Narrow" w:cs="Arial"/>
                <w:sz w:val="18"/>
                <w:szCs w:val="18"/>
              </w:rPr>
              <w:t>3. Формирование и ведение реестра площадок с высокой степенью готовности для приема инвесторов (закреплено в п. 2.6.14 Дорожной карты).</w:t>
            </w:r>
          </w:p>
          <w:p w:rsidR="00A64028" w:rsidRPr="00F170CC" w:rsidRDefault="00A64028" w:rsidP="00103148">
            <w:pPr>
              <w:ind w:right="34"/>
              <w:jc w:val="both"/>
              <w:rPr>
                <w:rFonts w:ascii="Arial Narrow" w:hAnsi="Arial Narrow" w:cs="Arial"/>
                <w:sz w:val="18"/>
                <w:szCs w:val="18"/>
              </w:rPr>
            </w:pPr>
            <w:r w:rsidRPr="00F170CC">
              <w:rPr>
                <w:rFonts w:ascii="Arial Narrow" w:hAnsi="Arial Narrow" w:cs="Arial"/>
                <w:sz w:val="18"/>
                <w:szCs w:val="18"/>
              </w:rPr>
              <w:t>4. Ведение Инвестиционного портала Новосибирской области (закреплено в п. 2.6.15 Дорожной карты).</w:t>
            </w:r>
          </w:p>
          <w:p w:rsidR="00A64028" w:rsidRPr="00F170CC" w:rsidRDefault="00A64028" w:rsidP="00103148">
            <w:pPr>
              <w:ind w:right="34"/>
              <w:jc w:val="both"/>
              <w:rPr>
                <w:rFonts w:ascii="Arial Narrow" w:hAnsi="Arial Narrow" w:cs="Arial"/>
                <w:sz w:val="18"/>
                <w:szCs w:val="18"/>
              </w:rPr>
            </w:pPr>
            <w:r w:rsidRPr="00F170CC">
              <w:rPr>
                <w:rFonts w:ascii="Arial Narrow" w:hAnsi="Arial Narrow" w:cs="Arial"/>
                <w:sz w:val="18"/>
                <w:szCs w:val="18"/>
              </w:rPr>
              <w:t>5. Размещение на портале Правительства НСО актуальной информации о технопарках и бизнес-инкубаторах Новосибирской области, включая показатели эффективности их работы и условия оказания услуг потенциальным резидентам и инвесторам (закреплено в п. 2.6.16. Дорожной карты).</w:t>
            </w:r>
          </w:p>
          <w:p w:rsidR="00A64028" w:rsidRPr="00F170CC" w:rsidRDefault="00A64028" w:rsidP="00103148">
            <w:pPr>
              <w:ind w:right="34"/>
              <w:jc w:val="both"/>
              <w:rPr>
                <w:rFonts w:ascii="Arial Narrow" w:hAnsi="Arial Narrow" w:cs="Arial"/>
                <w:sz w:val="18"/>
                <w:szCs w:val="18"/>
              </w:rPr>
            </w:pPr>
            <w:r w:rsidRPr="00F170CC">
              <w:rPr>
                <w:rFonts w:ascii="Arial Narrow" w:hAnsi="Arial Narrow" w:cs="Arial"/>
                <w:sz w:val="18"/>
                <w:szCs w:val="18"/>
              </w:rPr>
              <w:t>6. Оптимизация Инвестиционной карты Новосибирской области:</w:t>
            </w:r>
          </w:p>
          <w:p w:rsidR="00A64028" w:rsidRPr="00F170CC" w:rsidRDefault="00A64028" w:rsidP="00103148">
            <w:pPr>
              <w:ind w:right="34"/>
              <w:jc w:val="both"/>
              <w:rPr>
                <w:rFonts w:ascii="Arial Narrow" w:hAnsi="Arial Narrow" w:cs="Arial"/>
                <w:sz w:val="18"/>
                <w:szCs w:val="18"/>
              </w:rPr>
            </w:pPr>
            <w:r w:rsidRPr="00F170CC">
              <w:rPr>
                <w:rFonts w:ascii="Arial Narrow" w:hAnsi="Arial Narrow" w:cs="Arial"/>
                <w:sz w:val="18"/>
                <w:szCs w:val="18"/>
              </w:rPr>
              <w:t>1) информации о свободных резервах трансформаторной мощности с указанием и отображением на географической карте Новосибирской области ориентировочного места подключения (технологического присоединения) к сетям территориальных сетевых организаций 110–35 кВ с детализацией информации о количестве поданных заявок и заключенных договоров на технологическое присоединение;</w:t>
            </w:r>
          </w:p>
          <w:p w:rsidR="00A64028" w:rsidRPr="00F170CC" w:rsidRDefault="00A64028" w:rsidP="00103148">
            <w:pPr>
              <w:ind w:right="34"/>
              <w:jc w:val="both"/>
              <w:rPr>
                <w:rFonts w:ascii="Arial Narrow" w:hAnsi="Arial Narrow" w:cs="Arial"/>
                <w:sz w:val="18"/>
                <w:szCs w:val="18"/>
              </w:rPr>
            </w:pPr>
            <w:r w:rsidRPr="00F170CC">
              <w:rPr>
                <w:rFonts w:ascii="Arial Narrow" w:hAnsi="Arial Narrow" w:cs="Arial"/>
                <w:sz w:val="18"/>
                <w:szCs w:val="18"/>
              </w:rPr>
              <w:t>2) информации, отображающей на географической карте Новосибирской области ориентировочное место подключения (технологического присоединения) к сетям газораспределительных станций, включая информацию о проектной мощности (пропускной способности) газораспределительных станций и наличии свободных резервов мощности и размере этих резервов, а также о планируемых сроках строительства и реконструкции газораспределительных станций (с указанием перспективной мощности газораспределительных станций по окончании ее строительства, реконструкции) (закреплено в п. 2.6.17 Дорожной карты).</w:t>
            </w:r>
          </w:p>
          <w:p w:rsidR="00A64028" w:rsidRPr="00F170CC" w:rsidRDefault="00A64028" w:rsidP="00103148">
            <w:pPr>
              <w:ind w:right="34"/>
              <w:jc w:val="both"/>
              <w:rPr>
                <w:rFonts w:ascii="Arial Narrow" w:hAnsi="Arial Narrow" w:cs="Arial"/>
                <w:sz w:val="18"/>
                <w:szCs w:val="18"/>
              </w:rPr>
            </w:pPr>
            <w:r w:rsidRPr="00F170CC">
              <w:rPr>
                <w:rFonts w:ascii="Arial Narrow" w:hAnsi="Arial Narrow" w:cs="Arial"/>
                <w:sz w:val="18"/>
                <w:szCs w:val="18"/>
              </w:rPr>
              <w:t>7. Проведение форумов, круглых столов; размещение на сайтах и порталах, освещающих вопросы развития и поддержки предпринимательства в Новосибирской области, в том числе на сайтах объектов инфраструктуры поддержки предпринимательства, информации о деятельности объектов инфраструктуры; издание справочной и методической литературы освещающей деятельность в Новосибирской области созданных объектов инфраструктуры поддержки предпринимательства (закреплено в п. 2.6.18 Дорожной карты).</w:t>
            </w:r>
          </w:p>
          <w:p w:rsidR="00A64028" w:rsidRPr="00F170CC" w:rsidRDefault="00A64028" w:rsidP="00103148">
            <w:pPr>
              <w:ind w:right="34"/>
              <w:jc w:val="both"/>
              <w:rPr>
                <w:rFonts w:ascii="Arial Narrow" w:hAnsi="Arial Narrow" w:cs="Arial"/>
                <w:sz w:val="18"/>
                <w:szCs w:val="18"/>
              </w:rPr>
            </w:pPr>
            <w:r w:rsidRPr="00F170CC">
              <w:rPr>
                <w:rFonts w:ascii="Arial Narrow" w:hAnsi="Arial Narrow" w:cs="Arial"/>
                <w:sz w:val="18"/>
                <w:szCs w:val="18"/>
              </w:rPr>
              <w:t xml:space="preserve">8. Проведение форумов, круглых столов, конференций, семинаров по тематике развития и поддержки субъектов малого и среднего предпринимательства в Новосибирской области (закреплено в п. 2.6.19 Дорожной </w:t>
            </w:r>
            <w:r w:rsidRPr="00F170CC">
              <w:rPr>
                <w:rFonts w:ascii="Arial Narrow" w:hAnsi="Arial Narrow" w:cs="Arial"/>
                <w:sz w:val="18"/>
                <w:szCs w:val="18"/>
              </w:rPr>
              <w:lastRenderedPageBreak/>
              <w:t>карты).</w:t>
            </w:r>
          </w:p>
          <w:p w:rsidR="00A64028" w:rsidRPr="00F170CC" w:rsidRDefault="00A64028" w:rsidP="00103148">
            <w:pPr>
              <w:pStyle w:val="affffe"/>
              <w:spacing w:line="240" w:lineRule="auto"/>
              <w:ind w:right="34" w:firstLine="0"/>
              <w:rPr>
                <w:rFonts w:ascii="Arial Narrow" w:hAnsi="Arial Narrow" w:cs="Arial"/>
                <w:sz w:val="18"/>
                <w:szCs w:val="18"/>
              </w:rPr>
            </w:pPr>
            <w:r w:rsidRPr="00F170CC">
              <w:rPr>
                <w:rFonts w:ascii="Arial Narrow" w:hAnsi="Arial Narrow" w:cs="Arial"/>
                <w:sz w:val="18"/>
                <w:szCs w:val="18"/>
              </w:rPr>
              <w:t>9. Размещение на официальных сайтах субъектов естественных монополий информации о своей деятельности, подлежащей раскрытию в соответствии с законодательством Российской Федерации, в том числе:</w:t>
            </w:r>
          </w:p>
          <w:p w:rsidR="00A64028" w:rsidRPr="00F170CC" w:rsidRDefault="00A64028" w:rsidP="00103148">
            <w:pPr>
              <w:pStyle w:val="affffe"/>
              <w:spacing w:line="240" w:lineRule="auto"/>
              <w:ind w:right="34" w:firstLine="0"/>
              <w:rPr>
                <w:rFonts w:ascii="Arial Narrow" w:hAnsi="Arial Narrow" w:cs="Arial"/>
                <w:sz w:val="18"/>
                <w:szCs w:val="18"/>
              </w:rPr>
            </w:pPr>
            <w:r w:rsidRPr="00F170CC">
              <w:rPr>
                <w:rFonts w:ascii="Arial Narrow" w:hAnsi="Arial Narrow" w:cs="Arial"/>
                <w:sz w:val="18"/>
                <w:szCs w:val="18"/>
              </w:rPr>
              <w:t>- о реализуемых и планируемых к реализации на территории Новосибирской области инвестиционных программах, включая ключевые показатели эффективности реализации таких программ;</w:t>
            </w:r>
          </w:p>
          <w:p w:rsidR="00A64028" w:rsidRPr="00F170CC" w:rsidRDefault="00A64028" w:rsidP="00103148">
            <w:pPr>
              <w:pStyle w:val="affffe"/>
              <w:spacing w:line="240" w:lineRule="auto"/>
              <w:ind w:right="34" w:firstLine="0"/>
              <w:rPr>
                <w:rFonts w:ascii="Arial Narrow" w:hAnsi="Arial Narrow" w:cs="Arial"/>
                <w:sz w:val="18"/>
                <w:szCs w:val="18"/>
              </w:rPr>
            </w:pPr>
            <w:r w:rsidRPr="00F170CC">
              <w:rPr>
                <w:rFonts w:ascii="Arial Narrow" w:hAnsi="Arial Narrow" w:cs="Arial"/>
                <w:sz w:val="18"/>
                <w:szCs w:val="18"/>
              </w:rPr>
              <w:t>- о результатах технологического и ценового аудита инвестиционных проектов с указанием экспертной организации, осуществляющей технологический и ценовой аудит, информации о параметрах заключенного с такой экспертной организацией договора на проведение технологического и ценового аудита (техническое задание, цена договора, сроки исполнения этапов работ по договору), а также итоги экспертного обсуждения результатов технологического и ценового аудита представителями потребителей товаров, работ и услуг, задействованных в механизмах общественного контроля за деятельностью субъектов естественных монополий;</w:t>
            </w:r>
          </w:p>
          <w:p w:rsidR="00A64028" w:rsidRPr="00F170CC" w:rsidRDefault="00A64028" w:rsidP="00103148">
            <w:pPr>
              <w:ind w:right="34"/>
              <w:jc w:val="both"/>
              <w:rPr>
                <w:rFonts w:ascii="Arial Narrow" w:hAnsi="Arial Narrow" w:cs="Arial"/>
                <w:sz w:val="18"/>
                <w:szCs w:val="18"/>
              </w:rPr>
            </w:pPr>
            <w:r w:rsidRPr="00F170CC">
              <w:rPr>
                <w:rFonts w:ascii="Arial Narrow" w:hAnsi="Arial Narrow" w:cs="Arial"/>
                <w:sz w:val="18"/>
                <w:szCs w:val="18"/>
              </w:rPr>
              <w:t>- о структуре тарифов на услуги (включая проект тарифной заявки), параметрах качества и надежности предоставляемых товаров, работ и услуг, стандартах качества товаров, работ и услуг (стандартах качества обслуживания потребителей товаров, работ и услуг) и процедур предоставления товаров, работ и услуг потребителям, а также о наличии в составе инвестиционного комитета при совете директоров субъектов естественных монополий представителей потребителей товаров, работ и услуг субъектов естественных монополий и независимых экспертов (закреплено в п. 2.6.10 Дорожной карты).</w:t>
            </w:r>
          </w:p>
        </w:tc>
      </w:tr>
    </w:tbl>
    <w:p w:rsidR="00A64028" w:rsidRPr="007417BA" w:rsidRDefault="00A64028" w:rsidP="00754B4E">
      <w:pPr>
        <w:spacing w:after="0" w:line="360" w:lineRule="auto"/>
        <w:ind w:firstLine="284"/>
        <w:jc w:val="both"/>
        <w:rPr>
          <w:rFonts w:ascii="Arial Narrow" w:hAnsi="Arial Narrow"/>
          <w:b/>
          <w:sz w:val="24"/>
          <w:szCs w:val="24"/>
          <w:u w:val="single"/>
        </w:rPr>
      </w:pPr>
      <w:r>
        <w:rPr>
          <w:rFonts w:ascii="Arial Narrow" w:hAnsi="Arial Narrow"/>
          <w:b/>
          <w:sz w:val="24"/>
          <w:szCs w:val="24"/>
          <w:u w:val="single"/>
        </w:rPr>
        <w:lastRenderedPageBreak/>
        <w:t xml:space="preserve">Часть 4. </w:t>
      </w:r>
      <w:r w:rsidRPr="007417BA">
        <w:rPr>
          <w:rFonts w:ascii="Arial Narrow" w:hAnsi="Arial Narrow"/>
          <w:b/>
          <w:sz w:val="24"/>
          <w:szCs w:val="24"/>
          <w:u w:val="single"/>
        </w:rPr>
        <w:t>Предложения по повышению удовлетворенности субъектов предпринимательства и населения Новосибирской области деятельностью субъектов естественных монополий на территории Новосибирской области на 2017 г.:</w:t>
      </w:r>
    </w:p>
    <w:p w:rsidR="00A64028" w:rsidRPr="00B07AB8" w:rsidRDefault="00A64028" w:rsidP="00754B4E">
      <w:pPr>
        <w:spacing w:after="0" w:line="360" w:lineRule="auto"/>
        <w:ind w:firstLine="284"/>
        <w:jc w:val="both"/>
        <w:rPr>
          <w:rFonts w:ascii="Arial Narrow" w:hAnsi="Arial Narrow"/>
          <w:b/>
          <w:sz w:val="24"/>
          <w:szCs w:val="24"/>
        </w:rPr>
      </w:pPr>
      <w:r>
        <w:rPr>
          <w:rFonts w:ascii="Arial Narrow" w:hAnsi="Arial Narrow"/>
          <w:b/>
          <w:sz w:val="24"/>
          <w:szCs w:val="24"/>
        </w:rPr>
        <w:t>46</w:t>
      </w:r>
      <w:r w:rsidRPr="00B07AB8">
        <w:rPr>
          <w:rFonts w:ascii="Arial Narrow" w:hAnsi="Arial Narrow"/>
          <w:b/>
          <w:sz w:val="24"/>
          <w:szCs w:val="24"/>
        </w:rPr>
        <w:t>. Проведение мероприятий по повышению удовлетворенности субъектов предпринимательства, взаимодействующих прямо или косвенно в экономической деятельности с субъектами естественных монополий, и потребителей товаров, работ и услуг субъектов естественных монополий (населения) качеством услуг, предоставляемых субъектами естественных монополий Новосибирской области:</w:t>
      </w:r>
    </w:p>
    <w:p w:rsidR="00A64028" w:rsidRPr="00B07AB8" w:rsidRDefault="00A64028" w:rsidP="00754B4E">
      <w:pPr>
        <w:spacing w:after="0" w:line="360" w:lineRule="auto"/>
        <w:ind w:firstLine="284"/>
        <w:jc w:val="both"/>
        <w:rPr>
          <w:rFonts w:ascii="Arial Narrow" w:hAnsi="Arial Narrow"/>
          <w:sz w:val="24"/>
          <w:szCs w:val="24"/>
        </w:rPr>
      </w:pPr>
      <w:r>
        <w:rPr>
          <w:rFonts w:ascii="Arial Narrow" w:hAnsi="Arial Narrow"/>
          <w:sz w:val="24"/>
          <w:szCs w:val="24"/>
        </w:rPr>
        <w:t>46</w:t>
      </w:r>
      <w:r w:rsidRPr="00B07AB8">
        <w:rPr>
          <w:rFonts w:ascii="Arial Narrow" w:hAnsi="Arial Narrow"/>
          <w:sz w:val="24"/>
          <w:szCs w:val="24"/>
        </w:rPr>
        <w:t>.1. Исполнение мероприятий «Комплекса мер («дорожная карта») по развитию жилищно-коммунального хозяйства Новосибирской области», утвержденного распоряжением Правительства Новосибирской области от 30.12.2014 № 500-рп.</w:t>
      </w:r>
    </w:p>
    <w:p w:rsidR="00A64028" w:rsidRPr="00B07AB8" w:rsidRDefault="00A64028" w:rsidP="00754B4E">
      <w:pPr>
        <w:spacing w:after="0" w:line="360" w:lineRule="auto"/>
        <w:ind w:firstLine="284"/>
        <w:jc w:val="both"/>
        <w:rPr>
          <w:rFonts w:ascii="Arial Narrow" w:hAnsi="Arial Narrow"/>
          <w:sz w:val="24"/>
          <w:szCs w:val="24"/>
        </w:rPr>
      </w:pPr>
      <w:r>
        <w:rPr>
          <w:rFonts w:ascii="Arial Narrow" w:hAnsi="Arial Narrow"/>
          <w:sz w:val="24"/>
          <w:szCs w:val="24"/>
        </w:rPr>
        <w:t>46</w:t>
      </w:r>
      <w:r w:rsidRPr="00B07AB8">
        <w:rPr>
          <w:rFonts w:ascii="Arial Narrow" w:hAnsi="Arial Narrow"/>
          <w:sz w:val="24"/>
          <w:szCs w:val="24"/>
        </w:rPr>
        <w:t>.2. Реализация законодательства Российской Федерации, решений Президента Российской Федерации и решений Правительства Российской Федерации в сфере жилищно-коммунального хозяйства в соответствии с пунктом 9.11 части 1 статьи 14 Федерального закона от 21.07.2007 № 185-ФЗ «О Фонде содействия реформированию жилищно-коммунального хозяйства».</w:t>
      </w:r>
    </w:p>
    <w:p w:rsidR="00A64028" w:rsidRPr="00B07AB8" w:rsidRDefault="00A64028" w:rsidP="00754B4E">
      <w:pPr>
        <w:spacing w:after="0" w:line="360" w:lineRule="auto"/>
        <w:ind w:firstLine="284"/>
        <w:jc w:val="both"/>
        <w:rPr>
          <w:rFonts w:ascii="Arial Narrow" w:hAnsi="Arial Narrow"/>
          <w:b/>
          <w:sz w:val="24"/>
          <w:szCs w:val="24"/>
        </w:rPr>
      </w:pPr>
      <w:r>
        <w:rPr>
          <w:rFonts w:ascii="Arial Narrow" w:hAnsi="Arial Narrow"/>
          <w:b/>
          <w:sz w:val="24"/>
          <w:szCs w:val="24"/>
        </w:rPr>
        <w:t>47</w:t>
      </w:r>
      <w:r w:rsidRPr="00B07AB8">
        <w:rPr>
          <w:rFonts w:ascii="Arial Narrow" w:hAnsi="Arial Narrow"/>
          <w:b/>
          <w:sz w:val="24"/>
          <w:szCs w:val="24"/>
        </w:rPr>
        <w:t>. Проведение ежегодной оценки удовлетворенности субъектов предпринимательства, взаимодействующих прямо или косвенно в экономической деятельности с субъектами естественных монополий, и потребителей товаров, работ и услуг субъектов естественных монополий (населения) отдельными характеристиками предоставляемых услуг для всех субъектов естественных монополий (включая железнодорожные пригородные межмуниципальные перевозки):</w:t>
      </w:r>
    </w:p>
    <w:p w:rsidR="00A64028" w:rsidRPr="00B07AB8" w:rsidRDefault="00A64028" w:rsidP="00754B4E">
      <w:pPr>
        <w:spacing w:after="0" w:line="360" w:lineRule="auto"/>
        <w:ind w:firstLine="284"/>
        <w:jc w:val="both"/>
        <w:rPr>
          <w:rFonts w:ascii="Arial Narrow" w:hAnsi="Arial Narrow"/>
          <w:sz w:val="24"/>
          <w:szCs w:val="24"/>
        </w:rPr>
      </w:pPr>
      <w:r w:rsidRPr="00B07AB8">
        <w:rPr>
          <w:rFonts w:ascii="Arial Narrow" w:hAnsi="Arial Narrow"/>
          <w:sz w:val="24"/>
          <w:szCs w:val="24"/>
        </w:rPr>
        <w:t xml:space="preserve">- качеством услуг, </w:t>
      </w:r>
    </w:p>
    <w:p w:rsidR="00A64028" w:rsidRPr="00B07AB8" w:rsidRDefault="00A64028" w:rsidP="00754B4E">
      <w:pPr>
        <w:spacing w:after="0" w:line="360" w:lineRule="auto"/>
        <w:ind w:firstLine="284"/>
        <w:jc w:val="both"/>
        <w:rPr>
          <w:rFonts w:ascii="Arial Narrow" w:hAnsi="Arial Narrow"/>
          <w:sz w:val="24"/>
          <w:szCs w:val="24"/>
        </w:rPr>
      </w:pPr>
      <w:r w:rsidRPr="00B07AB8">
        <w:rPr>
          <w:rFonts w:ascii="Arial Narrow" w:hAnsi="Arial Narrow"/>
          <w:sz w:val="24"/>
          <w:szCs w:val="24"/>
        </w:rPr>
        <w:t xml:space="preserve">- стоимостью услуг, </w:t>
      </w:r>
    </w:p>
    <w:p w:rsidR="00A64028" w:rsidRPr="00B07AB8" w:rsidRDefault="00A64028" w:rsidP="00754B4E">
      <w:pPr>
        <w:spacing w:after="0" w:line="360" w:lineRule="auto"/>
        <w:ind w:firstLine="284"/>
        <w:jc w:val="both"/>
        <w:rPr>
          <w:rFonts w:ascii="Arial Narrow" w:hAnsi="Arial Narrow"/>
          <w:sz w:val="24"/>
          <w:szCs w:val="24"/>
        </w:rPr>
      </w:pPr>
      <w:r w:rsidRPr="00B07AB8">
        <w:rPr>
          <w:rFonts w:ascii="Arial Narrow" w:hAnsi="Arial Narrow"/>
          <w:sz w:val="24"/>
          <w:szCs w:val="24"/>
        </w:rPr>
        <w:t>- для субъектов естественных монополий, предоставляющих услуги электроснабжения, теплоснабжения, газоснабжения, водоснабжения/водоотведения – стоимостью подключения, сложностью (количеством) процедур подключения, сроками получения доступа к услугам.</w:t>
      </w:r>
    </w:p>
    <w:p w:rsidR="00A64028" w:rsidRPr="00B07AB8" w:rsidRDefault="00A64028" w:rsidP="00754B4E">
      <w:pPr>
        <w:spacing w:after="0" w:line="360" w:lineRule="auto"/>
        <w:ind w:firstLine="284"/>
        <w:jc w:val="both"/>
        <w:rPr>
          <w:rFonts w:ascii="Arial Narrow" w:hAnsi="Arial Narrow"/>
          <w:sz w:val="24"/>
          <w:szCs w:val="24"/>
        </w:rPr>
      </w:pPr>
      <w:r w:rsidRPr="00B07AB8">
        <w:rPr>
          <w:rFonts w:ascii="Arial Narrow" w:hAnsi="Arial Narrow"/>
          <w:sz w:val="24"/>
          <w:szCs w:val="24"/>
        </w:rPr>
        <w:lastRenderedPageBreak/>
        <w:t>Дополнить перечень показателей установлением причин неудовлетворенности субъектов предпринимательства и потребителей (населения) каждой из оцениваемых характеристик.</w:t>
      </w:r>
    </w:p>
    <w:p w:rsidR="00A64028" w:rsidRPr="00B07AB8" w:rsidRDefault="00A64028" w:rsidP="00754B4E">
      <w:pPr>
        <w:spacing w:after="0" w:line="360" w:lineRule="auto"/>
        <w:ind w:firstLine="284"/>
        <w:jc w:val="both"/>
        <w:rPr>
          <w:rFonts w:ascii="Arial Narrow" w:hAnsi="Arial Narrow"/>
          <w:b/>
          <w:sz w:val="24"/>
          <w:szCs w:val="24"/>
        </w:rPr>
      </w:pPr>
      <w:r>
        <w:rPr>
          <w:rFonts w:ascii="Arial Narrow" w:hAnsi="Arial Narrow"/>
          <w:b/>
          <w:sz w:val="24"/>
          <w:szCs w:val="24"/>
        </w:rPr>
        <w:t>48</w:t>
      </w:r>
      <w:r w:rsidRPr="00B07AB8">
        <w:rPr>
          <w:rFonts w:ascii="Arial Narrow" w:hAnsi="Arial Narrow"/>
          <w:b/>
          <w:sz w:val="24"/>
          <w:szCs w:val="24"/>
        </w:rPr>
        <w:t>. Повышение информационной открытости деятельности естественных монополий Новосибирской области посредством размещения на официальных сайтах субъектов естественных монополий информации о своей деятельности, подлежащей раскрытию в соответствии с законодательством Российской Федерации (согласно п. 2.6.20 «Дорожной карты» достижения целевых значений показателей мероприятий по содействию развитию конкуренции на территории Новосибирской области до 2018 года, утв. Постановлением губернатора Новосибирской области от 15.06.2016 № 143), в том числе:</w:t>
      </w:r>
    </w:p>
    <w:p w:rsidR="00A64028" w:rsidRPr="00B07AB8" w:rsidRDefault="00A64028" w:rsidP="00754B4E">
      <w:pPr>
        <w:pStyle w:val="affffe"/>
        <w:widowControl w:val="0"/>
        <w:ind w:firstLine="284"/>
        <w:rPr>
          <w:rFonts w:ascii="Arial Narrow" w:hAnsi="Arial Narrow"/>
          <w:color w:val="000000"/>
          <w:sz w:val="24"/>
          <w:szCs w:val="24"/>
        </w:rPr>
      </w:pPr>
      <w:r w:rsidRPr="00B07AB8">
        <w:rPr>
          <w:rFonts w:ascii="Arial Narrow" w:hAnsi="Arial Narrow"/>
          <w:color w:val="000000"/>
          <w:sz w:val="24"/>
          <w:szCs w:val="24"/>
        </w:rPr>
        <w:t>- о реализуемых и планируемых к реализации на территории Новосибирской области инвестиционных программах, включая ключевые показатели эффективности реализации таких программ;</w:t>
      </w:r>
    </w:p>
    <w:p w:rsidR="00A64028" w:rsidRPr="00B07AB8" w:rsidRDefault="00A64028" w:rsidP="00754B4E">
      <w:pPr>
        <w:pStyle w:val="affffe"/>
        <w:widowControl w:val="0"/>
        <w:ind w:firstLine="284"/>
        <w:rPr>
          <w:rFonts w:ascii="Arial Narrow" w:hAnsi="Arial Narrow"/>
          <w:color w:val="000000"/>
          <w:sz w:val="24"/>
          <w:szCs w:val="24"/>
        </w:rPr>
      </w:pPr>
      <w:r w:rsidRPr="00B07AB8">
        <w:rPr>
          <w:rFonts w:ascii="Arial Narrow" w:hAnsi="Arial Narrow"/>
          <w:color w:val="000000"/>
          <w:sz w:val="24"/>
          <w:szCs w:val="24"/>
        </w:rPr>
        <w:t>- о результатах технологического и ценового аудита инвестиционных проектов с указанием экспертной организации, осуществляющей технологический и ценовой аудит, информации – о параметрах заключенного с такой экспертной организацией договора на проведение технологического и ценового аудита (техническое задание, цена договора, сроки исполнения этапов работ по договору), а также итоги экспертного обсуждения результатов технологического и ценового аудита представителями потребителей товаров, работ и услуг, задействованных в механизмах общественного контроля за деятельностью субъектов естественных монополий;</w:t>
      </w:r>
    </w:p>
    <w:p w:rsidR="00A64028" w:rsidRPr="00B07AB8" w:rsidRDefault="00A64028" w:rsidP="00754B4E">
      <w:pPr>
        <w:spacing w:after="0" w:line="360" w:lineRule="auto"/>
        <w:ind w:firstLine="284"/>
        <w:jc w:val="both"/>
        <w:rPr>
          <w:rFonts w:ascii="Arial Narrow" w:hAnsi="Arial Narrow"/>
          <w:sz w:val="24"/>
          <w:szCs w:val="24"/>
        </w:rPr>
      </w:pPr>
      <w:r w:rsidRPr="00B07AB8">
        <w:rPr>
          <w:rFonts w:ascii="Arial Narrow" w:hAnsi="Arial Narrow"/>
          <w:sz w:val="24"/>
          <w:szCs w:val="24"/>
        </w:rPr>
        <w:t>- о структуре тарифов на услуги (включая проект тарифной заявки), параметрах качества и надежности предоставляемых товаров, работ и услуг, стандартах качества товаров, работ и услуг (стандартах качества обслуживания потребителей товаров, работ и услуг) и процедур предоставления товаров, работ и услуг потребителям, а также о наличии в составе инвестиционного комитета при совете директоров субъектов естественных монополий представителей потребителей товаров, работ и услуг субъектов естественных монополий и независимых экспертов.</w:t>
      </w:r>
    </w:p>
    <w:p w:rsidR="00A64028" w:rsidRPr="00B07AB8" w:rsidRDefault="00A64028" w:rsidP="00754B4E">
      <w:pPr>
        <w:spacing w:after="0" w:line="360" w:lineRule="auto"/>
        <w:ind w:firstLine="284"/>
        <w:jc w:val="both"/>
        <w:rPr>
          <w:rFonts w:ascii="Arial Narrow" w:hAnsi="Arial Narrow"/>
          <w:b/>
          <w:sz w:val="24"/>
          <w:szCs w:val="24"/>
        </w:rPr>
      </w:pPr>
      <w:r>
        <w:rPr>
          <w:rFonts w:ascii="Arial Narrow" w:hAnsi="Arial Narrow"/>
          <w:b/>
          <w:sz w:val="24"/>
          <w:szCs w:val="24"/>
        </w:rPr>
        <w:t>49</w:t>
      </w:r>
      <w:r w:rsidRPr="00B07AB8">
        <w:rPr>
          <w:rFonts w:ascii="Arial Narrow" w:hAnsi="Arial Narrow"/>
          <w:b/>
          <w:sz w:val="24"/>
          <w:szCs w:val="24"/>
        </w:rPr>
        <w:t>. Сохранение ценовой доступности для населения Новосибирской области услуг пассажирского пригородного железнодорожного транспорта в результате государственного регулирования тарифов на перевозку пассажиров (согласно п. 17 Приложения к «Дорожной карте» достижения целевых значений показателей мероприятий по содействию развитию конкуренции на территории Новосибирской области до 2018 года).</w:t>
      </w:r>
    </w:p>
    <w:p w:rsidR="00A64028" w:rsidRPr="00B07AB8" w:rsidRDefault="00A64028" w:rsidP="00754B4E">
      <w:pPr>
        <w:spacing w:after="0" w:line="360" w:lineRule="auto"/>
        <w:ind w:firstLine="284"/>
        <w:jc w:val="both"/>
        <w:rPr>
          <w:rFonts w:ascii="Arial Narrow" w:hAnsi="Arial Narrow"/>
          <w:b/>
          <w:sz w:val="24"/>
          <w:szCs w:val="24"/>
        </w:rPr>
      </w:pPr>
      <w:r w:rsidRPr="00B07AB8">
        <w:rPr>
          <w:rFonts w:ascii="Arial Narrow" w:hAnsi="Arial Narrow"/>
          <w:b/>
          <w:sz w:val="24"/>
          <w:szCs w:val="24"/>
        </w:rPr>
        <w:t>5</w:t>
      </w:r>
      <w:r>
        <w:rPr>
          <w:rFonts w:ascii="Arial Narrow" w:hAnsi="Arial Narrow"/>
          <w:b/>
          <w:sz w:val="24"/>
          <w:szCs w:val="24"/>
        </w:rPr>
        <w:t>0</w:t>
      </w:r>
      <w:r w:rsidRPr="00B07AB8">
        <w:rPr>
          <w:rFonts w:ascii="Arial Narrow" w:hAnsi="Arial Narrow"/>
          <w:b/>
          <w:sz w:val="24"/>
          <w:szCs w:val="24"/>
        </w:rPr>
        <w:t>. Разработка мер, направленных на снижение барьеров при подключении услуг естественных монополий (электроснабжения, водоснабжения/водоотведения, газоснабжения, теплоснабжения), а именно: стоимости подключения, сроков подключения, сложности (количества) процедур подключения.</w:t>
      </w:r>
    </w:p>
    <w:p w:rsidR="00A64028" w:rsidRPr="00BC2E85" w:rsidRDefault="00A64028" w:rsidP="00754B4E">
      <w:pPr>
        <w:spacing w:after="0" w:line="360" w:lineRule="auto"/>
        <w:ind w:firstLine="284"/>
      </w:pPr>
    </w:p>
    <w:sectPr w:rsidR="00A64028" w:rsidRPr="00BC2E85" w:rsidSect="007E72DD">
      <w:headerReference w:type="default" r:id="rId111"/>
      <w:footerReference w:type="default" r:id="rId112"/>
      <w:pgSz w:w="11905" w:h="16837"/>
      <w:pgMar w:top="1134" w:right="567" w:bottom="1134" w:left="1701" w:header="856" w:footer="454" w:gutter="0"/>
      <w:pgNumType w:start="685"/>
      <w:cols w:space="720"/>
      <w:noEndnote/>
      <w:titlePg/>
      <w:docGrid w:linePitch="245"/>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07DD0D79"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6201B" w:rsidRDefault="0046201B">
      <w:pPr>
        <w:spacing w:after="0" w:line="240" w:lineRule="auto"/>
      </w:pPr>
      <w:r>
        <w:separator/>
      </w:r>
    </w:p>
  </w:endnote>
  <w:endnote w:type="continuationSeparator" w:id="0">
    <w:p w:rsidR="0046201B" w:rsidRDefault="0046201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libri Light">
    <w:charset w:val="CC"/>
    <w:family w:val="swiss"/>
    <w:pitch w:val="variable"/>
    <w:sig w:usb0="A00002EF" w:usb1="4000207B" w:usb2="00000000" w:usb3="00000000" w:csb0="0000019F" w:csb1="00000000"/>
  </w:font>
  <w:font w:name="Cambria">
    <w:panose1 w:val="02040503050406030204"/>
    <w:charset w:val="CC"/>
    <w:family w:val="roman"/>
    <w:pitch w:val="variable"/>
    <w:sig w:usb0="E00002FF" w:usb1="400004FF" w:usb2="00000000" w:usb3="00000000" w:csb0="0000019F" w:csb1="00000000"/>
  </w:font>
  <w:font w:name="Arial Black">
    <w:panose1 w:val="020B0A04020102020204"/>
    <w:charset w:val="CC"/>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CC"/>
    <w:family w:val="swiss"/>
    <w:pitch w:val="variable"/>
    <w:sig w:usb0="E0002AFF" w:usb1="C0007843" w:usb2="00000009" w:usb3="00000000" w:csb0="000001FF" w:csb1="00000000"/>
  </w:font>
  <w:font w:name="Sylfaen">
    <w:panose1 w:val="010A0502050306030303"/>
    <w:charset w:val="00"/>
    <w:family w:val="roman"/>
    <w:notTrueType/>
    <w:pitch w:val="variable"/>
    <w:sig w:usb0="00C00283" w:usb1="00000000" w:usb2="00000000" w:usb3="00000000" w:csb0="0000000D" w:csb1="00000000"/>
  </w:font>
  <w:font w:name="Segoe UI">
    <w:panose1 w:val="020B0502040204020203"/>
    <w:charset w:val="CC"/>
    <w:family w:val="swiss"/>
    <w:pitch w:val="variable"/>
    <w:sig w:usb0="E10022FF" w:usb1="C000E47F" w:usb2="00000029" w:usb3="00000000" w:csb0="000001DF" w:csb1="00000000"/>
  </w:font>
  <w:font w:name="Arial Narrow">
    <w:panose1 w:val="020B0606020202030204"/>
    <w:charset w:val="CC"/>
    <w:family w:val="swiss"/>
    <w:pitch w:val="variable"/>
    <w:sig w:usb0="00000287" w:usb1="00000800" w:usb2="00000000" w:usb3="00000000" w:csb0="0000009F" w:csb1="00000000"/>
  </w:font>
  <w:font w:name="NTHelvetica/Cyrillic">
    <w:altName w:val="Times New Roman"/>
    <w:charset w:val="00"/>
    <w:family w:val="auto"/>
    <w:pitch w:val="variable"/>
    <w:sig w:usb0="00000003" w:usb1="00000000" w:usb2="00000000" w:usb3="00000000" w:csb0="00000001" w:csb1="00000000"/>
  </w:font>
  <w:font w:name="PragmaticaC">
    <w:altName w:val="Courier New"/>
    <w:panose1 w:val="00000000000000000000"/>
    <w:charset w:val="00"/>
    <w:family w:val="decorative"/>
    <w:notTrueType/>
    <w:pitch w:val="variable"/>
    <w:sig w:usb0="00000003" w:usb1="00000000" w:usb2="00000000" w:usb3="00000000" w:csb0="00000001" w:csb1="00000000"/>
  </w:font>
  <w:font w:name="DejaVu Sans">
    <w:altName w:val="Calibri"/>
    <w:charset w:val="CC"/>
    <w:family w:val="swiss"/>
    <w:pitch w:val="variable"/>
    <w:sig w:usb0="E7002EFF" w:usb1="D200FDFF" w:usb2="0A246029" w:usb3="00000000" w:csb0="000001FF" w:csb1="00000000"/>
  </w:font>
  <w:font w:name="Verdana">
    <w:panose1 w:val="020B0604030504040204"/>
    <w:charset w:val="CC"/>
    <w:family w:val="swiss"/>
    <w:pitch w:val="variable"/>
    <w:sig w:usb0="A1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Arial Narrow" w:hAnsi="Arial Narrow"/>
        <w:sz w:val="20"/>
        <w:szCs w:val="20"/>
      </w:rPr>
      <w:id w:val="912170"/>
      <w:docPartObj>
        <w:docPartGallery w:val="Page Numbers (Bottom of Page)"/>
        <w:docPartUnique/>
      </w:docPartObj>
    </w:sdtPr>
    <w:sdtContent>
      <w:p w:rsidR="00130274" w:rsidRPr="00363A76" w:rsidRDefault="00B05934" w:rsidP="00363A76">
        <w:pPr>
          <w:pStyle w:val="aa"/>
          <w:jc w:val="center"/>
          <w:rPr>
            <w:rFonts w:ascii="Arial Narrow" w:hAnsi="Arial Narrow"/>
            <w:sz w:val="20"/>
            <w:szCs w:val="20"/>
          </w:rPr>
        </w:pPr>
        <w:r w:rsidRPr="000F6109">
          <w:rPr>
            <w:rFonts w:ascii="Arial Narrow" w:hAnsi="Arial Narrow"/>
            <w:sz w:val="22"/>
            <w:szCs w:val="22"/>
          </w:rPr>
          <w:fldChar w:fldCharType="begin"/>
        </w:r>
        <w:r w:rsidR="00130274" w:rsidRPr="000F6109">
          <w:rPr>
            <w:rFonts w:ascii="Arial Narrow" w:hAnsi="Arial Narrow"/>
            <w:sz w:val="22"/>
            <w:szCs w:val="22"/>
          </w:rPr>
          <w:instrText xml:space="preserve"> PAGE   \* MERGEFORMAT </w:instrText>
        </w:r>
        <w:r w:rsidRPr="000F6109">
          <w:rPr>
            <w:rFonts w:ascii="Arial Narrow" w:hAnsi="Arial Narrow"/>
            <w:sz w:val="22"/>
            <w:szCs w:val="22"/>
          </w:rPr>
          <w:fldChar w:fldCharType="separate"/>
        </w:r>
        <w:r w:rsidR="00740255">
          <w:rPr>
            <w:rFonts w:ascii="Arial Narrow" w:hAnsi="Arial Narrow"/>
            <w:noProof/>
            <w:sz w:val="22"/>
            <w:szCs w:val="22"/>
          </w:rPr>
          <w:t>657</w:t>
        </w:r>
        <w:r w:rsidRPr="000F6109">
          <w:rPr>
            <w:rFonts w:ascii="Arial Narrow" w:hAnsi="Arial Narrow"/>
            <w:sz w:val="22"/>
            <w:szCs w:val="22"/>
          </w:rPr>
          <w:fldChar w:fldCharType="end"/>
        </w:r>
      </w:p>
    </w:sdtContent>
  </w:sdt>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Arial Narrow" w:hAnsi="Arial Narrow"/>
        <w:color w:val="auto"/>
      </w:rPr>
      <w:id w:val="912171"/>
      <w:docPartObj>
        <w:docPartGallery w:val="Page Numbers (Bottom of Page)"/>
        <w:docPartUnique/>
      </w:docPartObj>
    </w:sdtPr>
    <w:sdtEndPr>
      <w:rPr>
        <w:sz w:val="22"/>
        <w:szCs w:val="22"/>
      </w:rPr>
    </w:sdtEndPr>
    <w:sdtContent>
      <w:p w:rsidR="00130274" w:rsidRPr="000F6109" w:rsidRDefault="00B05934" w:rsidP="000F6109">
        <w:pPr>
          <w:pStyle w:val="aa"/>
          <w:jc w:val="center"/>
          <w:rPr>
            <w:rFonts w:ascii="Arial Narrow" w:hAnsi="Arial Narrow"/>
            <w:color w:val="auto"/>
            <w:sz w:val="22"/>
            <w:szCs w:val="22"/>
          </w:rPr>
        </w:pPr>
        <w:r w:rsidRPr="00C51244">
          <w:rPr>
            <w:rStyle w:val="aff0"/>
            <w:color w:val="FFFFFF"/>
          </w:rPr>
          <w:fldChar w:fldCharType="begin"/>
        </w:r>
        <w:r w:rsidR="00130274" w:rsidRPr="00C51244">
          <w:rPr>
            <w:rStyle w:val="aff0"/>
            <w:color w:val="FFFFFF"/>
          </w:rPr>
          <w:instrText xml:space="preserve">PAGE  </w:instrText>
        </w:r>
        <w:r w:rsidRPr="00C51244">
          <w:rPr>
            <w:rStyle w:val="aff0"/>
            <w:color w:val="FFFFFF"/>
          </w:rPr>
          <w:fldChar w:fldCharType="separate"/>
        </w:r>
        <w:r w:rsidR="00740255">
          <w:rPr>
            <w:rStyle w:val="aff0"/>
            <w:noProof/>
            <w:color w:val="FFFFFF"/>
          </w:rPr>
          <w:t>675</w:t>
        </w:r>
        <w:r w:rsidRPr="00C51244">
          <w:rPr>
            <w:rStyle w:val="aff0"/>
            <w:color w:val="FFFFFF"/>
          </w:rPr>
          <w:fldChar w:fldCharType="end"/>
        </w:r>
        <w:r w:rsidRPr="000F6109">
          <w:rPr>
            <w:rFonts w:ascii="Arial Narrow" w:hAnsi="Arial Narrow"/>
            <w:color w:val="auto"/>
            <w:sz w:val="22"/>
            <w:szCs w:val="22"/>
          </w:rPr>
          <w:fldChar w:fldCharType="begin"/>
        </w:r>
        <w:r w:rsidR="00130274" w:rsidRPr="000F6109">
          <w:rPr>
            <w:rFonts w:ascii="Arial Narrow" w:hAnsi="Arial Narrow"/>
            <w:color w:val="auto"/>
            <w:sz w:val="22"/>
            <w:szCs w:val="22"/>
          </w:rPr>
          <w:instrText>PAGE   \* MERGEFORMAT</w:instrText>
        </w:r>
        <w:r w:rsidRPr="000F6109">
          <w:rPr>
            <w:rFonts w:ascii="Arial Narrow" w:hAnsi="Arial Narrow"/>
            <w:color w:val="auto"/>
            <w:sz w:val="22"/>
            <w:szCs w:val="22"/>
          </w:rPr>
          <w:fldChar w:fldCharType="separate"/>
        </w:r>
        <w:r w:rsidR="00740255">
          <w:rPr>
            <w:rFonts w:ascii="Arial Narrow" w:hAnsi="Arial Narrow"/>
            <w:noProof/>
            <w:color w:val="auto"/>
            <w:sz w:val="22"/>
            <w:szCs w:val="22"/>
          </w:rPr>
          <w:t>675</w:t>
        </w:r>
        <w:r w:rsidRPr="000F6109">
          <w:rPr>
            <w:rFonts w:ascii="Arial Narrow" w:hAnsi="Arial Narrow"/>
            <w:color w:val="auto"/>
            <w:sz w:val="22"/>
            <w:szCs w:val="22"/>
          </w:rPr>
          <w:fldChar w:fldCharType="end"/>
        </w:r>
      </w:p>
    </w:sdtContent>
  </w:sdt>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color w:val="auto"/>
      </w:rPr>
      <w:id w:val="912172"/>
      <w:docPartObj>
        <w:docPartGallery w:val="Page Numbers (Bottom of Page)"/>
        <w:docPartUnique/>
      </w:docPartObj>
    </w:sdtPr>
    <w:sdtContent>
      <w:p w:rsidR="00130274" w:rsidRDefault="00B05934" w:rsidP="000F6109">
        <w:pPr>
          <w:pStyle w:val="aa"/>
          <w:jc w:val="center"/>
        </w:pPr>
        <w:r w:rsidRPr="000F6109">
          <w:rPr>
            <w:rFonts w:ascii="Arial Narrow" w:hAnsi="Arial Narrow"/>
            <w:sz w:val="22"/>
            <w:szCs w:val="22"/>
          </w:rPr>
          <w:fldChar w:fldCharType="begin"/>
        </w:r>
        <w:r w:rsidR="00130274" w:rsidRPr="000F6109">
          <w:rPr>
            <w:rFonts w:ascii="Arial Narrow" w:hAnsi="Arial Narrow"/>
            <w:sz w:val="22"/>
            <w:szCs w:val="22"/>
          </w:rPr>
          <w:instrText>PAGE   \* MERGEFORMAT</w:instrText>
        </w:r>
        <w:r w:rsidRPr="000F6109">
          <w:rPr>
            <w:rFonts w:ascii="Arial Narrow" w:hAnsi="Arial Narrow"/>
            <w:sz w:val="22"/>
            <w:szCs w:val="22"/>
          </w:rPr>
          <w:fldChar w:fldCharType="separate"/>
        </w:r>
        <w:r w:rsidR="00740255">
          <w:rPr>
            <w:rFonts w:ascii="Arial Narrow" w:hAnsi="Arial Narrow"/>
            <w:noProof/>
            <w:sz w:val="22"/>
            <w:szCs w:val="22"/>
          </w:rPr>
          <w:t>674</w:t>
        </w:r>
        <w:r w:rsidRPr="000F6109">
          <w:rPr>
            <w:rFonts w:ascii="Arial Narrow" w:hAnsi="Arial Narrow"/>
            <w:sz w:val="22"/>
            <w:szCs w:val="22"/>
          </w:rPr>
          <w:fldChar w:fldCharType="end"/>
        </w:r>
      </w:p>
    </w:sdtContent>
  </w:sdt>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12173"/>
      <w:docPartObj>
        <w:docPartGallery w:val="Page Numbers (Bottom of Page)"/>
        <w:docPartUnique/>
      </w:docPartObj>
    </w:sdtPr>
    <w:sdtEndPr>
      <w:rPr>
        <w:rFonts w:ascii="Arial Narrow" w:hAnsi="Arial Narrow"/>
        <w:sz w:val="20"/>
        <w:szCs w:val="20"/>
      </w:rPr>
    </w:sdtEndPr>
    <w:sdtContent>
      <w:p w:rsidR="00130274" w:rsidRPr="004D5720" w:rsidRDefault="00B05934">
        <w:pPr>
          <w:pStyle w:val="aa"/>
          <w:jc w:val="center"/>
          <w:rPr>
            <w:rFonts w:ascii="Arial Narrow" w:hAnsi="Arial Narrow"/>
            <w:sz w:val="20"/>
            <w:szCs w:val="20"/>
          </w:rPr>
        </w:pPr>
        <w:r w:rsidRPr="00A43AC6">
          <w:rPr>
            <w:rFonts w:ascii="Arial Narrow" w:hAnsi="Arial Narrow"/>
            <w:sz w:val="24"/>
            <w:szCs w:val="24"/>
          </w:rPr>
          <w:fldChar w:fldCharType="begin"/>
        </w:r>
        <w:r w:rsidR="00130274" w:rsidRPr="00A43AC6">
          <w:rPr>
            <w:rFonts w:ascii="Arial Narrow" w:hAnsi="Arial Narrow"/>
            <w:sz w:val="24"/>
            <w:szCs w:val="24"/>
          </w:rPr>
          <w:instrText xml:space="preserve"> PAGE   \* MERGEFORMAT </w:instrText>
        </w:r>
        <w:r w:rsidRPr="00A43AC6">
          <w:rPr>
            <w:rFonts w:ascii="Arial Narrow" w:hAnsi="Arial Narrow"/>
            <w:sz w:val="24"/>
            <w:szCs w:val="24"/>
          </w:rPr>
          <w:fldChar w:fldCharType="separate"/>
        </w:r>
        <w:r w:rsidR="00740255">
          <w:rPr>
            <w:rFonts w:ascii="Arial Narrow" w:hAnsi="Arial Narrow"/>
            <w:noProof/>
            <w:sz w:val="24"/>
            <w:szCs w:val="24"/>
          </w:rPr>
          <w:t>686</w:t>
        </w:r>
        <w:r w:rsidRPr="00A43AC6">
          <w:rPr>
            <w:rFonts w:ascii="Arial Narrow" w:hAnsi="Arial Narrow"/>
            <w:sz w:val="24"/>
            <w:szCs w:val="24"/>
          </w:rPr>
          <w:fldChar w:fldCharType="end"/>
        </w:r>
      </w:p>
    </w:sdtContent>
  </w:sdt>
  <w:p w:rsidR="00130274" w:rsidRDefault="00130274" w:rsidP="00604653">
    <w:pPr>
      <w:pStyle w:val="aa"/>
      <w:jc w:val="right"/>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6201B" w:rsidRDefault="0046201B">
      <w:pPr>
        <w:spacing w:after="0" w:line="240" w:lineRule="auto"/>
      </w:pPr>
      <w:r>
        <w:separator/>
      </w:r>
    </w:p>
  </w:footnote>
  <w:footnote w:type="continuationSeparator" w:id="0">
    <w:p w:rsidR="0046201B" w:rsidRDefault="0046201B">
      <w:pPr>
        <w:spacing w:after="0" w:line="240" w:lineRule="auto"/>
      </w:pPr>
      <w:r>
        <w:continuationSeparator/>
      </w:r>
    </w:p>
  </w:footnote>
  <w:footnote w:id="1">
    <w:p w:rsidR="00130274" w:rsidRPr="00BB778A" w:rsidRDefault="00130274" w:rsidP="00B07AB8">
      <w:pPr>
        <w:pStyle w:val="af0"/>
        <w:jc w:val="both"/>
        <w:rPr>
          <w:rFonts w:ascii="Arial Narrow" w:hAnsi="Arial Narrow"/>
        </w:rPr>
      </w:pPr>
      <w:r w:rsidRPr="00BB778A">
        <w:rPr>
          <w:rStyle w:val="af2"/>
          <w:rFonts w:ascii="Arial Narrow" w:hAnsi="Arial Narrow"/>
        </w:rPr>
        <w:footnoteRef/>
      </w:r>
      <w:r w:rsidRPr="00BB778A">
        <w:rPr>
          <w:rFonts w:ascii="Arial Narrow" w:hAnsi="Arial Narrow"/>
        </w:rPr>
        <w:t xml:space="preserve"> Нумерация показателей соответствует нумерации в документе Показатели и инструментарий научно-исследовательской работы по теме: «Мониторинг состояния и развития конкурентной среды на рынках товаров, работ и услуг Новосибирской области за 2016 год» (также представлен в Приложении </w:t>
      </w:r>
      <w:r>
        <w:rPr>
          <w:rFonts w:ascii="Arial Narrow" w:hAnsi="Arial Narrow"/>
        </w:rPr>
        <w:t>8</w:t>
      </w:r>
      <w:r w:rsidRPr="00BB778A">
        <w:rPr>
          <w:rFonts w:ascii="Arial Narrow" w:hAnsi="Arial Narrow"/>
        </w:rPr>
        <w:t xml:space="preserve"> к настоящему отчету).</w:t>
      </w:r>
    </w:p>
  </w:footnote>
  <w:footnote w:id="2">
    <w:p w:rsidR="00130274" w:rsidRPr="00BB778A" w:rsidRDefault="00130274" w:rsidP="00B07AB8">
      <w:pPr>
        <w:pStyle w:val="af0"/>
        <w:jc w:val="both"/>
        <w:rPr>
          <w:rFonts w:ascii="Arial Narrow" w:hAnsi="Arial Narrow"/>
        </w:rPr>
      </w:pPr>
      <w:r w:rsidRPr="00BB778A">
        <w:rPr>
          <w:rStyle w:val="af2"/>
          <w:rFonts w:ascii="Arial Narrow" w:hAnsi="Arial Narrow"/>
        </w:rPr>
        <w:footnoteRef/>
      </w:r>
      <w:r w:rsidRPr="00BB778A">
        <w:rPr>
          <w:rFonts w:ascii="Arial Narrow" w:hAnsi="Arial Narrow"/>
        </w:rPr>
        <w:t xml:space="preserve"> Нумерация показателей соответствует нумерации в документе Показатели и инструментарий научно-исследовательской работы по теме: «Мониторинг состояния и развития конкурентной среды на рынках товаров, работ и услуг Новосибирской области за 2016 год» (также представлен в Приложении </w:t>
      </w:r>
      <w:r>
        <w:rPr>
          <w:rFonts w:ascii="Arial Narrow" w:hAnsi="Arial Narrow"/>
        </w:rPr>
        <w:t>8</w:t>
      </w:r>
      <w:r w:rsidRPr="00BB778A">
        <w:rPr>
          <w:rFonts w:ascii="Arial Narrow" w:hAnsi="Arial Narrow"/>
        </w:rPr>
        <w:t xml:space="preserve"> к настоящему отчету).</w:t>
      </w:r>
    </w:p>
  </w:footnote>
  <w:footnote w:id="3">
    <w:p w:rsidR="00130274" w:rsidRPr="00281482" w:rsidRDefault="00130274">
      <w:pPr>
        <w:pStyle w:val="af0"/>
        <w:rPr>
          <w:rFonts w:ascii="Arial Narrow" w:hAnsi="Arial Narrow"/>
        </w:rPr>
      </w:pPr>
      <w:r w:rsidRPr="00281482">
        <w:rPr>
          <w:rStyle w:val="af2"/>
          <w:rFonts w:ascii="Arial Narrow" w:hAnsi="Arial Narrow"/>
        </w:rPr>
        <w:footnoteRef/>
      </w:r>
      <w:r w:rsidRPr="00281482">
        <w:rPr>
          <w:rFonts w:ascii="Arial Narrow" w:hAnsi="Arial Narrow"/>
        </w:rPr>
        <w:t xml:space="preserve"> Оценены организации, ведущие деятельность на территории Новосибирской области (исключена одна организация, оказывающая услуги на территории Алтайского края).</w:t>
      </w:r>
    </w:p>
  </w:footnote>
  <w:footnote w:id="4">
    <w:p w:rsidR="00130274" w:rsidRPr="002C2B84" w:rsidRDefault="00130274" w:rsidP="00A64028">
      <w:pPr>
        <w:pStyle w:val="af0"/>
        <w:rPr>
          <w:rFonts w:ascii="Arial Narrow" w:hAnsi="Arial Narrow"/>
        </w:rPr>
      </w:pPr>
      <w:r w:rsidRPr="002C2B84">
        <w:rPr>
          <w:rStyle w:val="af2"/>
          <w:rFonts w:ascii="Arial Narrow" w:eastAsia="MS Mincho" w:hAnsi="Arial Narrow"/>
        </w:rPr>
        <w:footnoteRef/>
      </w:r>
      <w:r w:rsidRPr="002C2B84">
        <w:rPr>
          <w:rFonts w:ascii="Arial Narrow" w:hAnsi="Arial Narrow"/>
        </w:rPr>
        <w:t xml:space="preserve"> Федеральный закон от 05.04.2013 № 44-ФЗ «О контрактной системе в сфере закупок товаров, работ, услуг для обеспечения государственных и муниципальных нужд»</w:t>
      </w:r>
      <w:r>
        <w:rPr>
          <w:rFonts w:ascii="Arial Narrow" w:hAnsi="Arial Narrow"/>
        </w:rPr>
        <w:t>.</w:t>
      </w:r>
    </w:p>
  </w:footnote>
  <w:footnote w:id="5">
    <w:p w:rsidR="00130274" w:rsidRDefault="00130274" w:rsidP="00A64028">
      <w:pPr>
        <w:pStyle w:val="af0"/>
        <w:jc w:val="both"/>
        <w:rPr>
          <w:rFonts w:ascii="Arial Narrow" w:eastAsia="Calibri" w:hAnsi="Arial Narrow"/>
          <w:lang w:eastAsia="en-US"/>
        </w:rPr>
      </w:pPr>
      <w:r>
        <w:rPr>
          <w:rStyle w:val="af2"/>
          <w:rFonts w:ascii="Arial Narrow" w:hAnsi="Arial Narrow"/>
        </w:rPr>
        <w:footnoteRef/>
      </w:r>
      <w:r>
        <w:rPr>
          <w:rFonts w:ascii="Arial Narrow" w:hAnsi="Arial Narrow"/>
        </w:rPr>
        <w:t xml:space="preserve"> Нумерация показателей соответствует нумерации в документе «Показатели и инструментарий научно-исследовательской работы по теме: «Мониторинг состояния и развития конкурентной среды на рынках товаров, работ и услуг Новосибирской области за 2016 год» (также представлен в Приложении 1 к настоящему отчету).</w:t>
      </w:r>
    </w:p>
  </w:footnote>
  <w:footnote w:id="6">
    <w:p w:rsidR="00130274" w:rsidRDefault="00130274" w:rsidP="00A64028">
      <w:pPr>
        <w:pStyle w:val="af0"/>
        <w:jc w:val="both"/>
        <w:rPr>
          <w:rFonts w:ascii="Arial Narrow" w:hAnsi="Arial Narrow"/>
        </w:rPr>
      </w:pPr>
      <w:r>
        <w:rPr>
          <w:rStyle w:val="af2"/>
          <w:rFonts w:ascii="Arial Narrow" w:hAnsi="Arial Narrow"/>
        </w:rPr>
        <w:footnoteRef/>
      </w:r>
      <w:r>
        <w:rPr>
          <w:rFonts w:ascii="Arial Narrow" w:hAnsi="Arial Narrow"/>
        </w:rPr>
        <w:t xml:space="preserve"> Нумерация показателей соответствует нумерации в документе Показатели и инструментарий научно-исследовательской работы по теме: «Мониторинг состояния и развития конкурентной среды на рынках товаров, работ и услуг Новосибирской области за 2016 год» (также представлен в Приложении 1 к настоящему отчету).</w:t>
      </w:r>
    </w:p>
  </w:footnote>
  <w:footnote w:id="7">
    <w:p w:rsidR="00130274" w:rsidRDefault="00130274" w:rsidP="00A64028">
      <w:pPr>
        <w:pStyle w:val="af0"/>
        <w:jc w:val="both"/>
        <w:rPr>
          <w:rFonts w:ascii="Arial Narrow" w:hAnsi="Arial Narrow"/>
        </w:rPr>
      </w:pPr>
      <w:r>
        <w:rPr>
          <w:rStyle w:val="af2"/>
          <w:rFonts w:ascii="Arial Narrow" w:hAnsi="Arial Narrow"/>
        </w:rPr>
        <w:footnoteRef/>
      </w:r>
      <w:r>
        <w:rPr>
          <w:rFonts w:ascii="Arial Narrow" w:hAnsi="Arial Narrow"/>
        </w:rPr>
        <w:t xml:space="preserve"> Нумерация показателей соответствует нумерации в документе Показатели и инструментарий научно-исследовательской работы по теме: «Мониторинг состояния и развития конкурентной среды на рынках товаров, работ и услуг Новосибирской области за 2016 год» (также представлен в Приложении 1 к настоящему отчету).</w:t>
      </w:r>
    </w:p>
  </w:footnote>
  <w:footnote w:id="8">
    <w:p w:rsidR="00130274" w:rsidRPr="00281482" w:rsidRDefault="00130274" w:rsidP="00796DD7">
      <w:pPr>
        <w:pStyle w:val="af0"/>
        <w:rPr>
          <w:rFonts w:ascii="Arial Narrow" w:hAnsi="Arial Narrow"/>
        </w:rPr>
      </w:pPr>
      <w:r w:rsidRPr="00281482">
        <w:rPr>
          <w:rStyle w:val="af2"/>
          <w:rFonts w:ascii="Arial Narrow" w:hAnsi="Arial Narrow"/>
        </w:rPr>
        <w:footnoteRef/>
      </w:r>
      <w:r w:rsidRPr="00281482">
        <w:rPr>
          <w:rFonts w:ascii="Arial Narrow" w:hAnsi="Arial Narrow"/>
        </w:rPr>
        <w:t xml:space="preserve"> Оценены организации, ведущие деятельность на территории Новосибирской области (исключена одна организация, оказывающая услуги на территории Алтайского края).</w:t>
      </w:r>
    </w:p>
  </w:footnote>
  <w:footnote w:id="9">
    <w:p w:rsidR="00130274" w:rsidRDefault="00130274" w:rsidP="00A64028">
      <w:pPr>
        <w:pStyle w:val="af0"/>
        <w:rPr>
          <w:rFonts w:ascii="Arial Narrow" w:hAnsi="Arial Narrow"/>
        </w:rPr>
      </w:pPr>
      <w:r>
        <w:rPr>
          <w:rStyle w:val="af2"/>
          <w:rFonts w:ascii="Arial Narrow" w:hAnsi="Arial Narrow"/>
        </w:rPr>
        <w:footnoteRef/>
      </w:r>
      <w:r>
        <w:rPr>
          <w:rFonts w:ascii="Arial Narrow" w:hAnsi="Arial Narrow"/>
        </w:rPr>
        <w:t xml:space="preserve"> Утв. постановлением Губернатора Новосибирской области от 15.06.2017 № 143. Далее – Дорожная карта.</w:t>
      </w:r>
    </w:p>
  </w:footnote>
  <w:footnote w:id="10">
    <w:p w:rsidR="00130274" w:rsidRDefault="00130274" w:rsidP="00A64028">
      <w:pPr>
        <w:pStyle w:val="af0"/>
        <w:rPr>
          <w:rFonts w:ascii="Arial Narrow" w:hAnsi="Arial Narrow"/>
        </w:rPr>
      </w:pPr>
      <w:r>
        <w:rPr>
          <w:rStyle w:val="af2"/>
          <w:rFonts w:ascii="Arial Narrow" w:hAnsi="Arial Narrow"/>
        </w:rPr>
        <w:footnoteRef/>
      </w:r>
      <w:r>
        <w:rPr>
          <w:rFonts w:ascii="Arial Narrow" w:hAnsi="Arial Narrow"/>
        </w:rPr>
        <w:t xml:space="preserve"> Утв. постановлением Губернатора Новосибирской области от 15.06.2017 № 143. Далее – Дорожная карта.</w:t>
      </w:r>
    </w:p>
  </w:footnote>
  <w:footnote w:id="11">
    <w:p w:rsidR="00130274" w:rsidRDefault="00130274" w:rsidP="00A64028">
      <w:pPr>
        <w:pStyle w:val="af0"/>
        <w:rPr>
          <w:rFonts w:ascii="Arial Narrow" w:hAnsi="Arial Narrow"/>
        </w:rPr>
      </w:pPr>
      <w:r>
        <w:rPr>
          <w:rStyle w:val="af2"/>
          <w:rFonts w:ascii="Arial Narrow" w:hAnsi="Arial Narrow"/>
        </w:rPr>
        <w:footnoteRef/>
      </w:r>
      <w:r>
        <w:rPr>
          <w:rFonts w:ascii="Arial Narrow" w:hAnsi="Arial Narrow"/>
        </w:rPr>
        <w:t xml:space="preserve"> Утв. постановлением Губернатора Новосибирской области от 15.06.2017 № 143. Далее – Дорожная карта.</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30274" w:rsidRDefault="00B05934">
    <w:pPr>
      <w:pStyle w:val="a8"/>
    </w:pPr>
    <w:r>
      <w:rPr>
        <w:noProof/>
      </w:rPr>
      <w:pict>
        <v:shapetype id="_x0000_t202" coordsize="21600,21600" o:spt="202" path="m,l,21600r21600,l21600,xe">
          <v:stroke joinstyle="miter"/>
          <v:path gradientshapeok="t" o:connecttype="rect"/>
        </v:shapetype>
        <v:shape id="_x0000_s2054" type="#_x0000_t202" style="position:absolute;margin-left:71.95pt;margin-top:-18.95pt;width:410.05pt;height:22.55pt;z-index:25166233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" filled="f" stroked="f">
          <v:textbox style="mso-next-textbox:#_x0000_s2054">
            <w:txbxContent>
              <w:p w:rsidR="00130274" w:rsidRPr="00644196" w:rsidRDefault="00130274" w:rsidP="007E72DD">
                <w:pPr>
                  <w:jc w:val="right"/>
                  <w:rPr>
                    <w:rFonts w:ascii="Arial Narrow" w:hAnsi="Arial Narrow"/>
                    <w:b/>
                    <w:color w:val="595959"/>
                    <w:sz w:val="14"/>
                    <w:szCs w:val="14"/>
                  </w:rPr>
                </w:pPr>
                <w:r w:rsidRPr="00644196">
                  <w:rPr>
                    <w:rFonts w:ascii="Arial Narrow" w:hAnsi="Arial Narrow"/>
                    <w:b/>
                    <w:color w:val="595959"/>
                    <w:sz w:val="14"/>
                    <w:szCs w:val="14"/>
                  </w:rPr>
                  <w:t xml:space="preserve">+7 (342) 209-59-00     </w:t>
                </w:r>
                <w:r w:rsidRPr="00ED0DC6">
                  <w:rPr>
                    <w:rFonts w:ascii="Arial Narrow" w:hAnsi="Arial Narrow"/>
                    <w:b/>
                    <w:color w:val="693368"/>
                    <w:sz w:val="14"/>
                    <w:szCs w:val="14"/>
                  </w:rPr>
                  <w:sym w:font="Symbol" w:char="F0EF"/>
                </w:r>
                <w:r w:rsidRPr="00644196">
                  <w:rPr>
                    <w:rFonts w:ascii="Arial Narrow" w:hAnsi="Arial Narrow"/>
                    <w:b/>
                    <w:color w:val="595959"/>
                    <w:sz w:val="14"/>
                    <w:szCs w:val="14"/>
                  </w:rPr>
                  <w:t xml:space="preserve">      SIS-CORPORATION.RU    </w:t>
                </w:r>
                <w:r w:rsidRPr="00ED0DC6">
                  <w:rPr>
                    <w:rFonts w:ascii="Arial Narrow" w:hAnsi="Arial Narrow"/>
                    <w:b/>
                    <w:color w:val="693368"/>
                    <w:sz w:val="14"/>
                    <w:szCs w:val="14"/>
                  </w:rPr>
                  <w:sym w:font="Symbol" w:char="F0EF"/>
                </w:r>
                <w:r w:rsidRPr="00644196">
                  <w:rPr>
                    <w:rFonts w:ascii="Arial Narrow" w:hAnsi="Arial Narrow"/>
                    <w:b/>
                    <w:color w:val="595959"/>
                    <w:sz w:val="14"/>
                    <w:szCs w:val="14"/>
                  </w:rPr>
                  <w:t xml:space="preserve">    ООО «ИССЛЕДОВАТЕЛЬСКАЯ КОМПАНИЯ «ЭС АЙ ЭС КОРПОРЕЙШН»</w:t>
                </w:r>
              </w:p>
            </w:txbxContent>
          </v:textbox>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30274" w:rsidRDefault="00130274">
    <w:r>
      <w:cr/>
    </w:r>
  </w:p>
  <w:p w:rsidR="00130274" w:rsidRDefault="00130274"/>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30274" w:rsidRDefault="00B05934" w:rsidP="00A45259">
    <w:pPr>
      <w:spacing w:after="0" w:line="240" w:lineRule="auto"/>
      <w:jc w:val="center"/>
    </w:pPr>
    <w:r>
      <w:rPr>
        <w:noProof/>
      </w:rPr>
      <w:pict>
        <v:shapetype id="_x0000_t202" coordsize="21600,21600" o:spt="202" path="m,l,21600r21600,l21600,xe">
          <v:stroke joinstyle="miter"/>
          <v:path gradientshapeok="t" o:connecttype="rect"/>
        </v:shapetype>
        <v:shape id="_x0000_s2052" type="#_x0000_t202" style="position:absolute;left:0;text-align:left;margin-left:68.95pt;margin-top:-18.2pt;width:410.05pt;height:22.55pt;z-index:2516602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" filled="f" stroked="f">
          <v:textbox style="mso-next-textbox:#_x0000_s2052">
            <w:txbxContent>
              <w:p w:rsidR="00130274" w:rsidRPr="00644196" w:rsidRDefault="00130274" w:rsidP="00A64028">
                <w:pPr>
                  <w:jc w:val="right"/>
                  <w:rPr>
                    <w:rFonts w:ascii="Arial Narrow" w:hAnsi="Arial Narrow"/>
                    <w:b/>
                    <w:color w:val="595959"/>
                    <w:sz w:val="14"/>
                    <w:szCs w:val="14"/>
                  </w:rPr>
                </w:pPr>
                <w:r w:rsidRPr="00644196">
                  <w:rPr>
                    <w:rFonts w:ascii="Arial Narrow" w:hAnsi="Arial Narrow"/>
                    <w:b/>
                    <w:color w:val="595959"/>
                    <w:sz w:val="14"/>
                    <w:szCs w:val="14"/>
                  </w:rPr>
                  <w:t xml:space="preserve">+7 (342) 209-59-00     </w:t>
                </w:r>
                <w:r w:rsidRPr="00ED0DC6">
                  <w:rPr>
                    <w:rFonts w:ascii="Arial Narrow" w:hAnsi="Arial Narrow"/>
                    <w:b/>
                    <w:color w:val="693368"/>
                    <w:sz w:val="14"/>
                    <w:szCs w:val="14"/>
                  </w:rPr>
                  <w:sym w:font="Symbol" w:char="F0EF"/>
                </w:r>
                <w:r w:rsidRPr="00644196">
                  <w:rPr>
                    <w:rFonts w:ascii="Arial Narrow" w:hAnsi="Arial Narrow"/>
                    <w:b/>
                    <w:color w:val="595959"/>
                    <w:sz w:val="14"/>
                    <w:szCs w:val="14"/>
                  </w:rPr>
                  <w:t xml:space="preserve">      SIS-CORPORATION.RU    </w:t>
                </w:r>
                <w:r w:rsidRPr="00ED0DC6">
                  <w:rPr>
                    <w:rFonts w:ascii="Arial Narrow" w:hAnsi="Arial Narrow"/>
                    <w:b/>
                    <w:color w:val="693368"/>
                    <w:sz w:val="14"/>
                    <w:szCs w:val="14"/>
                  </w:rPr>
                  <w:sym w:font="Symbol" w:char="F0EF"/>
                </w:r>
                <w:r w:rsidRPr="00644196">
                  <w:rPr>
                    <w:rFonts w:ascii="Arial Narrow" w:hAnsi="Arial Narrow"/>
                    <w:b/>
                    <w:color w:val="595959"/>
                    <w:sz w:val="14"/>
                    <w:szCs w:val="14"/>
                  </w:rPr>
                  <w:t xml:space="preserve">    ООО «ИССЛЕДОВАТЕЛЬСКАЯ КОМПАНИЯ «ЭС АЙ ЭС КОРПОРЕЙШН»</w:t>
                </w:r>
              </w:p>
            </w:txbxContent>
          </v:textbox>
        </v:shape>
      </w:pic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30274" w:rsidRPr="00644196" w:rsidRDefault="00B05934" w:rsidP="00A45259">
    <w:pPr>
      <w:spacing w:after="0" w:line="240" w:lineRule="auto"/>
      <w:jc w:val="right"/>
    </w:pPr>
    <w:r>
      <w:rPr>
        <w:noProof/>
      </w:rPr>
      <w:pict>
        <v:shapetype id="_x0000_t202" coordsize="21600,21600" o:spt="202" path="m,l,21600r21600,l21600,xe">
          <v:stroke joinstyle="miter"/>
          <v:path gradientshapeok="t" o:connecttype="rect"/>
        </v:shapetype>
        <v:shape id="_x0000_s2053" type="#_x0000_t202" style="position:absolute;left:0;text-align:left;margin-left:80.95pt;margin-top:-25.55pt;width:410.05pt;height:22.55pt;z-index:2516613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" filled="f" stroked="f">
          <v:textbox style="mso-next-textbox:#_x0000_s2053">
            <w:txbxContent>
              <w:p w:rsidR="00130274" w:rsidRPr="00644196" w:rsidRDefault="00130274" w:rsidP="00A64028">
                <w:pPr>
                  <w:jc w:val="right"/>
                  <w:rPr>
                    <w:rFonts w:ascii="Arial Narrow" w:hAnsi="Arial Narrow"/>
                    <w:b/>
                    <w:color w:val="595959"/>
                    <w:sz w:val="14"/>
                    <w:szCs w:val="14"/>
                  </w:rPr>
                </w:pPr>
                <w:r w:rsidRPr="00644196">
                  <w:rPr>
                    <w:rFonts w:ascii="Arial Narrow" w:hAnsi="Arial Narrow"/>
                    <w:b/>
                    <w:color w:val="595959"/>
                    <w:sz w:val="14"/>
                    <w:szCs w:val="14"/>
                  </w:rPr>
                  <w:t xml:space="preserve">+7 (342) 209-59-00     </w:t>
                </w:r>
                <w:r w:rsidRPr="00ED0DC6">
                  <w:rPr>
                    <w:rFonts w:ascii="Arial Narrow" w:hAnsi="Arial Narrow"/>
                    <w:b/>
                    <w:color w:val="693368"/>
                    <w:sz w:val="14"/>
                    <w:szCs w:val="14"/>
                  </w:rPr>
                  <w:sym w:font="Symbol" w:char="F0EF"/>
                </w:r>
                <w:r w:rsidRPr="00644196">
                  <w:rPr>
                    <w:rFonts w:ascii="Arial Narrow" w:hAnsi="Arial Narrow"/>
                    <w:b/>
                    <w:color w:val="595959"/>
                    <w:sz w:val="14"/>
                    <w:szCs w:val="14"/>
                  </w:rPr>
                  <w:t xml:space="preserve">      SIS-CORPORATION.RU    </w:t>
                </w:r>
                <w:r w:rsidRPr="00ED0DC6">
                  <w:rPr>
                    <w:rFonts w:ascii="Arial Narrow" w:hAnsi="Arial Narrow"/>
                    <w:b/>
                    <w:color w:val="693368"/>
                    <w:sz w:val="14"/>
                    <w:szCs w:val="14"/>
                  </w:rPr>
                  <w:sym w:font="Symbol" w:char="F0EF"/>
                </w:r>
                <w:r w:rsidRPr="00644196">
                  <w:rPr>
                    <w:rFonts w:ascii="Arial Narrow" w:hAnsi="Arial Narrow"/>
                    <w:b/>
                    <w:color w:val="595959"/>
                    <w:sz w:val="14"/>
                    <w:szCs w:val="14"/>
                  </w:rPr>
                  <w:t xml:space="preserve">    ООО «ИССЛЕДОВАТЕЛЬСКАЯ КОМПАНИЯ «ЭС АЙ ЭС КОРПОРЕЙШН»</w:t>
                </w:r>
              </w:p>
            </w:txbxContent>
          </v:textbox>
        </v:shape>
      </w:pic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30274" w:rsidRDefault="00B05934">
    <w:pPr>
      <w:pStyle w:val="a8"/>
    </w:pPr>
    <w:r>
      <w:rPr>
        <w:noProof/>
      </w:rPr>
      <w:pict>
        <v:shapetype id="_x0000_t202" coordsize="21600,21600" o:spt="202" path="m,l,21600r21600,l21600,xe">
          <v:stroke joinstyle="miter"/>
          <v:path gradientshapeok="t" o:connecttype="rect"/>
        </v:shapetype>
        <v:shape id="Поле 3" o:spid="_x0000_s2050" type="#_x0000_t202" style="position:absolute;margin-left:79pt;margin-top:-34.5pt;width:410.05pt;height:32pt;z-index:25165824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" filled="f" stroked="f">
          <v:textbox style="mso-next-textbox:#Поле 3">
            <w:txbxContent>
              <w:p w:rsidR="00130274" w:rsidRDefault="00130274" w:rsidP="004D5720">
                <w:pPr>
                  <w:jc w:val="right"/>
                  <w:rPr>
                    <w:rFonts w:ascii="Arial Narrow" w:hAnsi="Arial Narrow"/>
                    <w:b/>
                    <w:color w:val="595959" w:themeColor="text1" w:themeTint="A6"/>
                    <w:sz w:val="14"/>
                    <w:szCs w:val="14"/>
                  </w:rPr>
                </w:pPr>
              </w:p>
              <w:p w:rsidR="00130274" w:rsidRDefault="00130274" w:rsidP="004D5720">
                <w:pPr>
                  <w:jc w:val="right"/>
                  <w:rPr>
                    <w:rFonts w:ascii="Arial Narrow" w:hAnsi="Arial Narrow"/>
                    <w:b/>
                    <w:color w:val="595959" w:themeColor="text1" w:themeTint="A6"/>
                    <w:sz w:val="14"/>
                    <w:szCs w:val="14"/>
                  </w:rPr>
                </w:pPr>
                <w:r>
                  <w:rPr>
                    <w:rFonts w:ascii="Arial Narrow" w:hAnsi="Arial Narrow"/>
                    <w:b/>
                    <w:color w:val="595959" w:themeColor="text1" w:themeTint="A6"/>
                    <w:sz w:val="14"/>
                    <w:szCs w:val="14"/>
                  </w:rPr>
                  <w:t xml:space="preserve">+7 (342) 209-59-00     </w:t>
                </w:r>
                <w:r>
                  <w:rPr>
                    <w:rFonts w:ascii="Arial Narrow" w:hAnsi="Arial Narrow"/>
                    <w:b/>
                    <w:color w:val="693368"/>
                    <w:sz w:val="14"/>
                    <w:szCs w:val="14"/>
                  </w:rPr>
                  <w:sym w:font="Symbol" w:char="F0EF"/>
                </w:r>
                <w:r>
                  <w:rPr>
                    <w:rFonts w:ascii="Arial Narrow" w:hAnsi="Arial Narrow"/>
                    <w:b/>
                    <w:color w:val="595959" w:themeColor="text1" w:themeTint="A6"/>
                    <w:sz w:val="14"/>
                    <w:szCs w:val="14"/>
                  </w:rPr>
                  <w:t xml:space="preserve">      SIS-CORPORATION.RU    </w:t>
                </w:r>
                <w:r>
                  <w:rPr>
                    <w:rFonts w:ascii="Arial Narrow" w:hAnsi="Arial Narrow"/>
                    <w:b/>
                    <w:color w:val="693368"/>
                    <w:sz w:val="14"/>
                    <w:szCs w:val="14"/>
                  </w:rPr>
                  <w:sym w:font="Symbol" w:char="F0EF"/>
                </w:r>
                <w:r>
                  <w:rPr>
                    <w:rFonts w:ascii="Arial Narrow" w:hAnsi="Arial Narrow"/>
                    <w:b/>
                    <w:color w:val="595959" w:themeColor="text1" w:themeTint="A6"/>
                    <w:sz w:val="14"/>
                    <w:szCs w:val="14"/>
                  </w:rPr>
                  <w:t xml:space="preserve">    ООО «ИССЛЕДОВАТЕЛЬСКАЯ КОМПАНИЯ «ЭС АЙ ЭС КОРПОРЕЙШН»</w:t>
                </w:r>
              </w:p>
            </w:txbxContent>
          </v:textbox>
        </v:shape>
      </w:pict>
    </w:r>
  </w:p>
  <w:p w:rsidR="00130274" w:rsidRDefault="00130274">
    <w:pPr>
      <w:pStyle w:val="a8"/>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CE44AD48"/>
    <w:lvl w:ilvl="0">
      <w:start w:val="1"/>
      <w:numFmt w:val="bullet"/>
      <w:pStyle w:val="a"/>
      <w:lvlText w:val=""/>
      <w:lvlJc w:val="left"/>
      <w:pPr>
        <w:tabs>
          <w:tab w:val="num" w:pos="360"/>
        </w:tabs>
        <w:ind w:left="360" w:hanging="360"/>
      </w:pPr>
      <w:rPr>
        <w:rFonts w:ascii="Symbol" w:hAnsi="Symbol" w:hint="default"/>
      </w:rPr>
    </w:lvl>
  </w:abstractNum>
  <w:abstractNum w:abstractNumId="1">
    <w:nsid w:val="017A4E0D"/>
    <w:multiLevelType w:val="hybridMultilevel"/>
    <w:tmpl w:val="3FD4024A"/>
    <w:lvl w:ilvl="0" w:tplc="973A075E">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
    <w:nsid w:val="024C4BE3"/>
    <w:multiLevelType w:val="hybridMultilevel"/>
    <w:tmpl w:val="F22C13A4"/>
    <w:lvl w:ilvl="0" w:tplc="973A075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
    <w:nsid w:val="0339550A"/>
    <w:multiLevelType w:val="hybridMultilevel"/>
    <w:tmpl w:val="81F2B550"/>
    <w:lvl w:ilvl="0" w:tplc="816814FC">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
    <w:nsid w:val="0A076497"/>
    <w:multiLevelType w:val="hybridMultilevel"/>
    <w:tmpl w:val="6BE80CF8"/>
    <w:lvl w:ilvl="0" w:tplc="973A075E">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5">
    <w:nsid w:val="0ACC6C4B"/>
    <w:multiLevelType w:val="hybridMultilevel"/>
    <w:tmpl w:val="4A94A362"/>
    <w:lvl w:ilvl="0" w:tplc="4B985D06">
      <w:start w:val="1"/>
      <w:numFmt w:val="decimal"/>
      <w:lvlText w:val="%1."/>
      <w:lvlJc w:val="left"/>
      <w:pPr>
        <w:ind w:left="12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B415C95"/>
    <w:multiLevelType w:val="hybridMultilevel"/>
    <w:tmpl w:val="EDEC3998"/>
    <w:lvl w:ilvl="0" w:tplc="973A075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0C17050B"/>
    <w:multiLevelType w:val="hybridMultilevel"/>
    <w:tmpl w:val="C980B4B0"/>
    <w:lvl w:ilvl="0" w:tplc="8A984B3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8">
    <w:nsid w:val="0DC56632"/>
    <w:multiLevelType w:val="hybridMultilevel"/>
    <w:tmpl w:val="9496E430"/>
    <w:lvl w:ilvl="0" w:tplc="973A075E">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9">
    <w:nsid w:val="10472A0A"/>
    <w:multiLevelType w:val="hybridMultilevel"/>
    <w:tmpl w:val="D3FE4DF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28F3B03"/>
    <w:multiLevelType w:val="hybridMultilevel"/>
    <w:tmpl w:val="4F20EB20"/>
    <w:lvl w:ilvl="0" w:tplc="973A075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1">
    <w:nsid w:val="17142130"/>
    <w:multiLevelType w:val="hybridMultilevel"/>
    <w:tmpl w:val="E3C0C0E6"/>
    <w:lvl w:ilvl="0" w:tplc="973A075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185C3A98"/>
    <w:multiLevelType w:val="hybridMultilevel"/>
    <w:tmpl w:val="2BEA1204"/>
    <w:lvl w:ilvl="0" w:tplc="973A075E">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3">
    <w:nsid w:val="1C2C0C14"/>
    <w:multiLevelType w:val="hybridMultilevel"/>
    <w:tmpl w:val="34E6A788"/>
    <w:lvl w:ilvl="0" w:tplc="973A075E">
      <w:start w:val="1"/>
      <w:numFmt w:val="bullet"/>
      <w:lvlText w:val=""/>
      <w:lvlJc w:val="left"/>
      <w:pPr>
        <w:ind w:left="1004" w:hanging="360"/>
      </w:pPr>
      <w:rPr>
        <w:rFonts w:ascii="Symbol" w:hAnsi="Symbol" w:hint="default"/>
      </w:rPr>
    </w:lvl>
    <w:lvl w:ilvl="1" w:tplc="04190003">
      <w:start w:val="1"/>
      <w:numFmt w:val="bullet"/>
      <w:lvlText w:val="o"/>
      <w:lvlJc w:val="left"/>
      <w:pPr>
        <w:ind w:left="1724" w:hanging="360"/>
      </w:pPr>
      <w:rPr>
        <w:rFonts w:ascii="Courier New" w:hAnsi="Courier New" w:cs="Courier New" w:hint="default"/>
      </w:rPr>
    </w:lvl>
    <w:lvl w:ilvl="2" w:tplc="04190005">
      <w:start w:val="1"/>
      <w:numFmt w:val="bullet"/>
      <w:lvlText w:val=""/>
      <w:lvlJc w:val="left"/>
      <w:pPr>
        <w:ind w:left="2444" w:hanging="360"/>
      </w:pPr>
      <w:rPr>
        <w:rFonts w:ascii="Wingdings" w:hAnsi="Wingdings" w:hint="default"/>
      </w:rPr>
    </w:lvl>
    <w:lvl w:ilvl="3" w:tplc="04190001">
      <w:start w:val="1"/>
      <w:numFmt w:val="bullet"/>
      <w:lvlText w:val=""/>
      <w:lvlJc w:val="left"/>
      <w:pPr>
        <w:ind w:left="3164" w:hanging="360"/>
      </w:pPr>
      <w:rPr>
        <w:rFonts w:ascii="Symbol" w:hAnsi="Symbol" w:hint="default"/>
      </w:rPr>
    </w:lvl>
    <w:lvl w:ilvl="4" w:tplc="04190003">
      <w:start w:val="1"/>
      <w:numFmt w:val="bullet"/>
      <w:lvlText w:val="o"/>
      <w:lvlJc w:val="left"/>
      <w:pPr>
        <w:ind w:left="3884" w:hanging="360"/>
      </w:pPr>
      <w:rPr>
        <w:rFonts w:ascii="Courier New" w:hAnsi="Courier New" w:cs="Courier New" w:hint="default"/>
      </w:rPr>
    </w:lvl>
    <w:lvl w:ilvl="5" w:tplc="04190005">
      <w:start w:val="1"/>
      <w:numFmt w:val="bullet"/>
      <w:lvlText w:val=""/>
      <w:lvlJc w:val="left"/>
      <w:pPr>
        <w:ind w:left="4604" w:hanging="360"/>
      </w:pPr>
      <w:rPr>
        <w:rFonts w:ascii="Wingdings" w:hAnsi="Wingdings" w:hint="default"/>
      </w:rPr>
    </w:lvl>
    <w:lvl w:ilvl="6" w:tplc="04190001">
      <w:start w:val="1"/>
      <w:numFmt w:val="bullet"/>
      <w:lvlText w:val=""/>
      <w:lvlJc w:val="left"/>
      <w:pPr>
        <w:ind w:left="5324" w:hanging="360"/>
      </w:pPr>
      <w:rPr>
        <w:rFonts w:ascii="Symbol" w:hAnsi="Symbol" w:hint="default"/>
      </w:rPr>
    </w:lvl>
    <w:lvl w:ilvl="7" w:tplc="04190003">
      <w:start w:val="1"/>
      <w:numFmt w:val="bullet"/>
      <w:lvlText w:val="o"/>
      <w:lvlJc w:val="left"/>
      <w:pPr>
        <w:ind w:left="6044" w:hanging="360"/>
      </w:pPr>
      <w:rPr>
        <w:rFonts w:ascii="Courier New" w:hAnsi="Courier New" w:cs="Courier New" w:hint="default"/>
      </w:rPr>
    </w:lvl>
    <w:lvl w:ilvl="8" w:tplc="04190005">
      <w:start w:val="1"/>
      <w:numFmt w:val="bullet"/>
      <w:lvlText w:val=""/>
      <w:lvlJc w:val="left"/>
      <w:pPr>
        <w:ind w:left="6764" w:hanging="360"/>
      </w:pPr>
      <w:rPr>
        <w:rFonts w:ascii="Wingdings" w:hAnsi="Wingdings" w:hint="default"/>
      </w:rPr>
    </w:lvl>
  </w:abstractNum>
  <w:abstractNum w:abstractNumId="14">
    <w:nsid w:val="1D213A6E"/>
    <w:multiLevelType w:val="hybridMultilevel"/>
    <w:tmpl w:val="B916242E"/>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5">
    <w:nsid w:val="1FD26C07"/>
    <w:multiLevelType w:val="hybridMultilevel"/>
    <w:tmpl w:val="B916242E"/>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6">
    <w:nsid w:val="234E1A4E"/>
    <w:multiLevelType w:val="hybridMultilevel"/>
    <w:tmpl w:val="A86A7272"/>
    <w:lvl w:ilvl="0" w:tplc="E2DA6DB4">
      <w:start w:val="1"/>
      <w:numFmt w:val="decimal"/>
      <w:lvlText w:val="%1."/>
      <w:lvlJc w:val="center"/>
      <w:pPr>
        <w:ind w:left="1287" w:hanging="360"/>
      </w:pPr>
    </w:lvl>
    <w:lvl w:ilvl="1" w:tplc="04190019">
      <w:start w:val="1"/>
      <w:numFmt w:val="lowerLetter"/>
      <w:lvlText w:val="%2."/>
      <w:lvlJc w:val="left"/>
      <w:pPr>
        <w:ind w:left="2007" w:hanging="360"/>
      </w:pPr>
    </w:lvl>
    <w:lvl w:ilvl="2" w:tplc="0419001B">
      <w:start w:val="1"/>
      <w:numFmt w:val="lowerRoman"/>
      <w:lvlText w:val="%3."/>
      <w:lvlJc w:val="right"/>
      <w:pPr>
        <w:ind w:left="2727" w:hanging="180"/>
      </w:pPr>
    </w:lvl>
    <w:lvl w:ilvl="3" w:tplc="0419000F">
      <w:start w:val="1"/>
      <w:numFmt w:val="decimal"/>
      <w:lvlText w:val="%4."/>
      <w:lvlJc w:val="left"/>
      <w:pPr>
        <w:ind w:left="3447" w:hanging="360"/>
      </w:pPr>
    </w:lvl>
    <w:lvl w:ilvl="4" w:tplc="04190019">
      <w:start w:val="1"/>
      <w:numFmt w:val="lowerLetter"/>
      <w:lvlText w:val="%5."/>
      <w:lvlJc w:val="left"/>
      <w:pPr>
        <w:ind w:left="4167" w:hanging="360"/>
      </w:pPr>
    </w:lvl>
    <w:lvl w:ilvl="5" w:tplc="0419001B">
      <w:start w:val="1"/>
      <w:numFmt w:val="lowerRoman"/>
      <w:lvlText w:val="%6."/>
      <w:lvlJc w:val="right"/>
      <w:pPr>
        <w:ind w:left="4887" w:hanging="180"/>
      </w:pPr>
    </w:lvl>
    <w:lvl w:ilvl="6" w:tplc="0419000F">
      <w:start w:val="1"/>
      <w:numFmt w:val="decimal"/>
      <w:lvlText w:val="%7."/>
      <w:lvlJc w:val="left"/>
      <w:pPr>
        <w:ind w:left="5607" w:hanging="360"/>
      </w:pPr>
    </w:lvl>
    <w:lvl w:ilvl="7" w:tplc="04190019">
      <w:start w:val="1"/>
      <w:numFmt w:val="lowerLetter"/>
      <w:lvlText w:val="%8."/>
      <w:lvlJc w:val="left"/>
      <w:pPr>
        <w:ind w:left="6327" w:hanging="360"/>
      </w:pPr>
    </w:lvl>
    <w:lvl w:ilvl="8" w:tplc="0419001B">
      <w:start w:val="1"/>
      <w:numFmt w:val="lowerRoman"/>
      <w:lvlText w:val="%9."/>
      <w:lvlJc w:val="right"/>
      <w:pPr>
        <w:ind w:left="7047" w:hanging="180"/>
      </w:pPr>
    </w:lvl>
  </w:abstractNum>
  <w:abstractNum w:abstractNumId="17">
    <w:nsid w:val="238734DD"/>
    <w:multiLevelType w:val="hybridMultilevel"/>
    <w:tmpl w:val="B916242E"/>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8">
    <w:nsid w:val="25916988"/>
    <w:multiLevelType w:val="hybridMultilevel"/>
    <w:tmpl w:val="C56A0E06"/>
    <w:lvl w:ilvl="0" w:tplc="04190011">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1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19">
    <w:nsid w:val="264719E7"/>
    <w:multiLevelType w:val="hybridMultilevel"/>
    <w:tmpl w:val="D9BEFE7E"/>
    <w:lvl w:ilvl="0" w:tplc="973A075E">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0">
    <w:nsid w:val="27860430"/>
    <w:multiLevelType w:val="hybridMultilevel"/>
    <w:tmpl w:val="C56E9CEE"/>
    <w:lvl w:ilvl="0" w:tplc="76E816BE">
      <w:start w:val="3"/>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1">
    <w:nsid w:val="2B325FC4"/>
    <w:multiLevelType w:val="hybridMultilevel"/>
    <w:tmpl w:val="50100AB4"/>
    <w:lvl w:ilvl="0" w:tplc="973A075E">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2">
    <w:nsid w:val="309031E3"/>
    <w:multiLevelType w:val="hybridMultilevel"/>
    <w:tmpl w:val="273EC34C"/>
    <w:lvl w:ilvl="0" w:tplc="0419000B">
      <w:start w:val="1"/>
      <w:numFmt w:val="bullet"/>
      <w:lvlText w:val=""/>
      <w:lvlJc w:val="left"/>
      <w:pPr>
        <w:ind w:left="1287" w:hanging="360"/>
      </w:pPr>
      <w:rPr>
        <w:rFonts w:ascii="Wingdings" w:hAnsi="Wingdings"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3">
    <w:nsid w:val="358A3338"/>
    <w:multiLevelType w:val="hybridMultilevel"/>
    <w:tmpl w:val="75CA563E"/>
    <w:lvl w:ilvl="0" w:tplc="973A075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4">
    <w:nsid w:val="36940EF7"/>
    <w:multiLevelType w:val="hybridMultilevel"/>
    <w:tmpl w:val="80B66A78"/>
    <w:lvl w:ilvl="0" w:tplc="F75075B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nsid w:val="371312F5"/>
    <w:multiLevelType w:val="hybridMultilevel"/>
    <w:tmpl w:val="DEB0920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6">
    <w:nsid w:val="38153A50"/>
    <w:multiLevelType w:val="hybridMultilevel"/>
    <w:tmpl w:val="C3C04892"/>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7">
    <w:nsid w:val="382652BC"/>
    <w:multiLevelType w:val="hybridMultilevel"/>
    <w:tmpl w:val="7CF433F8"/>
    <w:lvl w:ilvl="0" w:tplc="973A075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8">
    <w:nsid w:val="38526A34"/>
    <w:multiLevelType w:val="hybridMultilevel"/>
    <w:tmpl w:val="3A2AB8D2"/>
    <w:lvl w:ilvl="0" w:tplc="973A075E">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9">
    <w:nsid w:val="3DB92926"/>
    <w:multiLevelType w:val="hybridMultilevel"/>
    <w:tmpl w:val="828498D2"/>
    <w:lvl w:ilvl="0" w:tplc="04190005">
      <w:start w:val="1"/>
      <w:numFmt w:val="bullet"/>
      <w:lvlText w:val=""/>
      <w:lvlJc w:val="left"/>
      <w:pPr>
        <w:ind w:left="816" w:hanging="360"/>
      </w:pPr>
      <w:rPr>
        <w:rFonts w:ascii="Wingdings" w:hAnsi="Wingdings" w:hint="default"/>
      </w:rPr>
    </w:lvl>
    <w:lvl w:ilvl="1" w:tplc="04190003" w:tentative="1">
      <w:start w:val="1"/>
      <w:numFmt w:val="bullet"/>
      <w:lvlText w:val="o"/>
      <w:lvlJc w:val="left"/>
      <w:pPr>
        <w:ind w:left="1536" w:hanging="360"/>
      </w:pPr>
      <w:rPr>
        <w:rFonts w:ascii="Courier New" w:hAnsi="Courier New" w:cs="Courier New" w:hint="default"/>
      </w:rPr>
    </w:lvl>
    <w:lvl w:ilvl="2" w:tplc="04190005" w:tentative="1">
      <w:start w:val="1"/>
      <w:numFmt w:val="bullet"/>
      <w:lvlText w:val=""/>
      <w:lvlJc w:val="left"/>
      <w:pPr>
        <w:ind w:left="2256" w:hanging="360"/>
      </w:pPr>
      <w:rPr>
        <w:rFonts w:ascii="Wingdings" w:hAnsi="Wingdings" w:hint="default"/>
      </w:rPr>
    </w:lvl>
    <w:lvl w:ilvl="3" w:tplc="04190001" w:tentative="1">
      <w:start w:val="1"/>
      <w:numFmt w:val="bullet"/>
      <w:lvlText w:val=""/>
      <w:lvlJc w:val="left"/>
      <w:pPr>
        <w:ind w:left="2976" w:hanging="360"/>
      </w:pPr>
      <w:rPr>
        <w:rFonts w:ascii="Symbol" w:hAnsi="Symbol" w:hint="default"/>
      </w:rPr>
    </w:lvl>
    <w:lvl w:ilvl="4" w:tplc="04190003" w:tentative="1">
      <w:start w:val="1"/>
      <w:numFmt w:val="bullet"/>
      <w:lvlText w:val="o"/>
      <w:lvlJc w:val="left"/>
      <w:pPr>
        <w:ind w:left="3696" w:hanging="360"/>
      </w:pPr>
      <w:rPr>
        <w:rFonts w:ascii="Courier New" w:hAnsi="Courier New" w:cs="Courier New" w:hint="default"/>
      </w:rPr>
    </w:lvl>
    <w:lvl w:ilvl="5" w:tplc="04190005" w:tentative="1">
      <w:start w:val="1"/>
      <w:numFmt w:val="bullet"/>
      <w:lvlText w:val=""/>
      <w:lvlJc w:val="left"/>
      <w:pPr>
        <w:ind w:left="4416" w:hanging="360"/>
      </w:pPr>
      <w:rPr>
        <w:rFonts w:ascii="Wingdings" w:hAnsi="Wingdings" w:hint="default"/>
      </w:rPr>
    </w:lvl>
    <w:lvl w:ilvl="6" w:tplc="04190001" w:tentative="1">
      <w:start w:val="1"/>
      <w:numFmt w:val="bullet"/>
      <w:lvlText w:val=""/>
      <w:lvlJc w:val="left"/>
      <w:pPr>
        <w:ind w:left="5136" w:hanging="360"/>
      </w:pPr>
      <w:rPr>
        <w:rFonts w:ascii="Symbol" w:hAnsi="Symbol" w:hint="default"/>
      </w:rPr>
    </w:lvl>
    <w:lvl w:ilvl="7" w:tplc="04190003" w:tentative="1">
      <w:start w:val="1"/>
      <w:numFmt w:val="bullet"/>
      <w:lvlText w:val="o"/>
      <w:lvlJc w:val="left"/>
      <w:pPr>
        <w:ind w:left="5856" w:hanging="360"/>
      </w:pPr>
      <w:rPr>
        <w:rFonts w:ascii="Courier New" w:hAnsi="Courier New" w:cs="Courier New" w:hint="default"/>
      </w:rPr>
    </w:lvl>
    <w:lvl w:ilvl="8" w:tplc="04190005" w:tentative="1">
      <w:start w:val="1"/>
      <w:numFmt w:val="bullet"/>
      <w:lvlText w:val=""/>
      <w:lvlJc w:val="left"/>
      <w:pPr>
        <w:ind w:left="6576" w:hanging="360"/>
      </w:pPr>
      <w:rPr>
        <w:rFonts w:ascii="Wingdings" w:hAnsi="Wingdings" w:hint="default"/>
      </w:rPr>
    </w:lvl>
  </w:abstractNum>
  <w:abstractNum w:abstractNumId="30">
    <w:nsid w:val="44D4331D"/>
    <w:multiLevelType w:val="hybridMultilevel"/>
    <w:tmpl w:val="37BC72D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44ED0A89"/>
    <w:multiLevelType w:val="hybridMultilevel"/>
    <w:tmpl w:val="B18858C4"/>
    <w:lvl w:ilvl="0" w:tplc="973A075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48BA4E55"/>
    <w:multiLevelType w:val="hybridMultilevel"/>
    <w:tmpl w:val="D1E6131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4F400652"/>
    <w:multiLevelType w:val="hybridMultilevel"/>
    <w:tmpl w:val="6FB03E28"/>
    <w:lvl w:ilvl="0" w:tplc="E2DA6DB4">
      <w:start w:val="1"/>
      <w:numFmt w:val="decimal"/>
      <w:lvlText w:val="%1."/>
      <w:lvlJc w:val="center"/>
      <w:pPr>
        <w:ind w:left="1287" w:hanging="360"/>
      </w:pPr>
    </w:lvl>
    <w:lvl w:ilvl="1" w:tplc="04190019">
      <w:start w:val="1"/>
      <w:numFmt w:val="lowerLetter"/>
      <w:lvlText w:val="%2."/>
      <w:lvlJc w:val="left"/>
      <w:pPr>
        <w:ind w:left="2007" w:hanging="360"/>
      </w:pPr>
    </w:lvl>
    <w:lvl w:ilvl="2" w:tplc="0419001B">
      <w:start w:val="1"/>
      <w:numFmt w:val="lowerRoman"/>
      <w:lvlText w:val="%3."/>
      <w:lvlJc w:val="right"/>
      <w:pPr>
        <w:ind w:left="2727" w:hanging="180"/>
      </w:pPr>
    </w:lvl>
    <w:lvl w:ilvl="3" w:tplc="0419000F">
      <w:start w:val="1"/>
      <w:numFmt w:val="decimal"/>
      <w:lvlText w:val="%4."/>
      <w:lvlJc w:val="left"/>
      <w:pPr>
        <w:ind w:left="3447" w:hanging="360"/>
      </w:pPr>
    </w:lvl>
    <w:lvl w:ilvl="4" w:tplc="04190019">
      <w:start w:val="1"/>
      <w:numFmt w:val="lowerLetter"/>
      <w:lvlText w:val="%5."/>
      <w:lvlJc w:val="left"/>
      <w:pPr>
        <w:ind w:left="4167" w:hanging="360"/>
      </w:pPr>
    </w:lvl>
    <w:lvl w:ilvl="5" w:tplc="0419001B">
      <w:start w:val="1"/>
      <w:numFmt w:val="lowerRoman"/>
      <w:lvlText w:val="%6."/>
      <w:lvlJc w:val="right"/>
      <w:pPr>
        <w:ind w:left="4887" w:hanging="180"/>
      </w:pPr>
    </w:lvl>
    <w:lvl w:ilvl="6" w:tplc="0419000F">
      <w:start w:val="1"/>
      <w:numFmt w:val="decimal"/>
      <w:lvlText w:val="%7."/>
      <w:lvlJc w:val="left"/>
      <w:pPr>
        <w:ind w:left="5607" w:hanging="360"/>
      </w:pPr>
    </w:lvl>
    <w:lvl w:ilvl="7" w:tplc="04190019">
      <w:start w:val="1"/>
      <w:numFmt w:val="lowerLetter"/>
      <w:lvlText w:val="%8."/>
      <w:lvlJc w:val="left"/>
      <w:pPr>
        <w:ind w:left="6327" w:hanging="360"/>
      </w:pPr>
    </w:lvl>
    <w:lvl w:ilvl="8" w:tplc="0419001B">
      <w:start w:val="1"/>
      <w:numFmt w:val="lowerRoman"/>
      <w:lvlText w:val="%9."/>
      <w:lvlJc w:val="right"/>
      <w:pPr>
        <w:ind w:left="7047" w:hanging="180"/>
      </w:pPr>
    </w:lvl>
  </w:abstractNum>
  <w:abstractNum w:abstractNumId="34">
    <w:nsid w:val="55A42DD1"/>
    <w:multiLevelType w:val="hybridMultilevel"/>
    <w:tmpl w:val="E496DB1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55E167F6"/>
    <w:multiLevelType w:val="hybridMultilevel"/>
    <w:tmpl w:val="325E8D4C"/>
    <w:lvl w:ilvl="0" w:tplc="973A075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579A7A07"/>
    <w:multiLevelType w:val="hybridMultilevel"/>
    <w:tmpl w:val="DC240CC6"/>
    <w:lvl w:ilvl="0" w:tplc="973A075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7">
    <w:nsid w:val="57B800D2"/>
    <w:multiLevelType w:val="hybridMultilevel"/>
    <w:tmpl w:val="1BBC7424"/>
    <w:lvl w:ilvl="0" w:tplc="AE686E2C">
      <w:start w:val="1"/>
      <w:numFmt w:val="decimal"/>
      <w:lvlText w:val="%1."/>
      <w:lvlJc w:val="left"/>
      <w:pPr>
        <w:ind w:left="644" w:hanging="360"/>
      </w:p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38">
    <w:nsid w:val="5DEE4758"/>
    <w:multiLevelType w:val="hybridMultilevel"/>
    <w:tmpl w:val="86ACFC86"/>
    <w:lvl w:ilvl="0" w:tplc="973A075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9">
    <w:nsid w:val="5F0A5597"/>
    <w:multiLevelType w:val="hybridMultilevel"/>
    <w:tmpl w:val="77AA266E"/>
    <w:lvl w:ilvl="0" w:tplc="973A075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0">
    <w:nsid w:val="5F662139"/>
    <w:multiLevelType w:val="hybridMultilevel"/>
    <w:tmpl w:val="6E541086"/>
    <w:lvl w:ilvl="0" w:tplc="B1384FD8">
      <w:start w:val="1"/>
      <w:numFmt w:val="decimal"/>
      <w:lvlText w:val="%1."/>
      <w:lvlJc w:val="left"/>
      <w:pPr>
        <w:ind w:left="1407" w:hanging="84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1">
    <w:nsid w:val="61BE069D"/>
    <w:multiLevelType w:val="hybridMultilevel"/>
    <w:tmpl w:val="B1CC7CBC"/>
    <w:lvl w:ilvl="0" w:tplc="F13C0A7E">
      <w:start w:val="1"/>
      <w:numFmt w:val="decimal"/>
      <w:lvlText w:val="%1."/>
      <w:lvlJc w:val="left"/>
      <w:pPr>
        <w:ind w:left="12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61C50F8C"/>
    <w:multiLevelType w:val="hybridMultilevel"/>
    <w:tmpl w:val="6156885A"/>
    <w:lvl w:ilvl="0" w:tplc="E2DA6DB4">
      <w:start w:val="1"/>
      <w:numFmt w:val="decimal"/>
      <w:lvlText w:val="%1."/>
      <w:lvlJc w:val="center"/>
      <w:pPr>
        <w:ind w:left="1287" w:hanging="360"/>
      </w:pPr>
    </w:lvl>
    <w:lvl w:ilvl="1" w:tplc="04190019">
      <w:start w:val="1"/>
      <w:numFmt w:val="lowerLetter"/>
      <w:lvlText w:val="%2."/>
      <w:lvlJc w:val="left"/>
      <w:pPr>
        <w:ind w:left="2007" w:hanging="360"/>
      </w:pPr>
    </w:lvl>
    <w:lvl w:ilvl="2" w:tplc="0419001B">
      <w:start w:val="1"/>
      <w:numFmt w:val="lowerRoman"/>
      <w:lvlText w:val="%3."/>
      <w:lvlJc w:val="right"/>
      <w:pPr>
        <w:ind w:left="2727" w:hanging="180"/>
      </w:pPr>
    </w:lvl>
    <w:lvl w:ilvl="3" w:tplc="0419000F">
      <w:start w:val="1"/>
      <w:numFmt w:val="decimal"/>
      <w:lvlText w:val="%4."/>
      <w:lvlJc w:val="left"/>
      <w:pPr>
        <w:ind w:left="3447" w:hanging="360"/>
      </w:pPr>
    </w:lvl>
    <w:lvl w:ilvl="4" w:tplc="04190019">
      <w:start w:val="1"/>
      <w:numFmt w:val="lowerLetter"/>
      <w:lvlText w:val="%5."/>
      <w:lvlJc w:val="left"/>
      <w:pPr>
        <w:ind w:left="4167" w:hanging="360"/>
      </w:pPr>
    </w:lvl>
    <w:lvl w:ilvl="5" w:tplc="0419001B">
      <w:start w:val="1"/>
      <w:numFmt w:val="lowerRoman"/>
      <w:lvlText w:val="%6."/>
      <w:lvlJc w:val="right"/>
      <w:pPr>
        <w:ind w:left="4887" w:hanging="180"/>
      </w:pPr>
    </w:lvl>
    <w:lvl w:ilvl="6" w:tplc="0419000F">
      <w:start w:val="1"/>
      <w:numFmt w:val="decimal"/>
      <w:lvlText w:val="%7."/>
      <w:lvlJc w:val="left"/>
      <w:pPr>
        <w:ind w:left="5607" w:hanging="360"/>
      </w:pPr>
    </w:lvl>
    <w:lvl w:ilvl="7" w:tplc="04190019">
      <w:start w:val="1"/>
      <w:numFmt w:val="lowerLetter"/>
      <w:lvlText w:val="%8."/>
      <w:lvlJc w:val="left"/>
      <w:pPr>
        <w:ind w:left="6327" w:hanging="360"/>
      </w:pPr>
    </w:lvl>
    <w:lvl w:ilvl="8" w:tplc="0419001B">
      <w:start w:val="1"/>
      <w:numFmt w:val="lowerRoman"/>
      <w:lvlText w:val="%9."/>
      <w:lvlJc w:val="right"/>
      <w:pPr>
        <w:ind w:left="7047" w:hanging="180"/>
      </w:pPr>
    </w:lvl>
  </w:abstractNum>
  <w:abstractNum w:abstractNumId="43">
    <w:nsid w:val="7E1D0578"/>
    <w:multiLevelType w:val="multilevel"/>
    <w:tmpl w:val="3EC4799A"/>
    <w:lvl w:ilvl="0">
      <w:start w:val="1"/>
      <w:numFmt w:val="decimal"/>
      <w:pStyle w:val="a0"/>
      <w:lvlText w:val="%1."/>
      <w:lvlJc w:val="left"/>
      <w:pPr>
        <w:tabs>
          <w:tab w:val="num" w:pos="900"/>
        </w:tabs>
        <w:ind w:left="900" w:hanging="360"/>
      </w:pPr>
      <w:rPr>
        <w:rFonts w:hint="default"/>
      </w:rPr>
    </w:lvl>
    <w:lvl w:ilvl="1">
      <w:start w:val="2"/>
      <w:numFmt w:val="decimal"/>
      <w:isLgl/>
      <w:lvlText w:val="%1.%2."/>
      <w:lvlJc w:val="left"/>
      <w:pPr>
        <w:ind w:left="900" w:hanging="360"/>
      </w:pPr>
      <w:rPr>
        <w:rFonts w:hint="default"/>
      </w:rPr>
    </w:lvl>
    <w:lvl w:ilvl="2">
      <w:start w:val="1"/>
      <w:numFmt w:val="decimalZero"/>
      <w:isLgl/>
      <w:lvlText w:val="%1.%2.%3."/>
      <w:lvlJc w:val="left"/>
      <w:pPr>
        <w:ind w:left="1260" w:hanging="720"/>
      </w:pPr>
      <w:rPr>
        <w:rFonts w:hint="default"/>
      </w:rPr>
    </w:lvl>
    <w:lvl w:ilvl="3">
      <w:start w:val="1"/>
      <w:numFmt w:val="decimal"/>
      <w:isLgl/>
      <w:lvlText w:val="%1.%2.%3.%4."/>
      <w:lvlJc w:val="left"/>
      <w:pPr>
        <w:ind w:left="1260" w:hanging="720"/>
      </w:pPr>
      <w:rPr>
        <w:rFonts w:hint="default"/>
      </w:rPr>
    </w:lvl>
    <w:lvl w:ilvl="4">
      <w:start w:val="1"/>
      <w:numFmt w:val="decimal"/>
      <w:isLgl/>
      <w:lvlText w:val="%1.%2.%3.%4.%5."/>
      <w:lvlJc w:val="left"/>
      <w:pPr>
        <w:ind w:left="1620" w:hanging="1080"/>
      </w:pPr>
      <w:rPr>
        <w:rFonts w:hint="default"/>
      </w:rPr>
    </w:lvl>
    <w:lvl w:ilvl="5">
      <w:start w:val="1"/>
      <w:numFmt w:val="decimal"/>
      <w:isLgl/>
      <w:lvlText w:val="%1.%2.%3.%4.%5.%6."/>
      <w:lvlJc w:val="left"/>
      <w:pPr>
        <w:ind w:left="1620" w:hanging="1080"/>
      </w:pPr>
      <w:rPr>
        <w:rFonts w:hint="default"/>
      </w:rPr>
    </w:lvl>
    <w:lvl w:ilvl="6">
      <w:start w:val="1"/>
      <w:numFmt w:val="decimal"/>
      <w:isLgl/>
      <w:lvlText w:val="%1.%2.%3.%4.%5.%6.%7."/>
      <w:lvlJc w:val="left"/>
      <w:pPr>
        <w:ind w:left="1620" w:hanging="1080"/>
      </w:pPr>
      <w:rPr>
        <w:rFonts w:hint="default"/>
      </w:rPr>
    </w:lvl>
    <w:lvl w:ilvl="7">
      <w:start w:val="1"/>
      <w:numFmt w:val="decimal"/>
      <w:isLgl/>
      <w:lvlText w:val="%1.%2.%3.%4.%5.%6.%7.%8."/>
      <w:lvlJc w:val="left"/>
      <w:pPr>
        <w:ind w:left="1980" w:hanging="1440"/>
      </w:pPr>
      <w:rPr>
        <w:rFonts w:hint="default"/>
      </w:rPr>
    </w:lvl>
    <w:lvl w:ilvl="8">
      <w:start w:val="1"/>
      <w:numFmt w:val="decimal"/>
      <w:isLgl/>
      <w:lvlText w:val="%1.%2.%3.%4.%5.%6.%7.%8.%9."/>
      <w:lvlJc w:val="left"/>
      <w:pPr>
        <w:ind w:left="1980" w:hanging="1440"/>
      </w:pPr>
      <w:rPr>
        <w:rFonts w:hint="default"/>
      </w:rPr>
    </w:lvl>
  </w:abstractNum>
  <w:num w:numId="1">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2"/>
  </w:num>
  <w:num w:numId="3">
    <w:abstractNumId w:val="0"/>
  </w:num>
  <w:num w:numId="4">
    <w:abstractNumId w:val="19"/>
  </w:num>
  <w:num w:numId="5">
    <w:abstractNumId w:val="36"/>
  </w:num>
  <w:num w:numId="6">
    <w:abstractNumId w:val="10"/>
  </w:num>
  <w:num w:numId="7">
    <w:abstractNumId w:val="39"/>
  </w:num>
  <w:num w:numId="8">
    <w:abstractNumId w:val="2"/>
  </w:num>
  <w:num w:numId="9">
    <w:abstractNumId w:val="28"/>
  </w:num>
  <w:num w:numId="10">
    <w:abstractNumId w:val="12"/>
  </w:num>
  <w:num w:numId="11">
    <w:abstractNumId w:val="21"/>
  </w:num>
  <w:num w:numId="12">
    <w:abstractNumId w:val="4"/>
  </w:num>
  <w:num w:numId="13">
    <w:abstractNumId w:val="1"/>
  </w:num>
  <w:num w:numId="14">
    <w:abstractNumId w:val="27"/>
  </w:num>
  <w:num w:numId="15">
    <w:abstractNumId w:val="23"/>
  </w:num>
  <w:num w:numId="16">
    <w:abstractNumId w:val="8"/>
  </w:num>
  <w:num w:numId="17">
    <w:abstractNumId w:val="11"/>
  </w:num>
  <w:num w:numId="18">
    <w:abstractNumId w:val="6"/>
  </w:num>
  <w:num w:numId="19">
    <w:abstractNumId w:val="29"/>
  </w:num>
  <w:num w:numId="20">
    <w:abstractNumId w:val="38"/>
  </w:num>
  <w:num w:numId="21">
    <w:abstractNumId w:val="34"/>
  </w:num>
  <w:num w:numId="22">
    <w:abstractNumId w:val="26"/>
  </w:num>
  <w:num w:numId="2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
  </w:num>
  <w:num w:numId="25">
    <w:abstractNumId w:val="41"/>
  </w:num>
  <w:num w:numId="26">
    <w:abstractNumId w:val="40"/>
  </w:num>
  <w:num w:numId="27">
    <w:abstractNumId w:val="35"/>
  </w:num>
  <w:num w:numId="28">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1"/>
  </w:num>
  <w:num w:numId="32">
    <w:abstractNumId w:val="9"/>
  </w:num>
  <w:num w:numId="33">
    <w:abstractNumId w:val="32"/>
  </w:num>
  <w:num w:numId="34">
    <w:abstractNumId w:val="30"/>
  </w:num>
  <w:num w:numId="35">
    <w:abstractNumId w:val="14"/>
  </w:num>
  <w:num w:numId="36">
    <w:abstractNumId w:val="25"/>
  </w:num>
  <w:num w:numId="37">
    <w:abstractNumId w:val="15"/>
  </w:num>
  <w:num w:numId="38">
    <w:abstractNumId w:val="17"/>
  </w:num>
  <w:num w:numId="39">
    <w:abstractNumId w:val="24"/>
  </w:num>
  <w:num w:numId="40">
    <w:abstractNumId w:val="7"/>
  </w:num>
  <w:num w:numId="41">
    <w:abstractNumId w:val="13"/>
  </w:num>
  <w:num w:numId="4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8"/>
  </w:num>
  <w:num w:numId="44">
    <w:abstractNumId w:val="3"/>
  </w:num>
  <w:num w:numId="4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0"/>
  </w:num>
  <w:numIdMacAtCleanup w:val="1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Мария I">
    <w15:presenceInfo w15:providerId="Windows Live" w15:userId="2ab21e6bf19697d5"/>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hdrShapeDefaults>
    <o:shapedefaults v:ext="edit" spidmax="8194"/>
    <o:shapelayout v:ext="edit">
      <o:idmap v:ext="edit" data="2"/>
    </o:shapelayout>
  </w:hdrShapeDefaults>
  <w:footnotePr>
    <w:footnote w:id="-1"/>
    <w:footnote w:id="0"/>
  </w:footnotePr>
  <w:endnotePr>
    <w:endnote w:id="-1"/>
    <w:endnote w:id="0"/>
  </w:endnotePr>
  <w:compat/>
  <w:rsids>
    <w:rsidRoot w:val="00040D91"/>
    <w:rsid w:val="00001076"/>
    <w:rsid w:val="000019A1"/>
    <w:rsid w:val="00001C4F"/>
    <w:rsid w:val="00002E5B"/>
    <w:rsid w:val="00003134"/>
    <w:rsid w:val="000036D8"/>
    <w:rsid w:val="00003E0B"/>
    <w:rsid w:val="00003EF6"/>
    <w:rsid w:val="00005413"/>
    <w:rsid w:val="00007218"/>
    <w:rsid w:val="00011349"/>
    <w:rsid w:val="00013DFE"/>
    <w:rsid w:val="00016868"/>
    <w:rsid w:val="00016A4E"/>
    <w:rsid w:val="00017460"/>
    <w:rsid w:val="00020438"/>
    <w:rsid w:val="000209CD"/>
    <w:rsid w:val="00022F57"/>
    <w:rsid w:val="000238EE"/>
    <w:rsid w:val="00023C59"/>
    <w:rsid w:val="000248E4"/>
    <w:rsid w:val="00024D7C"/>
    <w:rsid w:val="000254D1"/>
    <w:rsid w:val="0002590E"/>
    <w:rsid w:val="000270CD"/>
    <w:rsid w:val="00027FFB"/>
    <w:rsid w:val="00031D3B"/>
    <w:rsid w:val="00031DFB"/>
    <w:rsid w:val="0003294A"/>
    <w:rsid w:val="00034C3A"/>
    <w:rsid w:val="000367EC"/>
    <w:rsid w:val="00036C7C"/>
    <w:rsid w:val="00040D91"/>
    <w:rsid w:val="0004219A"/>
    <w:rsid w:val="0004524F"/>
    <w:rsid w:val="00045490"/>
    <w:rsid w:val="000464E5"/>
    <w:rsid w:val="00046813"/>
    <w:rsid w:val="0004725E"/>
    <w:rsid w:val="0005198A"/>
    <w:rsid w:val="00051A14"/>
    <w:rsid w:val="00053EE1"/>
    <w:rsid w:val="0005473A"/>
    <w:rsid w:val="00056294"/>
    <w:rsid w:val="00057059"/>
    <w:rsid w:val="00057F4A"/>
    <w:rsid w:val="000611E5"/>
    <w:rsid w:val="00062018"/>
    <w:rsid w:val="000620A9"/>
    <w:rsid w:val="000624D0"/>
    <w:rsid w:val="00062D09"/>
    <w:rsid w:val="00062E36"/>
    <w:rsid w:val="00063444"/>
    <w:rsid w:val="00063695"/>
    <w:rsid w:val="00063EC0"/>
    <w:rsid w:val="00064115"/>
    <w:rsid w:val="00064C5D"/>
    <w:rsid w:val="000656BE"/>
    <w:rsid w:val="0006601E"/>
    <w:rsid w:val="00067461"/>
    <w:rsid w:val="00070CD6"/>
    <w:rsid w:val="00071D97"/>
    <w:rsid w:val="00071E84"/>
    <w:rsid w:val="00076A4F"/>
    <w:rsid w:val="00076D3E"/>
    <w:rsid w:val="000770A8"/>
    <w:rsid w:val="00077BF0"/>
    <w:rsid w:val="000813A8"/>
    <w:rsid w:val="00081A4C"/>
    <w:rsid w:val="000820E8"/>
    <w:rsid w:val="00082670"/>
    <w:rsid w:val="00083081"/>
    <w:rsid w:val="00084123"/>
    <w:rsid w:val="00086001"/>
    <w:rsid w:val="000865CA"/>
    <w:rsid w:val="00087882"/>
    <w:rsid w:val="00087AD8"/>
    <w:rsid w:val="00091FB9"/>
    <w:rsid w:val="00093571"/>
    <w:rsid w:val="00095BF1"/>
    <w:rsid w:val="0009648D"/>
    <w:rsid w:val="000967B9"/>
    <w:rsid w:val="00096AAA"/>
    <w:rsid w:val="0009769C"/>
    <w:rsid w:val="00097703"/>
    <w:rsid w:val="000A01BC"/>
    <w:rsid w:val="000A3D19"/>
    <w:rsid w:val="000A4132"/>
    <w:rsid w:val="000A4AC9"/>
    <w:rsid w:val="000A4D17"/>
    <w:rsid w:val="000A5A1B"/>
    <w:rsid w:val="000A5D65"/>
    <w:rsid w:val="000A64AC"/>
    <w:rsid w:val="000A6CA4"/>
    <w:rsid w:val="000A7931"/>
    <w:rsid w:val="000B024A"/>
    <w:rsid w:val="000B02F4"/>
    <w:rsid w:val="000B048F"/>
    <w:rsid w:val="000B0539"/>
    <w:rsid w:val="000B1718"/>
    <w:rsid w:val="000B1FD1"/>
    <w:rsid w:val="000B3EBA"/>
    <w:rsid w:val="000B5C3C"/>
    <w:rsid w:val="000B6C22"/>
    <w:rsid w:val="000B764B"/>
    <w:rsid w:val="000B7819"/>
    <w:rsid w:val="000C08EE"/>
    <w:rsid w:val="000C1708"/>
    <w:rsid w:val="000C2ACB"/>
    <w:rsid w:val="000C3423"/>
    <w:rsid w:val="000C430D"/>
    <w:rsid w:val="000C4BD7"/>
    <w:rsid w:val="000C5B5A"/>
    <w:rsid w:val="000C6F5D"/>
    <w:rsid w:val="000C7047"/>
    <w:rsid w:val="000C78FE"/>
    <w:rsid w:val="000D1308"/>
    <w:rsid w:val="000D1455"/>
    <w:rsid w:val="000D1C75"/>
    <w:rsid w:val="000D370D"/>
    <w:rsid w:val="000D3D0A"/>
    <w:rsid w:val="000D425D"/>
    <w:rsid w:val="000D4E06"/>
    <w:rsid w:val="000D69F3"/>
    <w:rsid w:val="000D6E72"/>
    <w:rsid w:val="000D786E"/>
    <w:rsid w:val="000E097A"/>
    <w:rsid w:val="000E261C"/>
    <w:rsid w:val="000E30C8"/>
    <w:rsid w:val="000E4EAE"/>
    <w:rsid w:val="000E6C3B"/>
    <w:rsid w:val="000E74D6"/>
    <w:rsid w:val="000F1CF9"/>
    <w:rsid w:val="000F29EB"/>
    <w:rsid w:val="000F2B52"/>
    <w:rsid w:val="000F5979"/>
    <w:rsid w:val="000F6109"/>
    <w:rsid w:val="000F6471"/>
    <w:rsid w:val="000F7AA2"/>
    <w:rsid w:val="000F7EE8"/>
    <w:rsid w:val="00101D26"/>
    <w:rsid w:val="0010218F"/>
    <w:rsid w:val="00103148"/>
    <w:rsid w:val="00103AB3"/>
    <w:rsid w:val="001068F0"/>
    <w:rsid w:val="0011593F"/>
    <w:rsid w:val="00116190"/>
    <w:rsid w:val="00120C3E"/>
    <w:rsid w:val="00120F9D"/>
    <w:rsid w:val="00121032"/>
    <w:rsid w:val="00122EA0"/>
    <w:rsid w:val="001238BB"/>
    <w:rsid w:val="00124686"/>
    <w:rsid w:val="001246DD"/>
    <w:rsid w:val="00124C6F"/>
    <w:rsid w:val="0012696A"/>
    <w:rsid w:val="00126BAF"/>
    <w:rsid w:val="00127C33"/>
    <w:rsid w:val="00130274"/>
    <w:rsid w:val="00130404"/>
    <w:rsid w:val="00130F7E"/>
    <w:rsid w:val="0013469C"/>
    <w:rsid w:val="001347A4"/>
    <w:rsid w:val="00134C2E"/>
    <w:rsid w:val="00135FDA"/>
    <w:rsid w:val="00137422"/>
    <w:rsid w:val="00137738"/>
    <w:rsid w:val="001407C9"/>
    <w:rsid w:val="00140FC2"/>
    <w:rsid w:val="00141CFC"/>
    <w:rsid w:val="00142176"/>
    <w:rsid w:val="001429A2"/>
    <w:rsid w:val="00142AAE"/>
    <w:rsid w:val="001435A8"/>
    <w:rsid w:val="001441E5"/>
    <w:rsid w:val="00144D5B"/>
    <w:rsid w:val="001451E2"/>
    <w:rsid w:val="00147F57"/>
    <w:rsid w:val="0015163C"/>
    <w:rsid w:val="00160128"/>
    <w:rsid w:val="001605BD"/>
    <w:rsid w:val="001610E4"/>
    <w:rsid w:val="00161C7F"/>
    <w:rsid w:val="00161CD5"/>
    <w:rsid w:val="001653BB"/>
    <w:rsid w:val="00167D25"/>
    <w:rsid w:val="001720D3"/>
    <w:rsid w:val="00172524"/>
    <w:rsid w:val="001729C2"/>
    <w:rsid w:val="001754E7"/>
    <w:rsid w:val="00175B05"/>
    <w:rsid w:val="00177AD6"/>
    <w:rsid w:val="00177D27"/>
    <w:rsid w:val="001804C3"/>
    <w:rsid w:val="0018062A"/>
    <w:rsid w:val="00180A5F"/>
    <w:rsid w:val="00181228"/>
    <w:rsid w:val="001814F0"/>
    <w:rsid w:val="00181EFE"/>
    <w:rsid w:val="001820C5"/>
    <w:rsid w:val="00182D94"/>
    <w:rsid w:val="001858B3"/>
    <w:rsid w:val="00185A82"/>
    <w:rsid w:val="00186A8C"/>
    <w:rsid w:val="00187186"/>
    <w:rsid w:val="00192E46"/>
    <w:rsid w:val="0019336B"/>
    <w:rsid w:val="00193786"/>
    <w:rsid w:val="001938F4"/>
    <w:rsid w:val="0019493D"/>
    <w:rsid w:val="00196F7D"/>
    <w:rsid w:val="0019773B"/>
    <w:rsid w:val="001A0606"/>
    <w:rsid w:val="001A1615"/>
    <w:rsid w:val="001A25B2"/>
    <w:rsid w:val="001A3240"/>
    <w:rsid w:val="001A387B"/>
    <w:rsid w:val="001A492C"/>
    <w:rsid w:val="001B2A1E"/>
    <w:rsid w:val="001B514A"/>
    <w:rsid w:val="001B5502"/>
    <w:rsid w:val="001C0DD5"/>
    <w:rsid w:val="001C0F8F"/>
    <w:rsid w:val="001C28FA"/>
    <w:rsid w:val="001C36A0"/>
    <w:rsid w:val="001C3878"/>
    <w:rsid w:val="001C49BC"/>
    <w:rsid w:val="001C581E"/>
    <w:rsid w:val="001D2F24"/>
    <w:rsid w:val="001D45D1"/>
    <w:rsid w:val="001D5A4E"/>
    <w:rsid w:val="001D7368"/>
    <w:rsid w:val="001D7C09"/>
    <w:rsid w:val="001E19C7"/>
    <w:rsid w:val="001F063B"/>
    <w:rsid w:val="001F08BC"/>
    <w:rsid w:val="001F1EBF"/>
    <w:rsid w:val="001F2424"/>
    <w:rsid w:val="001F322C"/>
    <w:rsid w:val="001F3890"/>
    <w:rsid w:val="001F39F7"/>
    <w:rsid w:val="001F43BD"/>
    <w:rsid w:val="001F58BE"/>
    <w:rsid w:val="001F5D1A"/>
    <w:rsid w:val="00200219"/>
    <w:rsid w:val="00200ACF"/>
    <w:rsid w:val="0020137C"/>
    <w:rsid w:val="002017A1"/>
    <w:rsid w:val="002017F5"/>
    <w:rsid w:val="00201AC2"/>
    <w:rsid w:val="002023C7"/>
    <w:rsid w:val="002029E1"/>
    <w:rsid w:val="00202A85"/>
    <w:rsid w:val="002056D4"/>
    <w:rsid w:val="00205D40"/>
    <w:rsid w:val="00206C32"/>
    <w:rsid w:val="002076B6"/>
    <w:rsid w:val="00207AD4"/>
    <w:rsid w:val="00207BEB"/>
    <w:rsid w:val="00210171"/>
    <w:rsid w:val="00210595"/>
    <w:rsid w:val="00210707"/>
    <w:rsid w:val="0021107C"/>
    <w:rsid w:val="00211870"/>
    <w:rsid w:val="002141A1"/>
    <w:rsid w:val="0021634A"/>
    <w:rsid w:val="00221578"/>
    <w:rsid w:val="00221CD3"/>
    <w:rsid w:val="002220E2"/>
    <w:rsid w:val="00223017"/>
    <w:rsid w:val="00224793"/>
    <w:rsid w:val="00227DCC"/>
    <w:rsid w:val="00227ED4"/>
    <w:rsid w:val="00230BAF"/>
    <w:rsid w:val="002323EE"/>
    <w:rsid w:val="002337B9"/>
    <w:rsid w:val="00235D4C"/>
    <w:rsid w:val="00235DAD"/>
    <w:rsid w:val="00236906"/>
    <w:rsid w:val="0023765A"/>
    <w:rsid w:val="00237C0B"/>
    <w:rsid w:val="00237CC4"/>
    <w:rsid w:val="002439BC"/>
    <w:rsid w:val="00247966"/>
    <w:rsid w:val="002510DA"/>
    <w:rsid w:val="0025142D"/>
    <w:rsid w:val="002516BE"/>
    <w:rsid w:val="00252958"/>
    <w:rsid w:val="0025313B"/>
    <w:rsid w:val="00253EAD"/>
    <w:rsid w:val="0025556E"/>
    <w:rsid w:val="0026027F"/>
    <w:rsid w:val="00260B4C"/>
    <w:rsid w:val="00260BA9"/>
    <w:rsid w:val="00261320"/>
    <w:rsid w:val="0026162C"/>
    <w:rsid w:val="0026170D"/>
    <w:rsid w:val="00262F71"/>
    <w:rsid w:val="002632AA"/>
    <w:rsid w:val="0026352F"/>
    <w:rsid w:val="00264685"/>
    <w:rsid w:val="00264747"/>
    <w:rsid w:val="002648D8"/>
    <w:rsid w:val="00264E10"/>
    <w:rsid w:val="00264EF0"/>
    <w:rsid w:val="00265D76"/>
    <w:rsid w:val="00266119"/>
    <w:rsid w:val="00266810"/>
    <w:rsid w:val="002679D2"/>
    <w:rsid w:val="00267E41"/>
    <w:rsid w:val="002713E6"/>
    <w:rsid w:val="00272625"/>
    <w:rsid w:val="00275B35"/>
    <w:rsid w:val="00276F4C"/>
    <w:rsid w:val="00280A9A"/>
    <w:rsid w:val="00280F8B"/>
    <w:rsid w:val="00281482"/>
    <w:rsid w:val="00281B41"/>
    <w:rsid w:val="00284A62"/>
    <w:rsid w:val="00284FB1"/>
    <w:rsid w:val="00290346"/>
    <w:rsid w:val="00290508"/>
    <w:rsid w:val="002906F8"/>
    <w:rsid w:val="00292558"/>
    <w:rsid w:val="002931AD"/>
    <w:rsid w:val="00293D1D"/>
    <w:rsid w:val="00294C51"/>
    <w:rsid w:val="00295320"/>
    <w:rsid w:val="00296B87"/>
    <w:rsid w:val="002A14B7"/>
    <w:rsid w:val="002A39F4"/>
    <w:rsid w:val="002A3F86"/>
    <w:rsid w:val="002A7573"/>
    <w:rsid w:val="002B0F30"/>
    <w:rsid w:val="002B1591"/>
    <w:rsid w:val="002B268E"/>
    <w:rsid w:val="002B2F57"/>
    <w:rsid w:val="002B40A1"/>
    <w:rsid w:val="002B44C3"/>
    <w:rsid w:val="002B473F"/>
    <w:rsid w:val="002B5C5C"/>
    <w:rsid w:val="002B5DB8"/>
    <w:rsid w:val="002B6C8D"/>
    <w:rsid w:val="002C1026"/>
    <w:rsid w:val="002C31EE"/>
    <w:rsid w:val="002C458D"/>
    <w:rsid w:val="002C7888"/>
    <w:rsid w:val="002C79EA"/>
    <w:rsid w:val="002C7B6C"/>
    <w:rsid w:val="002D42B5"/>
    <w:rsid w:val="002D494D"/>
    <w:rsid w:val="002D57EC"/>
    <w:rsid w:val="002D7D12"/>
    <w:rsid w:val="002D7DD0"/>
    <w:rsid w:val="002E1AA4"/>
    <w:rsid w:val="002E273F"/>
    <w:rsid w:val="002E333F"/>
    <w:rsid w:val="002E3492"/>
    <w:rsid w:val="002E78A5"/>
    <w:rsid w:val="002F0BCB"/>
    <w:rsid w:val="002F1690"/>
    <w:rsid w:val="002F621F"/>
    <w:rsid w:val="002F7BB8"/>
    <w:rsid w:val="002F7E2E"/>
    <w:rsid w:val="002F7EF8"/>
    <w:rsid w:val="003004E8"/>
    <w:rsid w:val="00303C40"/>
    <w:rsid w:val="00305546"/>
    <w:rsid w:val="00306797"/>
    <w:rsid w:val="0030714B"/>
    <w:rsid w:val="003102EE"/>
    <w:rsid w:val="00310884"/>
    <w:rsid w:val="00310FC8"/>
    <w:rsid w:val="0031362E"/>
    <w:rsid w:val="00313910"/>
    <w:rsid w:val="00313C28"/>
    <w:rsid w:val="00315100"/>
    <w:rsid w:val="00316AC5"/>
    <w:rsid w:val="00316D85"/>
    <w:rsid w:val="00320127"/>
    <w:rsid w:val="00320FE2"/>
    <w:rsid w:val="0032399F"/>
    <w:rsid w:val="003246A0"/>
    <w:rsid w:val="00324B15"/>
    <w:rsid w:val="0032598C"/>
    <w:rsid w:val="00326BBE"/>
    <w:rsid w:val="00326D16"/>
    <w:rsid w:val="00327B5A"/>
    <w:rsid w:val="00327FB8"/>
    <w:rsid w:val="003305D7"/>
    <w:rsid w:val="0033170A"/>
    <w:rsid w:val="00331C1E"/>
    <w:rsid w:val="00332C67"/>
    <w:rsid w:val="003331EA"/>
    <w:rsid w:val="00333510"/>
    <w:rsid w:val="00334639"/>
    <w:rsid w:val="00337D1F"/>
    <w:rsid w:val="00341C9C"/>
    <w:rsid w:val="003425A3"/>
    <w:rsid w:val="00342E3A"/>
    <w:rsid w:val="00343189"/>
    <w:rsid w:val="003432D3"/>
    <w:rsid w:val="00343ADA"/>
    <w:rsid w:val="00343E89"/>
    <w:rsid w:val="003453DC"/>
    <w:rsid w:val="003454E5"/>
    <w:rsid w:val="00346016"/>
    <w:rsid w:val="003465B3"/>
    <w:rsid w:val="003467A6"/>
    <w:rsid w:val="00346ACD"/>
    <w:rsid w:val="003470F8"/>
    <w:rsid w:val="003471F5"/>
    <w:rsid w:val="00350D85"/>
    <w:rsid w:val="00351009"/>
    <w:rsid w:val="00351E58"/>
    <w:rsid w:val="0035424A"/>
    <w:rsid w:val="00354740"/>
    <w:rsid w:val="00355671"/>
    <w:rsid w:val="00355B9D"/>
    <w:rsid w:val="00357CF0"/>
    <w:rsid w:val="0036031F"/>
    <w:rsid w:val="00360B55"/>
    <w:rsid w:val="00361D6D"/>
    <w:rsid w:val="00363A76"/>
    <w:rsid w:val="00365441"/>
    <w:rsid w:val="00366CD8"/>
    <w:rsid w:val="00367A60"/>
    <w:rsid w:val="00367F36"/>
    <w:rsid w:val="00371AC4"/>
    <w:rsid w:val="00371F43"/>
    <w:rsid w:val="0037212B"/>
    <w:rsid w:val="0037297E"/>
    <w:rsid w:val="00372BCB"/>
    <w:rsid w:val="00372FAC"/>
    <w:rsid w:val="003742C5"/>
    <w:rsid w:val="00376080"/>
    <w:rsid w:val="0037620E"/>
    <w:rsid w:val="00376F12"/>
    <w:rsid w:val="00377DE5"/>
    <w:rsid w:val="003808B0"/>
    <w:rsid w:val="00381077"/>
    <w:rsid w:val="00381808"/>
    <w:rsid w:val="00381C41"/>
    <w:rsid w:val="0038348B"/>
    <w:rsid w:val="0038437D"/>
    <w:rsid w:val="00384458"/>
    <w:rsid w:val="00384B4A"/>
    <w:rsid w:val="0038560D"/>
    <w:rsid w:val="0038772A"/>
    <w:rsid w:val="003911DC"/>
    <w:rsid w:val="00391C99"/>
    <w:rsid w:val="003924EA"/>
    <w:rsid w:val="0039284A"/>
    <w:rsid w:val="00392B14"/>
    <w:rsid w:val="003956E2"/>
    <w:rsid w:val="00396A44"/>
    <w:rsid w:val="00397B76"/>
    <w:rsid w:val="003A2F19"/>
    <w:rsid w:val="003A32D6"/>
    <w:rsid w:val="003A36AB"/>
    <w:rsid w:val="003A3C66"/>
    <w:rsid w:val="003A493C"/>
    <w:rsid w:val="003A4D1C"/>
    <w:rsid w:val="003A5813"/>
    <w:rsid w:val="003A5AE7"/>
    <w:rsid w:val="003A5C0B"/>
    <w:rsid w:val="003B0EE2"/>
    <w:rsid w:val="003B18D2"/>
    <w:rsid w:val="003B2ECD"/>
    <w:rsid w:val="003B3C86"/>
    <w:rsid w:val="003B5426"/>
    <w:rsid w:val="003C0234"/>
    <w:rsid w:val="003C1A86"/>
    <w:rsid w:val="003C203A"/>
    <w:rsid w:val="003C2D09"/>
    <w:rsid w:val="003C3A44"/>
    <w:rsid w:val="003C6C96"/>
    <w:rsid w:val="003C6FD2"/>
    <w:rsid w:val="003C7173"/>
    <w:rsid w:val="003D3AE4"/>
    <w:rsid w:val="003D3E5B"/>
    <w:rsid w:val="003D57B5"/>
    <w:rsid w:val="003D7410"/>
    <w:rsid w:val="003E041F"/>
    <w:rsid w:val="003E0EDE"/>
    <w:rsid w:val="003E1957"/>
    <w:rsid w:val="003E5972"/>
    <w:rsid w:val="003E5FF8"/>
    <w:rsid w:val="003E65B6"/>
    <w:rsid w:val="003E78BE"/>
    <w:rsid w:val="003E7AA0"/>
    <w:rsid w:val="003F0529"/>
    <w:rsid w:val="003F6BF9"/>
    <w:rsid w:val="0040314B"/>
    <w:rsid w:val="00404C25"/>
    <w:rsid w:val="00404FF4"/>
    <w:rsid w:val="0040635D"/>
    <w:rsid w:val="00406D12"/>
    <w:rsid w:val="004107BC"/>
    <w:rsid w:val="00410AC7"/>
    <w:rsid w:val="00412064"/>
    <w:rsid w:val="0041322D"/>
    <w:rsid w:val="00413420"/>
    <w:rsid w:val="00413E5C"/>
    <w:rsid w:val="004155B0"/>
    <w:rsid w:val="0041766A"/>
    <w:rsid w:val="00420852"/>
    <w:rsid w:val="00422055"/>
    <w:rsid w:val="00425647"/>
    <w:rsid w:val="00426C2C"/>
    <w:rsid w:val="00427444"/>
    <w:rsid w:val="0043020A"/>
    <w:rsid w:val="00431001"/>
    <w:rsid w:val="00431815"/>
    <w:rsid w:val="004329DA"/>
    <w:rsid w:val="004337CB"/>
    <w:rsid w:val="00434053"/>
    <w:rsid w:val="0043437D"/>
    <w:rsid w:val="004353AB"/>
    <w:rsid w:val="00436387"/>
    <w:rsid w:val="004366A6"/>
    <w:rsid w:val="004367A6"/>
    <w:rsid w:val="004369DD"/>
    <w:rsid w:val="00436F3F"/>
    <w:rsid w:val="00437AE8"/>
    <w:rsid w:val="00440093"/>
    <w:rsid w:val="00440430"/>
    <w:rsid w:val="0044051D"/>
    <w:rsid w:val="00442D66"/>
    <w:rsid w:val="0044331B"/>
    <w:rsid w:val="0044541D"/>
    <w:rsid w:val="00446BA5"/>
    <w:rsid w:val="00446BED"/>
    <w:rsid w:val="0044769D"/>
    <w:rsid w:val="00451BEE"/>
    <w:rsid w:val="004544C8"/>
    <w:rsid w:val="00454BE0"/>
    <w:rsid w:val="00456319"/>
    <w:rsid w:val="004610F5"/>
    <w:rsid w:val="00461541"/>
    <w:rsid w:val="0046201B"/>
    <w:rsid w:val="00463BFD"/>
    <w:rsid w:val="00463D8E"/>
    <w:rsid w:val="0046497D"/>
    <w:rsid w:val="00464E33"/>
    <w:rsid w:val="0046648A"/>
    <w:rsid w:val="00466763"/>
    <w:rsid w:val="004670A6"/>
    <w:rsid w:val="0047213C"/>
    <w:rsid w:val="00473D83"/>
    <w:rsid w:val="004761B0"/>
    <w:rsid w:val="00476B82"/>
    <w:rsid w:val="0047720A"/>
    <w:rsid w:val="00481775"/>
    <w:rsid w:val="004830EF"/>
    <w:rsid w:val="004831E8"/>
    <w:rsid w:val="004865F9"/>
    <w:rsid w:val="004906D7"/>
    <w:rsid w:val="00492B74"/>
    <w:rsid w:val="00492C68"/>
    <w:rsid w:val="00495432"/>
    <w:rsid w:val="004A0AAC"/>
    <w:rsid w:val="004A248C"/>
    <w:rsid w:val="004A3341"/>
    <w:rsid w:val="004A47BA"/>
    <w:rsid w:val="004A4D74"/>
    <w:rsid w:val="004A584E"/>
    <w:rsid w:val="004A5D14"/>
    <w:rsid w:val="004A6A70"/>
    <w:rsid w:val="004A7164"/>
    <w:rsid w:val="004B1C97"/>
    <w:rsid w:val="004B1F80"/>
    <w:rsid w:val="004B319D"/>
    <w:rsid w:val="004B39DC"/>
    <w:rsid w:val="004B3E1F"/>
    <w:rsid w:val="004B3EE4"/>
    <w:rsid w:val="004B4216"/>
    <w:rsid w:val="004B59B1"/>
    <w:rsid w:val="004B6680"/>
    <w:rsid w:val="004B6C88"/>
    <w:rsid w:val="004C22C8"/>
    <w:rsid w:val="004C2460"/>
    <w:rsid w:val="004C375A"/>
    <w:rsid w:val="004C386C"/>
    <w:rsid w:val="004C3FFC"/>
    <w:rsid w:val="004C4470"/>
    <w:rsid w:val="004C6648"/>
    <w:rsid w:val="004C699A"/>
    <w:rsid w:val="004C725D"/>
    <w:rsid w:val="004C74A8"/>
    <w:rsid w:val="004C775E"/>
    <w:rsid w:val="004D0723"/>
    <w:rsid w:val="004D2448"/>
    <w:rsid w:val="004D2FA3"/>
    <w:rsid w:val="004D3D05"/>
    <w:rsid w:val="004D4D7C"/>
    <w:rsid w:val="004D4F08"/>
    <w:rsid w:val="004D5720"/>
    <w:rsid w:val="004D65AD"/>
    <w:rsid w:val="004E1F15"/>
    <w:rsid w:val="004E2FF9"/>
    <w:rsid w:val="004E3FBA"/>
    <w:rsid w:val="004E5450"/>
    <w:rsid w:val="004E5E1A"/>
    <w:rsid w:val="004E6967"/>
    <w:rsid w:val="004F2266"/>
    <w:rsid w:val="004F3718"/>
    <w:rsid w:val="004F3744"/>
    <w:rsid w:val="004F4056"/>
    <w:rsid w:val="004F4309"/>
    <w:rsid w:val="004F5B55"/>
    <w:rsid w:val="004F5D0B"/>
    <w:rsid w:val="004F60E0"/>
    <w:rsid w:val="004F62CF"/>
    <w:rsid w:val="004F6754"/>
    <w:rsid w:val="004F74B3"/>
    <w:rsid w:val="00501AF3"/>
    <w:rsid w:val="00501F89"/>
    <w:rsid w:val="005024EF"/>
    <w:rsid w:val="00502707"/>
    <w:rsid w:val="00505091"/>
    <w:rsid w:val="00505BFB"/>
    <w:rsid w:val="005060C2"/>
    <w:rsid w:val="00507E3F"/>
    <w:rsid w:val="00510B87"/>
    <w:rsid w:val="00510BDB"/>
    <w:rsid w:val="00512A97"/>
    <w:rsid w:val="00512FB4"/>
    <w:rsid w:val="00513677"/>
    <w:rsid w:val="005162E1"/>
    <w:rsid w:val="0051700E"/>
    <w:rsid w:val="00517679"/>
    <w:rsid w:val="00517753"/>
    <w:rsid w:val="00520FA0"/>
    <w:rsid w:val="00521CD8"/>
    <w:rsid w:val="00521F37"/>
    <w:rsid w:val="00522CC8"/>
    <w:rsid w:val="005234C7"/>
    <w:rsid w:val="00524966"/>
    <w:rsid w:val="005249A7"/>
    <w:rsid w:val="00525F97"/>
    <w:rsid w:val="00526EA4"/>
    <w:rsid w:val="0053236F"/>
    <w:rsid w:val="00532C61"/>
    <w:rsid w:val="00533D86"/>
    <w:rsid w:val="00534738"/>
    <w:rsid w:val="005357A4"/>
    <w:rsid w:val="0053635D"/>
    <w:rsid w:val="00536452"/>
    <w:rsid w:val="005367B5"/>
    <w:rsid w:val="00536C62"/>
    <w:rsid w:val="0053770E"/>
    <w:rsid w:val="00537E54"/>
    <w:rsid w:val="00541E22"/>
    <w:rsid w:val="00541FC1"/>
    <w:rsid w:val="0054426F"/>
    <w:rsid w:val="00544951"/>
    <w:rsid w:val="00547426"/>
    <w:rsid w:val="00550981"/>
    <w:rsid w:val="005512F2"/>
    <w:rsid w:val="00553C15"/>
    <w:rsid w:val="00555DE2"/>
    <w:rsid w:val="00557A0B"/>
    <w:rsid w:val="00557D46"/>
    <w:rsid w:val="00561FB9"/>
    <w:rsid w:val="00562959"/>
    <w:rsid w:val="00563160"/>
    <w:rsid w:val="00563A40"/>
    <w:rsid w:val="00564172"/>
    <w:rsid w:val="0056471A"/>
    <w:rsid w:val="00566019"/>
    <w:rsid w:val="00566E6A"/>
    <w:rsid w:val="00567580"/>
    <w:rsid w:val="00567A0E"/>
    <w:rsid w:val="00567A88"/>
    <w:rsid w:val="00570E31"/>
    <w:rsid w:val="0057459D"/>
    <w:rsid w:val="00574BBD"/>
    <w:rsid w:val="00574FDA"/>
    <w:rsid w:val="00575CFF"/>
    <w:rsid w:val="005776C5"/>
    <w:rsid w:val="0057782B"/>
    <w:rsid w:val="00577FE5"/>
    <w:rsid w:val="0058038B"/>
    <w:rsid w:val="00580998"/>
    <w:rsid w:val="00580A3A"/>
    <w:rsid w:val="00581B03"/>
    <w:rsid w:val="005828F9"/>
    <w:rsid w:val="00584EBD"/>
    <w:rsid w:val="00587206"/>
    <w:rsid w:val="00587B25"/>
    <w:rsid w:val="00587DF0"/>
    <w:rsid w:val="00590995"/>
    <w:rsid w:val="00591B58"/>
    <w:rsid w:val="00592418"/>
    <w:rsid w:val="005927BB"/>
    <w:rsid w:val="0059398D"/>
    <w:rsid w:val="00594121"/>
    <w:rsid w:val="00594906"/>
    <w:rsid w:val="005949E1"/>
    <w:rsid w:val="00595A99"/>
    <w:rsid w:val="00597048"/>
    <w:rsid w:val="00597A34"/>
    <w:rsid w:val="00597AC9"/>
    <w:rsid w:val="005A0352"/>
    <w:rsid w:val="005A13E1"/>
    <w:rsid w:val="005A5E68"/>
    <w:rsid w:val="005A6E43"/>
    <w:rsid w:val="005B1A0F"/>
    <w:rsid w:val="005B2914"/>
    <w:rsid w:val="005B41B1"/>
    <w:rsid w:val="005B64B4"/>
    <w:rsid w:val="005C03F3"/>
    <w:rsid w:val="005C1009"/>
    <w:rsid w:val="005C280A"/>
    <w:rsid w:val="005C3FF0"/>
    <w:rsid w:val="005C602F"/>
    <w:rsid w:val="005D2184"/>
    <w:rsid w:val="005D2229"/>
    <w:rsid w:val="005D23FC"/>
    <w:rsid w:val="005D3F22"/>
    <w:rsid w:val="005D50E4"/>
    <w:rsid w:val="005D6579"/>
    <w:rsid w:val="005E01E2"/>
    <w:rsid w:val="005E3260"/>
    <w:rsid w:val="005E37B2"/>
    <w:rsid w:val="005E4555"/>
    <w:rsid w:val="005E7087"/>
    <w:rsid w:val="005F1139"/>
    <w:rsid w:val="005F29F0"/>
    <w:rsid w:val="005F7E40"/>
    <w:rsid w:val="006003D8"/>
    <w:rsid w:val="00602887"/>
    <w:rsid w:val="00603636"/>
    <w:rsid w:val="0060375B"/>
    <w:rsid w:val="0060427E"/>
    <w:rsid w:val="00604529"/>
    <w:rsid w:val="00604653"/>
    <w:rsid w:val="00605279"/>
    <w:rsid w:val="00605433"/>
    <w:rsid w:val="00613D72"/>
    <w:rsid w:val="00614BC7"/>
    <w:rsid w:val="00614F0F"/>
    <w:rsid w:val="00620D0D"/>
    <w:rsid w:val="0062503B"/>
    <w:rsid w:val="006252D7"/>
    <w:rsid w:val="00626087"/>
    <w:rsid w:val="006302B3"/>
    <w:rsid w:val="00631370"/>
    <w:rsid w:val="006344D5"/>
    <w:rsid w:val="0063469E"/>
    <w:rsid w:val="00634F93"/>
    <w:rsid w:val="00635DD3"/>
    <w:rsid w:val="00637EFC"/>
    <w:rsid w:val="00637FB1"/>
    <w:rsid w:val="006403D5"/>
    <w:rsid w:val="00641909"/>
    <w:rsid w:val="00643689"/>
    <w:rsid w:val="00643806"/>
    <w:rsid w:val="0064727D"/>
    <w:rsid w:val="006474C0"/>
    <w:rsid w:val="00650745"/>
    <w:rsid w:val="00650F43"/>
    <w:rsid w:val="00652DF9"/>
    <w:rsid w:val="006558B9"/>
    <w:rsid w:val="00655D4A"/>
    <w:rsid w:val="006562D2"/>
    <w:rsid w:val="0065684C"/>
    <w:rsid w:val="00656D4E"/>
    <w:rsid w:val="00657FBA"/>
    <w:rsid w:val="00665299"/>
    <w:rsid w:val="00665C4B"/>
    <w:rsid w:val="00666369"/>
    <w:rsid w:val="00666E19"/>
    <w:rsid w:val="00667EFF"/>
    <w:rsid w:val="0067099F"/>
    <w:rsid w:val="00670C33"/>
    <w:rsid w:val="006724FC"/>
    <w:rsid w:val="00672B4E"/>
    <w:rsid w:val="006731E2"/>
    <w:rsid w:val="00674040"/>
    <w:rsid w:val="00674E84"/>
    <w:rsid w:val="00676125"/>
    <w:rsid w:val="00676862"/>
    <w:rsid w:val="00676E19"/>
    <w:rsid w:val="006800AA"/>
    <w:rsid w:val="006809FB"/>
    <w:rsid w:val="0068170B"/>
    <w:rsid w:val="00681CE5"/>
    <w:rsid w:val="00682F20"/>
    <w:rsid w:val="006840EB"/>
    <w:rsid w:val="00684616"/>
    <w:rsid w:val="00686E25"/>
    <w:rsid w:val="00687565"/>
    <w:rsid w:val="006879AC"/>
    <w:rsid w:val="006901D2"/>
    <w:rsid w:val="00691A22"/>
    <w:rsid w:val="006922D0"/>
    <w:rsid w:val="00692801"/>
    <w:rsid w:val="00692818"/>
    <w:rsid w:val="006928AD"/>
    <w:rsid w:val="00692C08"/>
    <w:rsid w:val="00692FF8"/>
    <w:rsid w:val="00693CA5"/>
    <w:rsid w:val="0069425E"/>
    <w:rsid w:val="00694B90"/>
    <w:rsid w:val="00696577"/>
    <w:rsid w:val="00697605"/>
    <w:rsid w:val="00697AE1"/>
    <w:rsid w:val="006A0582"/>
    <w:rsid w:val="006A1079"/>
    <w:rsid w:val="006A4037"/>
    <w:rsid w:val="006A7021"/>
    <w:rsid w:val="006A7039"/>
    <w:rsid w:val="006B2B50"/>
    <w:rsid w:val="006B47CC"/>
    <w:rsid w:val="006B5F57"/>
    <w:rsid w:val="006B7F59"/>
    <w:rsid w:val="006B7FBF"/>
    <w:rsid w:val="006C00AC"/>
    <w:rsid w:val="006C1A76"/>
    <w:rsid w:val="006C1D6C"/>
    <w:rsid w:val="006C7A1F"/>
    <w:rsid w:val="006D3BD2"/>
    <w:rsid w:val="006D3FCD"/>
    <w:rsid w:val="006E06FE"/>
    <w:rsid w:val="006E10A6"/>
    <w:rsid w:val="006E3713"/>
    <w:rsid w:val="006E4FEE"/>
    <w:rsid w:val="006E6091"/>
    <w:rsid w:val="006E6111"/>
    <w:rsid w:val="006E648B"/>
    <w:rsid w:val="006E7054"/>
    <w:rsid w:val="006E70AF"/>
    <w:rsid w:val="006F155C"/>
    <w:rsid w:val="006F1B17"/>
    <w:rsid w:val="006F5BAE"/>
    <w:rsid w:val="006F66D1"/>
    <w:rsid w:val="006F67E5"/>
    <w:rsid w:val="006F7C16"/>
    <w:rsid w:val="006F7CB3"/>
    <w:rsid w:val="00700294"/>
    <w:rsid w:val="0070090B"/>
    <w:rsid w:val="00700A0F"/>
    <w:rsid w:val="007018DA"/>
    <w:rsid w:val="0070548E"/>
    <w:rsid w:val="00705B59"/>
    <w:rsid w:val="0070665A"/>
    <w:rsid w:val="00706B3C"/>
    <w:rsid w:val="00706D44"/>
    <w:rsid w:val="00710D11"/>
    <w:rsid w:val="007129D6"/>
    <w:rsid w:val="00714695"/>
    <w:rsid w:val="00714722"/>
    <w:rsid w:val="007161B6"/>
    <w:rsid w:val="007211BE"/>
    <w:rsid w:val="0072172E"/>
    <w:rsid w:val="00722793"/>
    <w:rsid w:val="00722BBE"/>
    <w:rsid w:val="00722CA3"/>
    <w:rsid w:val="007248C0"/>
    <w:rsid w:val="007261AD"/>
    <w:rsid w:val="007263A6"/>
    <w:rsid w:val="0072717F"/>
    <w:rsid w:val="00730974"/>
    <w:rsid w:val="00730E2E"/>
    <w:rsid w:val="00731A7E"/>
    <w:rsid w:val="00731CC2"/>
    <w:rsid w:val="007334F0"/>
    <w:rsid w:val="007345DA"/>
    <w:rsid w:val="0073524E"/>
    <w:rsid w:val="00737E0A"/>
    <w:rsid w:val="007401B2"/>
    <w:rsid w:val="00740255"/>
    <w:rsid w:val="00740B87"/>
    <w:rsid w:val="00741A37"/>
    <w:rsid w:val="007426F0"/>
    <w:rsid w:val="0074278B"/>
    <w:rsid w:val="007441EC"/>
    <w:rsid w:val="0074530D"/>
    <w:rsid w:val="0074562A"/>
    <w:rsid w:val="00745C66"/>
    <w:rsid w:val="00745D4B"/>
    <w:rsid w:val="00746F38"/>
    <w:rsid w:val="00747F85"/>
    <w:rsid w:val="0075039C"/>
    <w:rsid w:val="007507EF"/>
    <w:rsid w:val="007511A6"/>
    <w:rsid w:val="0075228D"/>
    <w:rsid w:val="007535A0"/>
    <w:rsid w:val="00754B4E"/>
    <w:rsid w:val="00754F12"/>
    <w:rsid w:val="007550DC"/>
    <w:rsid w:val="00755B7F"/>
    <w:rsid w:val="00755F54"/>
    <w:rsid w:val="00756AFD"/>
    <w:rsid w:val="00756FCA"/>
    <w:rsid w:val="007579CB"/>
    <w:rsid w:val="0076007B"/>
    <w:rsid w:val="00760F87"/>
    <w:rsid w:val="00761E1F"/>
    <w:rsid w:val="007638D3"/>
    <w:rsid w:val="0076492B"/>
    <w:rsid w:val="0076632E"/>
    <w:rsid w:val="00772D70"/>
    <w:rsid w:val="0077319B"/>
    <w:rsid w:val="007731D6"/>
    <w:rsid w:val="00773A8F"/>
    <w:rsid w:val="007742C4"/>
    <w:rsid w:val="00774569"/>
    <w:rsid w:val="00777353"/>
    <w:rsid w:val="00777E04"/>
    <w:rsid w:val="00782D5E"/>
    <w:rsid w:val="00783615"/>
    <w:rsid w:val="00784299"/>
    <w:rsid w:val="0078522A"/>
    <w:rsid w:val="00785435"/>
    <w:rsid w:val="00785F12"/>
    <w:rsid w:val="00795BA1"/>
    <w:rsid w:val="00796037"/>
    <w:rsid w:val="00796DD7"/>
    <w:rsid w:val="007A1D5E"/>
    <w:rsid w:val="007A2338"/>
    <w:rsid w:val="007A4C58"/>
    <w:rsid w:val="007A6203"/>
    <w:rsid w:val="007A6CCF"/>
    <w:rsid w:val="007A70C7"/>
    <w:rsid w:val="007A79E8"/>
    <w:rsid w:val="007A7A05"/>
    <w:rsid w:val="007B0A03"/>
    <w:rsid w:val="007B1BB6"/>
    <w:rsid w:val="007B1CF2"/>
    <w:rsid w:val="007B51FD"/>
    <w:rsid w:val="007B5B2B"/>
    <w:rsid w:val="007B5F40"/>
    <w:rsid w:val="007B6F47"/>
    <w:rsid w:val="007B7283"/>
    <w:rsid w:val="007B7778"/>
    <w:rsid w:val="007B78B4"/>
    <w:rsid w:val="007C005E"/>
    <w:rsid w:val="007C0118"/>
    <w:rsid w:val="007C0C49"/>
    <w:rsid w:val="007C363D"/>
    <w:rsid w:val="007C3A6F"/>
    <w:rsid w:val="007C530F"/>
    <w:rsid w:val="007C6345"/>
    <w:rsid w:val="007C708F"/>
    <w:rsid w:val="007C7603"/>
    <w:rsid w:val="007D07DD"/>
    <w:rsid w:val="007D09BF"/>
    <w:rsid w:val="007D1823"/>
    <w:rsid w:val="007D2929"/>
    <w:rsid w:val="007D3A48"/>
    <w:rsid w:val="007D4C15"/>
    <w:rsid w:val="007D4E33"/>
    <w:rsid w:val="007D506E"/>
    <w:rsid w:val="007D5578"/>
    <w:rsid w:val="007D7056"/>
    <w:rsid w:val="007D74C0"/>
    <w:rsid w:val="007D7C50"/>
    <w:rsid w:val="007E023F"/>
    <w:rsid w:val="007E0360"/>
    <w:rsid w:val="007E17ED"/>
    <w:rsid w:val="007E1F87"/>
    <w:rsid w:val="007E2991"/>
    <w:rsid w:val="007E36E3"/>
    <w:rsid w:val="007E3C38"/>
    <w:rsid w:val="007E3D2F"/>
    <w:rsid w:val="007E414A"/>
    <w:rsid w:val="007E441E"/>
    <w:rsid w:val="007E6000"/>
    <w:rsid w:val="007E61BC"/>
    <w:rsid w:val="007E665C"/>
    <w:rsid w:val="007E72DD"/>
    <w:rsid w:val="007F05BF"/>
    <w:rsid w:val="007F109E"/>
    <w:rsid w:val="007F17AC"/>
    <w:rsid w:val="007F1D7D"/>
    <w:rsid w:val="007F2043"/>
    <w:rsid w:val="007F270C"/>
    <w:rsid w:val="007F2CFC"/>
    <w:rsid w:val="007F305F"/>
    <w:rsid w:val="007F392B"/>
    <w:rsid w:val="007F6379"/>
    <w:rsid w:val="007F6ABB"/>
    <w:rsid w:val="007F7BC4"/>
    <w:rsid w:val="00800481"/>
    <w:rsid w:val="00801520"/>
    <w:rsid w:val="00801690"/>
    <w:rsid w:val="008019A3"/>
    <w:rsid w:val="00801A40"/>
    <w:rsid w:val="008032BF"/>
    <w:rsid w:val="00803FE6"/>
    <w:rsid w:val="008040DB"/>
    <w:rsid w:val="00810084"/>
    <w:rsid w:val="008117A8"/>
    <w:rsid w:val="00811AF4"/>
    <w:rsid w:val="00813275"/>
    <w:rsid w:val="008136B0"/>
    <w:rsid w:val="00815037"/>
    <w:rsid w:val="00815974"/>
    <w:rsid w:val="00816422"/>
    <w:rsid w:val="008176EB"/>
    <w:rsid w:val="00820B68"/>
    <w:rsid w:val="00820F1A"/>
    <w:rsid w:val="008229CA"/>
    <w:rsid w:val="0082305E"/>
    <w:rsid w:val="00824B2E"/>
    <w:rsid w:val="008250EB"/>
    <w:rsid w:val="00825BCD"/>
    <w:rsid w:val="00826863"/>
    <w:rsid w:val="0082785E"/>
    <w:rsid w:val="00830AD1"/>
    <w:rsid w:val="00831D68"/>
    <w:rsid w:val="00834E58"/>
    <w:rsid w:val="00834F0C"/>
    <w:rsid w:val="0083519C"/>
    <w:rsid w:val="00836112"/>
    <w:rsid w:val="0083643C"/>
    <w:rsid w:val="0083695F"/>
    <w:rsid w:val="00836FF5"/>
    <w:rsid w:val="0083790E"/>
    <w:rsid w:val="00837A13"/>
    <w:rsid w:val="00837ACE"/>
    <w:rsid w:val="00837C72"/>
    <w:rsid w:val="008400F3"/>
    <w:rsid w:val="00842481"/>
    <w:rsid w:val="00842CDD"/>
    <w:rsid w:val="0084318D"/>
    <w:rsid w:val="00843EAD"/>
    <w:rsid w:val="00844016"/>
    <w:rsid w:val="00844494"/>
    <w:rsid w:val="0084618F"/>
    <w:rsid w:val="008476A1"/>
    <w:rsid w:val="00850727"/>
    <w:rsid w:val="00851451"/>
    <w:rsid w:val="008517E2"/>
    <w:rsid w:val="008525F7"/>
    <w:rsid w:val="00852D3F"/>
    <w:rsid w:val="00852FCC"/>
    <w:rsid w:val="008542AE"/>
    <w:rsid w:val="00855128"/>
    <w:rsid w:val="008554BA"/>
    <w:rsid w:val="008556E9"/>
    <w:rsid w:val="008575BB"/>
    <w:rsid w:val="008579B2"/>
    <w:rsid w:val="00861090"/>
    <w:rsid w:val="008615EF"/>
    <w:rsid w:val="00862265"/>
    <w:rsid w:val="008628FB"/>
    <w:rsid w:val="00862A53"/>
    <w:rsid w:val="0086336E"/>
    <w:rsid w:val="00863D1D"/>
    <w:rsid w:val="00864956"/>
    <w:rsid w:val="00865A0B"/>
    <w:rsid w:val="00865B9E"/>
    <w:rsid w:val="00865D2B"/>
    <w:rsid w:val="00866A10"/>
    <w:rsid w:val="00867043"/>
    <w:rsid w:val="0086749A"/>
    <w:rsid w:val="008674D9"/>
    <w:rsid w:val="008708AE"/>
    <w:rsid w:val="00871BFC"/>
    <w:rsid w:val="008721A1"/>
    <w:rsid w:val="008779CA"/>
    <w:rsid w:val="008804E1"/>
    <w:rsid w:val="00880EF2"/>
    <w:rsid w:val="0088187F"/>
    <w:rsid w:val="00881E6A"/>
    <w:rsid w:val="008841FE"/>
    <w:rsid w:val="00884D8C"/>
    <w:rsid w:val="00885172"/>
    <w:rsid w:val="00885A45"/>
    <w:rsid w:val="00885BFE"/>
    <w:rsid w:val="008867A4"/>
    <w:rsid w:val="0088742C"/>
    <w:rsid w:val="00890F85"/>
    <w:rsid w:val="008926B8"/>
    <w:rsid w:val="0089281C"/>
    <w:rsid w:val="00892E38"/>
    <w:rsid w:val="0089351B"/>
    <w:rsid w:val="00893D35"/>
    <w:rsid w:val="008962BE"/>
    <w:rsid w:val="0089706C"/>
    <w:rsid w:val="008A0D4D"/>
    <w:rsid w:val="008A1336"/>
    <w:rsid w:val="008A2198"/>
    <w:rsid w:val="008A2619"/>
    <w:rsid w:val="008A2896"/>
    <w:rsid w:val="008A2A64"/>
    <w:rsid w:val="008A3CE1"/>
    <w:rsid w:val="008A49B5"/>
    <w:rsid w:val="008A5457"/>
    <w:rsid w:val="008B132E"/>
    <w:rsid w:val="008B1B3F"/>
    <w:rsid w:val="008B2572"/>
    <w:rsid w:val="008B272A"/>
    <w:rsid w:val="008B274D"/>
    <w:rsid w:val="008B3659"/>
    <w:rsid w:val="008B48A4"/>
    <w:rsid w:val="008B4A70"/>
    <w:rsid w:val="008B6B53"/>
    <w:rsid w:val="008B7F58"/>
    <w:rsid w:val="008C0E2E"/>
    <w:rsid w:val="008C11F5"/>
    <w:rsid w:val="008C16A7"/>
    <w:rsid w:val="008C2D4E"/>
    <w:rsid w:val="008C2DEE"/>
    <w:rsid w:val="008C4910"/>
    <w:rsid w:val="008C4C83"/>
    <w:rsid w:val="008C6195"/>
    <w:rsid w:val="008C6A03"/>
    <w:rsid w:val="008C76AD"/>
    <w:rsid w:val="008D06D4"/>
    <w:rsid w:val="008D0C2C"/>
    <w:rsid w:val="008D1F3A"/>
    <w:rsid w:val="008D3C12"/>
    <w:rsid w:val="008D3FA6"/>
    <w:rsid w:val="008D4343"/>
    <w:rsid w:val="008D4DB3"/>
    <w:rsid w:val="008D4FB2"/>
    <w:rsid w:val="008D63D4"/>
    <w:rsid w:val="008D6DD8"/>
    <w:rsid w:val="008E0D95"/>
    <w:rsid w:val="008E272B"/>
    <w:rsid w:val="008E4A9F"/>
    <w:rsid w:val="008E71C0"/>
    <w:rsid w:val="008E748F"/>
    <w:rsid w:val="008E7576"/>
    <w:rsid w:val="008E7960"/>
    <w:rsid w:val="008F4D48"/>
    <w:rsid w:val="008F6A89"/>
    <w:rsid w:val="008F6F20"/>
    <w:rsid w:val="008F79E8"/>
    <w:rsid w:val="00901111"/>
    <w:rsid w:val="009035DF"/>
    <w:rsid w:val="00903F6D"/>
    <w:rsid w:val="00906EDF"/>
    <w:rsid w:val="00907719"/>
    <w:rsid w:val="009104F5"/>
    <w:rsid w:val="0091306F"/>
    <w:rsid w:val="00913956"/>
    <w:rsid w:val="00914C38"/>
    <w:rsid w:val="00924363"/>
    <w:rsid w:val="009251BC"/>
    <w:rsid w:val="009255F9"/>
    <w:rsid w:val="0092673C"/>
    <w:rsid w:val="00927A7F"/>
    <w:rsid w:val="00932665"/>
    <w:rsid w:val="00933807"/>
    <w:rsid w:val="00935E68"/>
    <w:rsid w:val="0093650F"/>
    <w:rsid w:val="009420A3"/>
    <w:rsid w:val="009425ED"/>
    <w:rsid w:val="009435E0"/>
    <w:rsid w:val="00944357"/>
    <w:rsid w:val="00945368"/>
    <w:rsid w:val="009455D4"/>
    <w:rsid w:val="00945BDF"/>
    <w:rsid w:val="00946223"/>
    <w:rsid w:val="009504FD"/>
    <w:rsid w:val="00950DB9"/>
    <w:rsid w:val="00951DCC"/>
    <w:rsid w:val="00952312"/>
    <w:rsid w:val="0095523E"/>
    <w:rsid w:val="00955D06"/>
    <w:rsid w:val="00955E5C"/>
    <w:rsid w:val="00957A6B"/>
    <w:rsid w:val="00960029"/>
    <w:rsid w:val="0096114E"/>
    <w:rsid w:val="009613B1"/>
    <w:rsid w:val="00961687"/>
    <w:rsid w:val="009627EC"/>
    <w:rsid w:val="0096300A"/>
    <w:rsid w:val="009630C0"/>
    <w:rsid w:val="0096591D"/>
    <w:rsid w:val="00967324"/>
    <w:rsid w:val="009701AD"/>
    <w:rsid w:val="009707BE"/>
    <w:rsid w:val="009729AF"/>
    <w:rsid w:val="00973129"/>
    <w:rsid w:val="009738F4"/>
    <w:rsid w:val="0097498B"/>
    <w:rsid w:val="009777A0"/>
    <w:rsid w:val="00977D0F"/>
    <w:rsid w:val="00980D1A"/>
    <w:rsid w:val="00981870"/>
    <w:rsid w:val="00982BF3"/>
    <w:rsid w:val="00983118"/>
    <w:rsid w:val="0098452F"/>
    <w:rsid w:val="009850B8"/>
    <w:rsid w:val="009863DE"/>
    <w:rsid w:val="0098770F"/>
    <w:rsid w:val="009919E0"/>
    <w:rsid w:val="00993371"/>
    <w:rsid w:val="00993699"/>
    <w:rsid w:val="009940E0"/>
    <w:rsid w:val="00995CFB"/>
    <w:rsid w:val="00996158"/>
    <w:rsid w:val="009968D4"/>
    <w:rsid w:val="0099759F"/>
    <w:rsid w:val="009A0893"/>
    <w:rsid w:val="009A1A9F"/>
    <w:rsid w:val="009A1ED9"/>
    <w:rsid w:val="009A30A3"/>
    <w:rsid w:val="009A30D7"/>
    <w:rsid w:val="009A3D6E"/>
    <w:rsid w:val="009A4197"/>
    <w:rsid w:val="009A4660"/>
    <w:rsid w:val="009A7922"/>
    <w:rsid w:val="009A7F16"/>
    <w:rsid w:val="009B1F93"/>
    <w:rsid w:val="009B2677"/>
    <w:rsid w:val="009B283D"/>
    <w:rsid w:val="009B2A3B"/>
    <w:rsid w:val="009B2C3D"/>
    <w:rsid w:val="009B47D5"/>
    <w:rsid w:val="009B604C"/>
    <w:rsid w:val="009C1F4B"/>
    <w:rsid w:val="009C2D48"/>
    <w:rsid w:val="009D2A78"/>
    <w:rsid w:val="009D31F6"/>
    <w:rsid w:val="009D4444"/>
    <w:rsid w:val="009D5937"/>
    <w:rsid w:val="009E038A"/>
    <w:rsid w:val="009E0768"/>
    <w:rsid w:val="009E0ACA"/>
    <w:rsid w:val="009E13E4"/>
    <w:rsid w:val="009E1BF9"/>
    <w:rsid w:val="009E27A8"/>
    <w:rsid w:val="009E39C2"/>
    <w:rsid w:val="009E4EE5"/>
    <w:rsid w:val="009E7396"/>
    <w:rsid w:val="009F0B8D"/>
    <w:rsid w:val="009F22C9"/>
    <w:rsid w:val="009F4B85"/>
    <w:rsid w:val="009F4D38"/>
    <w:rsid w:val="009F5BA1"/>
    <w:rsid w:val="009F6D3D"/>
    <w:rsid w:val="009F7E29"/>
    <w:rsid w:val="00A0227C"/>
    <w:rsid w:val="00A04BCA"/>
    <w:rsid w:val="00A0778C"/>
    <w:rsid w:val="00A10B01"/>
    <w:rsid w:val="00A12E3B"/>
    <w:rsid w:val="00A12EC7"/>
    <w:rsid w:val="00A151F7"/>
    <w:rsid w:val="00A20FDD"/>
    <w:rsid w:val="00A215A5"/>
    <w:rsid w:val="00A226E5"/>
    <w:rsid w:val="00A25FAD"/>
    <w:rsid w:val="00A26A18"/>
    <w:rsid w:val="00A2701D"/>
    <w:rsid w:val="00A272C4"/>
    <w:rsid w:val="00A27C32"/>
    <w:rsid w:val="00A30C5C"/>
    <w:rsid w:val="00A32379"/>
    <w:rsid w:val="00A326BA"/>
    <w:rsid w:val="00A32AA0"/>
    <w:rsid w:val="00A3307F"/>
    <w:rsid w:val="00A332ED"/>
    <w:rsid w:val="00A353A3"/>
    <w:rsid w:val="00A35DFF"/>
    <w:rsid w:val="00A36A38"/>
    <w:rsid w:val="00A36C8F"/>
    <w:rsid w:val="00A37166"/>
    <w:rsid w:val="00A377BC"/>
    <w:rsid w:val="00A37D5A"/>
    <w:rsid w:val="00A37F63"/>
    <w:rsid w:val="00A43AC6"/>
    <w:rsid w:val="00A45259"/>
    <w:rsid w:val="00A454A9"/>
    <w:rsid w:val="00A45F8B"/>
    <w:rsid w:val="00A4672B"/>
    <w:rsid w:val="00A469D6"/>
    <w:rsid w:val="00A46C06"/>
    <w:rsid w:val="00A54B92"/>
    <w:rsid w:val="00A5532B"/>
    <w:rsid w:val="00A555D7"/>
    <w:rsid w:val="00A560AF"/>
    <w:rsid w:val="00A601C7"/>
    <w:rsid w:val="00A60956"/>
    <w:rsid w:val="00A61BBD"/>
    <w:rsid w:val="00A61EBC"/>
    <w:rsid w:val="00A62053"/>
    <w:rsid w:val="00A62164"/>
    <w:rsid w:val="00A62445"/>
    <w:rsid w:val="00A63449"/>
    <w:rsid w:val="00A64028"/>
    <w:rsid w:val="00A646A9"/>
    <w:rsid w:val="00A66936"/>
    <w:rsid w:val="00A66966"/>
    <w:rsid w:val="00A66B9F"/>
    <w:rsid w:val="00A71C81"/>
    <w:rsid w:val="00A74802"/>
    <w:rsid w:val="00A74A05"/>
    <w:rsid w:val="00A753AA"/>
    <w:rsid w:val="00A753FD"/>
    <w:rsid w:val="00A811BF"/>
    <w:rsid w:val="00A83211"/>
    <w:rsid w:val="00A836A2"/>
    <w:rsid w:val="00A84BBE"/>
    <w:rsid w:val="00A85C16"/>
    <w:rsid w:val="00A86314"/>
    <w:rsid w:val="00A86319"/>
    <w:rsid w:val="00A8666E"/>
    <w:rsid w:val="00A87BE1"/>
    <w:rsid w:val="00A90042"/>
    <w:rsid w:val="00A93561"/>
    <w:rsid w:val="00A9425C"/>
    <w:rsid w:val="00A9601C"/>
    <w:rsid w:val="00A961FE"/>
    <w:rsid w:val="00A96735"/>
    <w:rsid w:val="00A96F7E"/>
    <w:rsid w:val="00A96FB4"/>
    <w:rsid w:val="00A97833"/>
    <w:rsid w:val="00A97B0B"/>
    <w:rsid w:val="00AA01A6"/>
    <w:rsid w:val="00AA2CA6"/>
    <w:rsid w:val="00AA31FF"/>
    <w:rsid w:val="00AA44B9"/>
    <w:rsid w:val="00AA45F1"/>
    <w:rsid w:val="00AA4990"/>
    <w:rsid w:val="00AA577C"/>
    <w:rsid w:val="00AA59D2"/>
    <w:rsid w:val="00AA5A80"/>
    <w:rsid w:val="00AA66D4"/>
    <w:rsid w:val="00AA7B89"/>
    <w:rsid w:val="00AA7C71"/>
    <w:rsid w:val="00AA7F20"/>
    <w:rsid w:val="00AB07D5"/>
    <w:rsid w:val="00AB0C92"/>
    <w:rsid w:val="00AB0FB2"/>
    <w:rsid w:val="00AB43A5"/>
    <w:rsid w:val="00AB4EC6"/>
    <w:rsid w:val="00AC029F"/>
    <w:rsid w:val="00AC04EB"/>
    <w:rsid w:val="00AC237C"/>
    <w:rsid w:val="00AC4B9B"/>
    <w:rsid w:val="00AC5BBC"/>
    <w:rsid w:val="00AC62BE"/>
    <w:rsid w:val="00AC78B8"/>
    <w:rsid w:val="00AD17DE"/>
    <w:rsid w:val="00AD1C1B"/>
    <w:rsid w:val="00AD2B97"/>
    <w:rsid w:val="00AD47BF"/>
    <w:rsid w:val="00AD5114"/>
    <w:rsid w:val="00AD53DB"/>
    <w:rsid w:val="00AD617A"/>
    <w:rsid w:val="00AD6792"/>
    <w:rsid w:val="00AE0EA5"/>
    <w:rsid w:val="00AE10C1"/>
    <w:rsid w:val="00AE24AC"/>
    <w:rsid w:val="00AE28C5"/>
    <w:rsid w:val="00AE3AA9"/>
    <w:rsid w:val="00AE3B3A"/>
    <w:rsid w:val="00AE40E2"/>
    <w:rsid w:val="00AE49D1"/>
    <w:rsid w:val="00AE5567"/>
    <w:rsid w:val="00AE7190"/>
    <w:rsid w:val="00AF0BC5"/>
    <w:rsid w:val="00AF0EC4"/>
    <w:rsid w:val="00AF2EEC"/>
    <w:rsid w:val="00AF3348"/>
    <w:rsid w:val="00AF3C32"/>
    <w:rsid w:val="00AF4EE1"/>
    <w:rsid w:val="00AF7F88"/>
    <w:rsid w:val="00B02DCA"/>
    <w:rsid w:val="00B03B0B"/>
    <w:rsid w:val="00B0438C"/>
    <w:rsid w:val="00B05934"/>
    <w:rsid w:val="00B06ABD"/>
    <w:rsid w:val="00B07AB8"/>
    <w:rsid w:val="00B07FE2"/>
    <w:rsid w:val="00B107F3"/>
    <w:rsid w:val="00B10C40"/>
    <w:rsid w:val="00B13080"/>
    <w:rsid w:val="00B13240"/>
    <w:rsid w:val="00B1405C"/>
    <w:rsid w:val="00B14256"/>
    <w:rsid w:val="00B15CC7"/>
    <w:rsid w:val="00B174AC"/>
    <w:rsid w:val="00B17F8C"/>
    <w:rsid w:val="00B218BF"/>
    <w:rsid w:val="00B22014"/>
    <w:rsid w:val="00B23940"/>
    <w:rsid w:val="00B23C65"/>
    <w:rsid w:val="00B23D6F"/>
    <w:rsid w:val="00B23E4E"/>
    <w:rsid w:val="00B279F3"/>
    <w:rsid w:val="00B27D1A"/>
    <w:rsid w:val="00B31969"/>
    <w:rsid w:val="00B32DB3"/>
    <w:rsid w:val="00B32F7F"/>
    <w:rsid w:val="00B3450B"/>
    <w:rsid w:val="00B34555"/>
    <w:rsid w:val="00B35ADA"/>
    <w:rsid w:val="00B36719"/>
    <w:rsid w:val="00B36AE5"/>
    <w:rsid w:val="00B40E1C"/>
    <w:rsid w:val="00B40EE4"/>
    <w:rsid w:val="00B41F43"/>
    <w:rsid w:val="00B42143"/>
    <w:rsid w:val="00B426FC"/>
    <w:rsid w:val="00B42962"/>
    <w:rsid w:val="00B43B43"/>
    <w:rsid w:val="00B46887"/>
    <w:rsid w:val="00B47487"/>
    <w:rsid w:val="00B475A8"/>
    <w:rsid w:val="00B50043"/>
    <w:rsid w:val="00B52FE8"/>
    <w:rsid w:val="00B53A01"/>
    <w:rsid w:val="00B54B5E"/>
    <w:rsid w:val="00B54F16"/>
    <w:rsid w:val="00B55C01"/>
    <w:rsid w:val="00B56664"/>
    <w:rsid w:val="00B61D68"/>
    <w:rsid w:val="00B62B64"/>
    <w:rsid w:val="00B63234"/>
    <w:rsid w:val="00B63423"/>
    <w:rsid w:val="00B63FE1"/>
    <w:rsid w:val="00B64191"/>
    <w:rsid w:val="00B64A0B"/>
    <w:rsid w:val="00B65C0B"/>
    <w:rsid w:val="00B66F1D"/>
    <w:rsid w:val="00B67B0F"/>
    <w:rsid w:val="00B732FA"/>
    <w:rsid w:val="00B77A9A"/>
    <w:rsid w:val="00B813CD"/>
    <w:rsid w:val="00B81BB8"/>
    <w:rsid w:val="00B82386"/>
    <w:rsid w:val="00B8282F"/>
    <w:rsid w:val="00B83313"/>
    <w:rsid w:val="00B83CC5"/>
    <w:rsid w:val="00B83DB3"/>
    <w:rsid w:val="00B84241"/>
    <w:rsid w:val="00B843C3"/>
    <w:rsid w:val="00B85534"/>
    <w:rsid w:val="00B861B4"/>
    <w:rsid w:val="00B908D3"/>
    <w:rsid w:val="00B90C7A"/>
    <w:rsid w:val="00B931AD"/>
    <w:rsid w:val="00B936E5"/>
    <w:rsid w:val="00B97391"/>
    <w:rsid w:val="00B977F4"/>
    <w:rsid w:val="00B97E0D"/>
    <w:rsid w:val="00BA54D3"/>
    <w:rsid w:val="00BA793C"/>
    <w:rsid w:val="00BB0E6A"/>
    <w:rsid w:val="00BB0EB1"/>
    <w:rsid w:val="00BB35D3"/>
    <w:rsid w:val="00BB3CE1"/>
    <w:rsid w:val="00BB3E04"/>
    <w:rsid w:val="00BB451B"/>
    <w:rsid w:val="00BB5B68"/>
    <w:rsid w:val="00BB6936"/>
    <w:rsid w:val="00BB78B3"/>
    <w:rsid w:val="00BB7B4C"/>
    <w:rsid w:val="00BC0138"/>
    <w:rsid w:val="00BC0455"/>
    <w:rsid w:val="00BC1003"/>
    <w:rsid w:val="00BC30F1"/>
    <w:rsid w:val="00BC5193"/>
    <w:rsid w:val="00BC5A67"/>
    <w:rsid w:val="00BC5C96"/>
    <w:rsid w:val="00BC6EC3"/>
    <w:rsid w:val="00BC6FC3"/>
    <w:rsid w:val="00BC765C"/>
    <w:rsid w:val="00BC7959"/>
    <w:rsid w:val="00BD07AD"/>
    <w:rsid w:val="00BD08EB"/>
    <w:rsid w:val="00BD0AE5"/>
    <w:rsid w:val="00BD0C19"/>
    <w:rsid w:val="00BD27E2"/>
    <w:rsid w:val="00BE017F"/>
    <w:rsid w:val="00BE02FF"/>
    <w:rsid w:val="00BE0707"/>
    <w:rsid w:val="00BE0CE5"/>
    <w:rsid w:val="00BE17C4"/>
    <w:rsid w:val="00BE32B6"/>
    <w:rsid w:val="00BE3E2A"/>
    <w:rsid w:val="00BE5535"/>
    <w:rsid w:val="00BE55D9"/>
    <w:rsid w:val="00BE56F5"/>
    <w:rsid w:val="00BF05A4"/>
    <w:rsid w:val="00BF1628"/>
    <w:rsid w:val="00BF1D48"/>
    <w:rsid w:val="00BF3B2E"/>
    <w:rsid w:val="00BF6DC4"/>
    <w:rsid w:val="00C017B0"/>
    <w:rsid w:val="00C01989"/>
    <w:rsid w:val="00C01DFE"/>
    <w:rsid w:val="00C032D8"/>
    <w:rsid w:val="00C047DA"/>
    <w:rsid w:val="00C04FE8"/>
    <w:rsid w:val="00C054F3"/>
    <w:rsid w:val="00C06348"/>
    <w:rsid w:val="00C06929"/>
    <w:rsid w:val="00C06B64"/>
    <w:rsid w:val="00C06E64"/>
    <w:rsid w:val="00C1012C"/>
    <w:rsid w:val="00C11C6A"/>
    <w:rsid w:val="00C12A26"/>
    <w:rsid w:val="00C133C7"/>
    <w:rsid w:val="00C14A44"/>
    <w:rsid w:val="00C158E7"/>
    <w:rsid w:val="00C15F77"/>
    <w:rsid w:val="00C163B8"/>
    <w:rsid w:val="00C169A5"/>
    <w:rsid w:val="00C21A0D"/>
    <w:rsid w:val="00C21D99"/>
    <w:rsid w:val="00C240F3"/>
    <w:rsid w:val="00C2470B"/>
    <w:rsid w:val="00C258A8"/>
    <w:rsid w:val="00C27AF4"/>
    <w:rsid w:val="00C27CC7"/>
    <w:rsid w:val="00C30613"/>
    <w:rsid w:val="00C32D20"/>
    <w:rsid w:val="00C33651"/>
    <w:rsid w:val="00C33823"/>
    <w:rsid w:val="00C33BEE"/>
    <w:rsid w:val="00C34F2B"/>
    <w:rsid w:val="00C368DD"/>
    <w:rsid w:val="00C3785F"/>
    <w:rsid w:val="00C4021E"/>
    <w:rsid w:val="00C40237"/>
    <w:rsid w:val="00C409EA"/>
    <w:rsid w:val="00C4144B"/>
    <w:rsid w:val="00C41A24"/>
    <w:rsid w:val="00C41E39"/>
    <w:rsid w:val="00C44106"/>
    <w:rsid w:val="00C44265"/>
    <w:rsid w:val="00C475AA"/>
    <w:rsid w:val="00C47898"/>
    <w:rsid w:val="00C47A61"/>
    <w:rsid w:val="00C5030D"/>
    <w:rsid w:val="00C50745"/>
    <w:rsid w:val="00C52BFF"/>
    <w:rsid w:val="00C532E5"/>
    <w:rsid w:val="00C54B76"/>
    <w:rsid w:val="00C55E4A"/>
    <w:rsid w:val="00C60755"/>
    <w:rsid w:val="00C60C11"/>
    <w:rsid w:val="00C61B32"/>
    <w:rsid w:val="00C6507D"/>
    <w:rsid w:val="00C653DF"/>
    <w:rsid w:val="00C66E8A"/>
    <w:rsid w:val="00C70B18"/>
    <w:rsid w:val="00C7205B"/>
    <w:rsid w:val="00C721F5"/>
    <w:rsid w:val="00C724D4"/>
    <w:rsid w:val="00C72BE4"/>
    <w:rsid w:val="00C72F4A"/>
    <w:rsid w:val="00C73286"/>
    <w:rsid w:val="00C74714"/>
    <w:rsid w:val="00C74B47"/>
    <w:rsid w:val="00C761B3"/>
    <w:rsid w:val="00C775B5"/>
    <w:rsid w:val="00C80009"/>
    <w:rsid w:val="00C80289"/>
    <w:rsid w:val="00C811C8"/>
    <w:rsid w:val="00C826AC"/>
    <w:rsid w:val="00C82760"/>
    <w:rsid w:val="00C829BA"/>
    <w:rsid w:val="00C83A31"/>
    <w:rsid w:val="00C8443C"/>
    <w:rsid w:val="00C84928"/>
    <w:rsid w:val="00C85383"/>
    <w:rsid w:val="00C85699"/>
    <w:rsid w:val="00C85CFD"/>
    <w:rsid w:val="00C864BD"/>
    <w:rsid w:val="00C86E73"/>
    <w:rsid w:val="00C874FA"/>
    <w:rsid w:val="00C87754"/>
    <w:rsid w:val="00C877A4"/>
    <w:rsid w:val="00C905A6"/>
    <w:rsid w:val="00C91D63"/>
    <w:rsid w:val="00C929E4"/>
    <w:rsid w:val="00C92E64"/>
    <w:rsid w:val="00C93A46"/>
    <w:rsid w:val="00C93FF3"/>
    <w:rsid w:val="00C944FF"/>
    <w:rsid w:val="00C945D1"/>
    <w:rsid w:val="00C955DE"/>
    <w:rsid w:val="00C95B85"/>
    <w:rsid w:val="00C97E86"/>
    <w:rsid w:val="00CA1079"/>
    <w:rsid w:val="00CA15E3"/>
    <w:rsid w:val="00CA41F7"/>
    <w:rsid w:val="00CA4574"/>
    <w:rsid w:val="00CA482E"/>
    <w:rsid w:val="00CA4AAF"/>
    <w:rsid w:val="00CA4BFA"/>
    <w:rsid w:val="00CA67DE"/>
    <w:rsid w:val="00CA7675"/>
    <w:rsid w:val="00CB1D08"/>
    <w:rsid w:val="00CB35CC"/>
    <w:rsid w:val="00CB4575"/>
    <w:rsid w:val="00CB473E"/>
    <w:rsid w:val="00CB5D38"/>
    <w:rsid w:val="00CB7FD7"/>
    <w:rsid w:val="00CC0379"/>
    <w:rsid w:val="00CC0E08"/>
    <w:rsid w:val="00CC2540"/>
    <w:rsid w:val="00CC357E"/>
    <w:rsid w:val="00CC5F10"/>
    <w:rsid w:val="00CC5FFA"/>
    <w:rsid w:val="00CC76EB"/>
    <w:rsid w:val="00CC7ACD"/>
    <w:rsid w:val="00CC7FEB"/>
    <w:rsid w:val="00CD4A2F"/>
    <w:rsid w:val="00CD6270"/>
    <w:rsid w:val="00CD7B37"/>
    <w:rsid w:val="00CD7E96"/>
    <w:rsid w:val="00CE052C"/>
    <w:rsid w:val="00CE088A"/>
    <w:rsid w:val="00CE1FB5"/>
    <w:rsid w:val="00CE3426"/>
    <w:rsid w:val="00CE3AB2"/>
    <w:rsid w:val="00CE53B0"/>
    <w:rsid w:val="00CE7D48"/>
    <w:rsid w:val="00CE7FC3"/>
    <w:rsid w:val="00CF0AF8"/>
    <w:rsid w:val="00CF2967"/>
    <w:rsid w:val="00CF3819"/>
    <w:rsid w:val="00CF3CE9"/>
    <w:rsid w:val="00CF454D"/>
    <w:rsid w:val="00CF5904"/>
    <w:rsid w:val="00CF754C"/>
    <w:rsid w:val="00D003BA"/>
    <w:rsid w:val="00D006B7"/>
    <w:rsid w:val="00D017F5"/>
    <w:rsid w:val="00D024C9"/>
    <w:rsid w:val="00D0268E"/>
    <w:rsid w:val="00D0319D"/>
    <w:rsid w:val="00D03BE3"/>
    <w:rsid w:val="00D043FA"/>
    <w:rsid w:val="00D05679"/>
    <w:rsid w:val="00D061AE"/>
    <w:rsid w:val="00D070B3"/>
    <w:rsid w:val="00D0771A"/>
    <w:rsid w:val="00D07A05"/>
    <w:rsid w:val="00D07E35"/>
    <w:rsid w:val="00D12074"/>
    <w:rsid w:val="00D146FE"/>
    <w:rsid w:val="00D1479D"/>
    <w:rsid w:val="00D1600B"/>
    <w:rsid w:val="00D16D2B"/>
    <w:rsid w:val="00D20600"/>
    <w:rsid w:val="00D2069F"/>
    <w:rsid w:val="00D22290"/>
    <w:rsid w:val="00D23442"/>
    <w:rsid w:val="00D2517F"/>
    <w:rsid w:val="00D252CD"/>
    <w:rsid w:val="00D266AE"/>
    <w:rsid w:val="00D26A21"/>
    <w:rsid w:val="00D273CA"/>
    <w:rsid w:val="00D27793"/>
    <w:rsid w:val="00D305EE"/>
    <w:rsid w:val="00D30A77"/>
    <w:rsid w:val="00D31DCE"/>
    <w:rsid w:val="00D32DE0"/>
    <w:rsid w:val="00D33C2D"/>
    <w:rsid w:val="00D402D1"/>
    <w:rsid w:val="00D412F4"/>
    <w:rsid w:val="00D41A6F"/>
    <w:rsid w:val="00D432E1"/>
    <w:rsid w:val="00D446EA"/>
    <w:rsid w:val="00D44D76"/>
    <w:rsid w:val="00D45850"/>
    <w:rsid w:val="00D45B92"/>
    <w:rsid w:val="00D4665C"/>
    <w:rsid w:val="00D46A8A"/>
    <w:rsid w:val="00D474FE"/>
    <w:rsid w:val="00D47952"/>
    <w:rsid w:val="00D47D49"/>
    <w:rsid w:val="00D50173"/>
    <w:rsid w:val="00D509AA"/>
    <w:rsid w:val="00D51658"/>
    <w:rsid w:val="00D523B0"/>
    <w:rsid w:val="00D53B54"/>
    <w:rsid w:val="00D5488B"/>
    <w:rsid w:val="00D57A5A"/>
    <w:rsid w:val="00D614BA"/>
    <w:rsid w:val="00D61B25"/>
    <w:rsid w:val="00D63F36"/>
    <w:rsid w:val="00D67166"/>
    <w:rsid w:val="00D70E43"/>
    <w:rsid w:val="00D729DD"/>
    <w:rsid w:val="00D73CF9"/>
    <w:rsid w:val="00D754AD"/>
    <w:rsid w:val="00D7592D"/>
    <w:rsid w:val="00D767FD"/>
    <w:rsid w:val="00D80776"/>
    <w:rsid w:val="00D80E16"/>
    <w:rsid w:val="00D826A4"/>
    <w:rsid w:val="00D837DC"/>
    <w:rsid w:val="00D83DD7"/>
    <w:rsid w:val="00D848C9"/>
    <w:rsid w:val="00D87CE9"/>
    <w:rsid w:val="00D914A8"/>
    <w:rsid w:val="00D92013"/>
    <w:rsid w:val="00D92115"/>
    <w:rsid w:val="00D938BC"/>
    <w:rsid w:val="00D9451F"/>
    <w:rsid w:val="00D95001"/>
    <w:rsid w:val="00D952BE"/>
    <w:rsid w:val="00DA0468"/>
    <w:rsid w:val="00DA1C35"/>
    <w:rsid w:val="00DA1C9B"/>
    <w:rsid w:val="00DA1CE0"/>
    <w:rsid w:val="00DA2511"/>
    <w:rsid w:val="00DA2EB5"/>
    <w:rsid w:val="00DA5A83"/>
    <w:rsid w:val="00DA62BB"/>
    <w:rsid w:val="00DA69A0"/>
    <w:rsid w:val="00DB156F"/>
    <w:rsid w:val="00DB6CF2"/>
    <w:rsid w:val="00DB7462"/>
    <w:rsid w:val="00DC12C4"/>
    <w:rsid w:val="00DC3544"/>
    <w:rsid w:val="00DC662D"/>
    <w:rsid w:val="00DC7980"/>
    <w:rsid w:val="00DD016F"/>
    <w:rsid w:val="00DD1EA8"/>
    <w:rsid w:val="00DD2D00"/>
    <w:rsid w:val="00DD4261"/>
    <w:rsid w:val="00DD4CC4"/>
    <w:rsid w:val="00DD53AF"/>
    <w:rsid w:val="00DD6524"/>
    <w:rsid w:val="00DD6571"/>
    <w:rsid w:val="00DD6784"/>
    <w:rsid w:val="00DD6EF0"/>
    <w:rsid w:val="00DD748B"/>
    <w:rsid w:val="00DE0768"/>
    <w:rsid w:val="00DE34B8"/>
    <w:rsid w:val="00DE46D3"/>
    <w:rsid w:val="00DE6146"/>
    <w:rsid w:val="00DF127A"/>
    <w:rsid w:val="00DF1C93"/>
    <w:rsid w:val="00DF2589"/>
    <w:rsid w:val="00DF31A8"/>
    <w:rsid w:val="00DF4387"/>
    <w:rsid w:val="00E00DD7"/>
    <w:rsid w:val="00E017C4"/>
    <w:rsid w:val="00E0254A"/>
    <w:rsid w:val="00E033CB"/>
    <w:rsid w:val="00E03465"/>
    <w:rsid w:val="00E04363"/>
    <w:rsid w:val="00E04A25"/>
    <w:rsid w:val="00E04E0D"/>
    <w:rsid w:val="00E06945"/>
    <w:rsid w:val="00E070A9"/>
    <w:rsid w:val="00E1140C"/>
    <w:rsid w:val="00E11E5F"/>
    <w:rsid w:val="00E13B4C"/>
    <w:rsid w:val="00E153AD"/>
    <w:rsid w:val="00E16472"/>
    <w:rsid w:val="00E16498"/>
    <w:rsid w:val="00E17121"/>
    <w:rsid w:val="00E2134F"/>
    <w:rsid w:val="00E21AF5"/>
    <w:rsid w:val="00E22171"/>
    <w:rsid w:val="00E2273E"/>
    <w:rsid w:val="00E23B34"/>
    <w:rsid w:val="00E2574C"/>
    <w:rsid w:val="00E2578E"/>
    <w:rsid w:val="00E26585"/>
    <w:rsid w:val="00E27DA9"/>
    <w:rsid w:val="00E27E53"/>
    <w:rsid w:val="00E31E41"/>
    <w:rsid w:val="00E32469"/>
    <w:rsid w:val="00E32F84"/>
    <w:rsid w:val="00E34102"/>
    <w:rsid w:val="00E3418D"/>
    <w:rsid w:val="00E35222"/>
    <w:rsid w:val="00E36855"/>
    <w:rsid w:val="00E41305"/>
    <w:rsid w:val="00E41906"/>
    <w:rsid w:val="00E44797"/>
    <w:rsid w:val="00E46053"/>
    <w:rsid w:val="00E47742"/>
    <w:rsid w:val="00E50236"/>
    <w:rsid w:val="00E50E99"/>
    <w:rsid w:val="00E52F6C"/>
    <w:rsid w:val="00E549FF"/>
    <w:rsid w:val="00E55630"/>
    <w:rsid w:val="00E5588C"/>
    <w:rsid w:val="00E55C11"/>
    <w:rsid w:val="00E56125"/>
    <w:rsid w:val="00E56E28"/>
    <w:rsid w:val="00E5798C"/>
    <w:rsid w:val="00E60289"/>
    <w:rsid w:val="00E60658"/>
    <w:rsid w:val="00E60825"/>
    <w:rsid w:val="00E61F49"/>
    <w:rsid w:val="00E63730"/>
    <w:rsid w:val="00E63B63"/>
    <w:rsid w:val="00E63DB2"/>
    <w:rsid w:val="00E63F07"/>
    <w:rsid w:val="00E64104"/>
    <w:rsid w:val="00E64CBC"/>
    <w:rsid w:val="00E65CCC"/>
    <w:rsid w:val="00E667C3"/>
    <w:rsid w:val="00E70D5B"/>
    <w:rsid w:val="00E715E8"/>
    <w:rsid w:val="00E71CD3"/>
    <w:rsid w:val="00E71E43"/>
    <w:rsid w:val="00E7221A"/>
    <w:rsid w:val="00E727FA"/>
    <w:rsid w:val="00E73BC1"/>
    <w:rsid w:val="00E73DFB"/>
    <w:rsid w:val="00E75B80"/>
    <w:rsid w:val="00E762A3"/>
    <w:rsid w:val="00E76F16"/>
    <w:rsid w:val="00E7784D"/>
    <w:rsid w:val="00E8049F"/>
    <w:rsid w:val="00E80740"/>
    <w:rsid w:val="00E8146F"/>
    <w:rsid w:val="00E819B6"/>
    <w:rsid w:val="00E82802"/>
    <w:rsid w:val="00E83614"/>
    <w:rsid w:val="00E83A6F"/>
    <w:rsid w:val="00E83BA8"/>
    <w:rsid w:val="00E83F4A"/>
    <w:rsid w:val="00E8572E"/>
    <w:rsid w:val="00E873A6"/>
    <w:rsid w:val="00E87850"/>
    <w:rsid w:val="00E87C5E"/>
    <w:rsid w:val="00E91A09"/>
    <w:rsid w:val="00E92099"/>
    <w:rsid w:val="00E92975"/>
    <w:rsid w:val="00E93492"/>
    <w:rsid w:val="00E93C80"/>
    <w:rsid w:val="00E959A0"/>
    <w:rsid w:val="00E95A16"/>
    <w:rsid w:val="00E95D89"/>
    <w:rsid w:val="00E97DA7"/>
    <w:rsid w:val="00EA0287"/>
    <w:rsid w:val="00EA07A6"/>
    <w:rsid w:val="00EA1101"/>
    <w:rsid w:val="00EA2B50"/>
    <w:rsid w:val="00EA2E96"/>
    <w:rsid w:val="00EA3972"/>
    <w:rsid w:val="00EA4CFE"/>
    <w:rsid w:val="00EA70A0"/>
    <w:rsid w:val="00EA745C"/>
    <w:rsid w:val="00EA7605"/>
    <w:rsid w:val="00EB04B0"/>
    <w:rsid w:val="00EB0A64"/>
    <w:rsid w:val="00EB0F9F"/>
    <w:rsid w:val="00EB118D"/>
    <w:rsid w:val="00EB3D33"/>
    <w:rsid w:val="00EB3EA8"/>
    <w:rsid w:val="00EB4E84"/>
    <w:rsid w:val="00EB567A"/>
    <w:rsid w:val="00EB5DE0"/>
    <w:rsid w:val="00EB63A4"/>
    <w:rsid w:val="00EB77EC"/>
    <w:rsid w:val="00EC0017"/>
    <w:rsid w:val="00EC11D0"/>
    <w:rsid w:val="00EC1432"/>
    <w:rsid w:val="00EC3D2F"/>
    <w:rsid w:val="00EC55F5"/>
    <w:rsid w:val="00EC592F"/>
    <w:rsid w:val="00ED0F52"/>
    <w:rsid w:val="00ED1267"/>
    <w:rsid w:val="00ED1756"/>
    <w:rsid w:val="00ED3921"/>
    <w:rsid w:val="00ED3C71"/>
    <w:rsid w:val="00ED3DB0"/>
    <w:rsid w:val="00ED4BD8"/>
    <w:rsid w:val="00ED6590"/>
    <w:rsid w:val="00ED678E"/>
    <w:rsid w:val="00ED683D"/>
    <w:rsid w:val="00ED6CF5"/>
    <w:rsid w:val="00EE00FB"/>
    <w:rsid w:val="00EE06D6"/>
    <w:rsid w:val="00EE33E8"/>
    <w:rsid w:val="00EE46C4"/>
    <w:rsid w:val="00EE4CD8"/>
    <w:rsid w:val="00EE5853"/>
    <w:rsid w:val="00EE7507"/>
    <w:rsid w:val="00EF1740"/>
    <w:rsid w:val="00EF3DBC"/>
    <w:rsid w:val="00EF4F38"/>
    <w:rsid w:val="00EF51D2"/>
    <w:rsid w:val="00EF591C"/>
    <w:rsid w:val="00F00A9E"/>
    <w:rsid w:val="00F00B6A"/>
    <w:rsid w:val="00F031B7"/>
    <w:rsid w:val="00F0375E"/>
    <w:rsid w:val="00F03946"/>
    <w:rsid w:val="00F04B3A"/>
    <w:rsid w:val="00F04FFF"/>
    <w:rsid w:val="00F05C78"/>
    <w:rsid w:val="00F102F3"/>
    <w:rsid w:val="00F11F02"/>
    <w:rsid w:val="00F122C1"/>
    <w:rsid w:val="00F12B5E"/>
    <w:rsid w:val="00F139A2"/>
    <w:rsid w:val="00F1473E"/>
    <w:rsid w:val="00F14944"/>
    <w:rsid w:val="00F14C7F"/>
    <w:rsid w:val="00F14CA3"/>
    <w:rsid w:val="00F16146"/>
    <w:rsid w:val="00F16207"/>
    <w:rsid w:val="00F170CC"/>
    <w:rsid w:val="00F17520"/>
    <w:rsid w:val="00F2236A"/>
    <w:rsid w:val="00F23F16"/>
    <w:rsid w:val="00F26A0B"/>
    <w:rsid w:val="00F32C74"/>
    <w:rsid w:val="00F346D1"/>
    <w:rsid w:val="00F34C36"/>
    <w:rsid w:val="00F34DD1"/>
    <w:rsid w:val="00F355BA"/>
    <w:rsid w:val="00F35D83"/>
    <w:rsid w:val="00F40C2E"/>
    <w:rsid w:val="00F4119C"/>
    <w:rsid w:val="00F43A8E"/>
    <w:rsid w:val="00F43DED"/>
    <w:rsid w:val="00F44227"/>
    <w:rsid w:val="00F45274"/>
    <w:rsid w:val="00F45DFB"/>
    <w:rsid w:val="00F51803"/>
    <w:rsid w:val="00F55247"/>
    <w:rsid w:val="00F56CEA"/>
    <w:rsid w:val="00F5727E"/>
    <w:rsid w:val="00F573BC"/>
    <w:rsid w:val="00F60C75"/>
    <w:rsid w:val="00F60E2D"/>
    <w:rsid w:val="00F61DE6"/>
    <w:rsid w:val="00F62831"/>
    <w:rsid w:val="00F62B15"/>
    <w:rsid w:val="00F63647"/>
    <w:rsid w:val="00F64A99"/>
    <w:rsid w:val="00F64CA1"/>
    <w:rsid w:val="00F66E4F"/>
    <w:rsid w:val="00F66E75"/>
    <w:rsid w:val="00F67430"/>
    <w:rsid w:val="00F702C0"/>
    <w:rsid w:val="00F70B0C"/>
    <w:rsid w:val="00F717FB"/>
    <w:rsid w:val="00F71F9D"/>
    <w:rsid w:val="00F73995"/>
    <w:rsid w:val="00F74159"/>
    <w:rsid w:val="00F77AE5"/>
    <w:rsid w:val="00F8067D"/>
    <w:rsid w:val="00F82C85"/>
    <w:rsid w:val="00F8301F"/>
    <w:rsid w:val="00F83A39"/>
    <w:rsid w:val="00F84B09"/>
    <w:rsid w:val="00F84CA7"/>
    <w:rsid w:val="00F853C1"/>
    <w:rsid w:val="00F86747"/>
    <w:rsid w:val="00F86E45"/>
    <w:rsid w:val="00F95A27"/>
    <w:rsid w:val="00F96478"/>
    <w:rsid w:val="00F96F4F"/>
    <w:rsid w:val="00FA09B6"/>
    <w:rsid w:val="00FA14AF"/>
    <w:rsid w:val="00FA1F1D"/>
    <w:rsid w:val="00FA2F4A"/>
    <w:rsid w:val="00FA3090"/>
    <w:rsid w:val="00FA347C"/>
    <w:rsid w:val="00FA36D2"/>
    <w:rsid w:val="00FB1C4C"/>
    <w:rsid w:val="00FB1CD4"/>
    <w:rsid w:val="00FB245A"/>
    <w:rsid w:val="00FB2A4D"/>
    <w:rsid w:val="00FB2C27"/>
    <w:rsid w:val="00FB3809"/>
    <w:rsid w:val="00FB69F0"/>
    <w:rsid w:val="00FC26EA"/>
    <w:rsid w:val="00FC3C5D"/>
    <w:rsid w:val="00FC4C36"/>
    <w:rsid w:val="00FC5CD9"/>
    <w:rsid w:val="00FC6398"/>
    <w:rsid w:val="00FC65DB"/>
    <w:rsid w:val="00FC7AE1"/>
    <w:rsid w:val="00FD05AD"/>
    <w:rsid w:val="00FD0746"/>
    <w:rsid w:val="00FD0C94"/>
    <w:rsid w:val="00FD118B"/>
    <w:rsid w:val="00FD2403"/>
    <w:rsid w:val="00FD2732"/>
    <w:rsid w:val="00FD32D5"/>
    <w:rsid w:val="00FD3416"/>
    <w:rsid w:val="00FD3773"/>
    <w:rsid w:val="00FD5F86"/>
    <w:rsid w:val="00FE0B67"/>
    <w:rsid w:val="00FE1210"/>
    <w:rsid w:val="00FE30DE"/>
    <w:rsid w:val="00FF0E09"/>
    <w:rsid w:val="00FF174F"/>
    <w:rsid w:val="00FF310E"/>
    <w:rsid w:val="00FF7FC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qFormat="1"/>
    <w:lsdException w:name="header" w:uiPriority="0"/>
    <w:lsdException w:name="caption" w:uiPriority="0" w:qFormat="1"/>
    <w:lsdException w:name="footnote reference" w:uiPriority="0"/>
    <w:lsdException w:name="page number" w:uiPriority="0"/>
    <w:lsdException w:name="endnote reference" w:uiPriority="0"/>
    <w:lsdException w:name="List" w:uiPriority="0"/>
    <w:lsdException w:name="List Bullet" w:uiPriority="0"/>
    <w:lsdException w:name="List 2" w:uiPriority="0"/>
    <w:lsdException w:name="List 3" w:uiPriority="0"/>
    <w:lsdException w:name="Title" w:semiHidden="0" w:uiPriority="10" w:unhideWhenUsed="0" w:qFormat="1"/>
    <w:lsdException w:name="Default Paragraph Font" w:uiPriority="1"/>
    <w:lsdException w:name="Body Text" w:uiPriority="0"/>
    <w:lsdException w:name="Body Text Indent" w:uiPriority="0"/>
    <w:lsdException w:name="List Continue 3" w:uiPriority="0"/>
    <w:lsdException w:name="Subtitle" w:semiHidden="0" w:uiPriority="11" w:unhideWhenUsed="0" w:qFormat="1"/>
    <w:lsdException w:name="Body Text 3"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Normal (Web)" w:qFormat="1"/>
    <w:lsdException w:name="HTML Preformatted" w:uiPriority="0"/>
    <w:lsdException w:name="Table Grid"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F45274"/>
  </w:style>
  <w:style w:type="paragraph" w:styleId="1">
    <w:name w:val="heading 1"/>
    <w:basedOn w:val="a1"/>
    <w:next w:val="a1"/>
    <w:link w:val="10"/>
    <w:uiPriority w:val="9"/>
    <w:qFormat/>
    <w:rsid w:val="00040D91"/>
    <w:pPr>
      <w:widowControl w:val="0"/>
      <w:autoSpaceDE w:val="0"/>
      <w:autoSpaceDN w:val="0"/>
      <w:adjustRightInd w:val="0"/>
      <w:spacing w:after="0" w:line="240" w:lineRule="auto"/>
      <w:outlineLvl w:val="0"/>
    </w:pPr>
    <w:rPr>
      <w:rFonts w:ascii="Times New Roman" w:eastAsia="Times New Roman" w:hAnsi="Times New Roman" w:cs="Times New Roman"/>
      <w:b/>
      <w:bCs/>
      <w:color w:val="000000"/>
      <w:sz w:val="32"/>
      <w:szCs w:val="32"/>
      <w:lang w:eastAsia="ru-RU"/>
    </w:rPr>
  </w:style>
  <w:style w:type="paragraph" w:styleId="2">
    <w:name w:val="heading 2"/>
    <w:basedOn w:val="a1"/>
    <w:next w:val="a1"/>
    <w:link w:val="20"/>
    <w:uiPriority w:val="99"/>
    <w:qFormat/>
    <w:rsid w:val="00040D91"/>
    <w:pPr>
      <w:widowControl w:val="0"/>
      <w:autoSpaceDE w:val="0"/>
      <w:autoSpaceDN w:val="0"/>
      <w:adjustRightInd w:val="0"/>
      <w:spacing w:after="0" w:line="240" w:lineRule="auto"/>
      <w:outlineLvl w:val="1"/>
    </w:pPr>
    <w:rPr>
      <w:rFonts w:ascii="Times New Roman" w:eastAsia="Times New Roman" w:hAnsi="Times New Roman" w:cs="Times New Roman"/>
      <w:b/>
      <w:bCs/>
      <w:i/>
      <w:iCs/>
      <w:color w:val="000000"/>
      <w:sz w:val="28"/>
      <w:szCs w:val="28"/>
      <w:lang w:eastAsia="ru-RU"/>
    </w:rPr>
  </w:style>
  <w:style w:type="paragraph" w:styleId="3">
    <w:name w:val="heading 3"/>
    <w:basedOn w:val="a1"/>
    <w:next w:val="a1"/>
    <w:link w:val="30"/>
    <w:uiPriority w:val="99"/>
    <w:qFormat/>
    <w:rsid w:val="00040D91"/>
    <w:pPr>
      <w:widowControl w:val="0"/>
      <w:autoSpaceDE w:val="0"/>
      <w:autoSpaceDN w:val="0"/>
      <w:adjustRightInd w:val="0"/>
      <w:spacing w:after="0" w:line="240" w:lineRule="auto"/>
      <w:outlineLvl w:val="2"/>
    </w:pPr>
    <w:rPr>
      <w:rFonts w:ascii="Times New Roman" w:eastAsia="Times New Roman" w:hAnsi="Times New Roman" w:cs="Times New Roman"/>
      <w:b/>
      <w:bCs/>
      <w:color w:val="000000"/>
      <w:sz w:val="26"/>
      <w:szCs w:val="26"/>
      <w:lang w:eastAsia="ru-RU"/>
    </w:rPr>
  </w:style>
  <w:style w:type="paragraph" w:styleId="4">
    <w:name w:val="heading 4"/>
    <w:basedOn w:val="a1"/>
    <w:next w:val="a1"/>
    <w:link w:val="40"/>
    <w:uiPriority w:val="9"/>
    <w:unhideWhenUsed/>
    <w:qFormat/>
    <w:rsid w:val="00040D91"/>
    <w:pPr>
      <w:keepNext/>
      <w:keepLines/>
      <w:widowControl w:val="0"/>
      <w:autoSpaceDE w:val="0"/>
      <w:autoSpaceDN w:val="0"/>
      <w:adjustRightInd w:val="0"/>
      <w:spacing w:before="40" w:after="0" w:line="240" w:lineRule="auto"/>
      <w:outlineLvl w:val="3"/>
    </w:pPr>
    <w:rPr>
      <w:rFonts w:asciiTheme="majorHAnsi" w:eastAsiaTheme="majorEastAsia" w:hAnsiTheme="majorHAnsi" w:cstheme="majorBidi"/>
      <w:i/>
      <w:iCs/>
      <w:color w:val="2F5496" w:themeColor="accent1" w:themeShade="BF"/>
      <w:sz w:val="18"/>
      <w:szCs w:val="18"/>
      <w:lang w:eastAsia="ru-RU"/>
    </w:rPr>
  </w:style>
  <w:style w:type="paragraph" w:styleId="5">
    <w:name w:val="heading 5"/>
    <w:basedOn w:val="a1"/>
    <w:next w:val="a1"/>
    <w:link w:val="50"/>
    <w:uiPriority w:val="9"/>
    <w:unhideWhenUsed/>
    <w:qFormat/>
    <w:rsid w:val="00040D91"/>
    <w:pPr>
      <w:widowControl w:val="0"/>
      <w:autoSpaceDE w:val="0"/>
      <w:autoSpaceDN w:val="0"/>
      <w:adjustRightInd w:val="0"/>
      <w:spacing w:before="240" w:after="60" w:line="240" w:lineRule="auto"/>
      <w:outlineLvl w:val="4"/>
    </w:pPr>
    <w:rPr>
      <w:rFonts w:ascii="Calibri" w:eastAsia="Times New Roman" w:hAnsi="Calibri" w:cs="Times New Roman"/>
      <w:b/>
      <w:bCs/>
      <w:i/>
      <w:iCs/>
      <w:color w:val="000000"/>
      <w:sz w:val="26"/>
      <w:szCs w:val="26"/>
      <w:lang w:eastAsia="ru-RU"/>
    </w:rPr>
  </w:style>
  <w:style w:type="paragraph" w:styleId="6">
    <w:name w:val="heading 6"/>
    <w:basedOn w:val="a1"/>
    <w:next w:val="a1"/>
    <w:link w:val="60"/>
    <w:uiPriority w:val="9"/>
    <w:qFormat/>
    <w:rsid w:val="00040D91"/>
    <w:pPr>
      <w:spacing w:before="240" w:after="60" w:line="240" w:lineRule="auto"/>
      <w:outlineLvl w:val="5"/>
    </w:pPr>
    <w:rPr>
      <w:rFonts w:ascii="Calibri" w:eastAsia="Times New Roman" w:hAnsi="Calibri" w:cs="Times New Roman"/>
      <w:b/>
      <w:bCs/>
      <w:sz w:val="20"/>
      <w:szCs w:val="20"/>
      <w:lang w:eastAsia="ru-RU"/>
    </w:rPr>
  </w:style>
  <w:style w:type="paragraph" w:styleId="7">
    <w:name w:val="heading 7"/>
    <w:basedOn w:val="a1"/>
    <w:next w:val="a1"/>
    <w:link w:val="70"/>
    <w:uiPriority w:val="9"/>
    <w:qFormat/>
    <w:rsid w:val="00040D91"/>
    <w:pPr>
      <w:spacing w:before="240" w:after="60" w:line="240" w:lineRule="auto"/>
      <w:outlineLvl w:val="6"/>
    </w:pPr>
    <w:rPr>
      <w:rFonts w:ascii="Calibri" w:eastAsia="Times New Roman" w:hAnsi="Calibri" w:cs="Times New Roman"/>
      <w:sz w:val="24"/>
      <w:szCs w:val="24"/>
      <w:lang w:eastAsia="ru-RU"/>
    </w:rPr>
  </w:style>
  <w:style w:type="paragraph" w:styleId="8">
    <w:name w:val="heading 8"/>
    <w:basedOn w:val="a1"/>
    <w:next w:val="a1"/>
    <w:link w:val="80"/>
    <w:uiPriority w:val="9"/>
    <w:qFormat/>
    <w:rsid w:val="00040D91"/>
    <w:pPr>
      <w:spacing w:before="240" w:after="60" w:line="240" w:lineRule="auto"/>
      <w:outlineLvl w:val="7"/>
    </w:pPr>
    <w:rPr>
      <w:rFonts w:ascii="Calibri" w:eastAsia="Times New Roman" w:hAnsi="Calibri" w:cs="Times New Roman"/>
      <w:i/>
      <w:iCs/>
      <w:sz w:val="24"/>
      <w:szCs w:val="24"/>
      <w:lang w:eastAsia="ru-RU"/>
    </w:rPr>
  </w:style>
  <w:style w:type="paragraph" w:styleId="9">
    <w:name w:val="heading 9"/>
    <w:basedOn w:val="a1"/>
    <w:next w:val="a1"/>
    <w:link w:val="90"/>
    <w:uiPriority w:val="9"/>
    <w:qFormat/>
    <w:rsid w:val="00040D91"/>
    <w:pPr>
      <w:spacing w:before="240" w:after="60" w:line="240" w:lineRule="auto"/>
      <w:outlineLvl w:val="8"/>
    </w:pPr>
    <w:rPr>
      <w:rFonts w:ascii="Cambria" w:eastAsia="Times New Roman" w:hAnsi="Cambria" w:cs="Times New Roman"/>
      <w:sz w:val="20"/>
      <w:szCs w:val="20"/>
      <w:lang w:eastAsia="ru-RU"/>
    </w:r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uiPriority w:val="9"/>
    <w:rsid w:val="00040D91"/>
    <w:rPr>
      <w:rFonts w:ascii="Times New Roman" w:eastAsia="Times New Roman" w:hAnsi="Times New Roman" w:cs="Times New Roman"/>
      <w:b/>
      <w:bCs/>
      <w:color w:val="000000"/>
      <w:sz w:val="32"/>
      <w:szCs w:val="32"/>
      <w:lang w:eastAsia="ru-RU"/>
    </w:rPr>
  </w:style>
  <w:style w:type="character" w:customStyle="1" w:styleId="20">
    <w:name w:val="Заголовок 2 Знак"/>
    <w:basedOn w:val="a2"/>
    <w:link w:val="2"/>
    <w:uiPriority w:val="99"/>
    <w:rsid w:val="00040D91"/>
    <w:rPr>
      <w:rFonts w:ascii="Times New Roman" w:eastAsia="Times New Roman" w:hAnsi="Times New Roman" w:cs="Times New Roman"/>
      <w:b/>
      <w:bCs/>
      <w:i/>
      <w:iCs/>
      <w:color w:val="000000"/>
      <w:sz w:val="28"/>
      <w:szCs w:val="28"/>
      <w:lang w:eastAsia="ru-RU"/>
    </w:rPr>
  </w:style>
  <w:style w:type="character" w:customStyle="1" w:styleId="30">
    <w:name w:val="Заголовок 3 Знак"/>
    <w:basedOn w:val="a2"/>
    <w:link w:val="3"/>
    <w:uiPriority w:val="99"/>
    <w:rsid w:val="00040D91"/>
    <w:rPr>
      <w:rFonts w:ascii="Times New Roman" w:eastAsia="Times New Roman" w:hAnsi="Times New Roman" w:cs="Times New Roman"/>
      <w:b/>
      <w:bCs/>
      <w:color w:val="000000"/>
      <w:sz w:val="26"/>
      <w:szCs w:val="26"/>
      <w:lang w:eastAsia="ru-RU"/>
    </w:rPr>
  </w:style>
  <w:style w:type="character" w:customStyle="1" w:styleId="40">
    <w:name w:val="Заголовок 4 Знак"/>
    <w:basedOn w:val="a2"/>
    <w:link w:val="4"/>
    <w:uiPriority w:val="9"/>
    <w:rsid w:val="00040D91"/>
    <w:rPr>
      <w:rFonts w:asciiTheme="majorHAnsi" w:eastAsiaTheme="majorEastAsia" w:hAnsiTheme="majorHAnsi" w:cstheme="majorBidi"/>
      <w:i/>
      <w:iCs/>
      <w:color w:val="2F5496" w:themeColor="accent1" w:themeShade="BF"/>
      <w:sz w:val="18"/>
      <w:szCs w:val="18"/>
      <w:lang w:eastAsia="ru-RU"/>
    </w:rPr>
  </w:style>
  <w:style w:type="character" w:customStyle="1" w:styleId="50">
    <w:name w:val="Заголовок 5 Знак"/>
    <w:basedOn w:val="a2"/>
    <w:link w:val="5"/>
    <w:uiPriority w:val="9"/>
    <w:rsid w:val="00040D91"/>
    <w:rPr>
      <w:rFonts w:ascii="Calibri" w:eastAsia="Times New Roman" w:hAnsi="Calibri" w:cs="Times New Roman"/>
      <w:b/>
      <w:bCs/>
      <w:i/>
      <w:iCs/>
      <w:color w:val="000000"/>
      <w:sz w:val="26"/>
      <w:szCs w:val="26"/>
      <w:lang w:eastAsia="ru-RU"/>
    </w:rPr>
  </w:style>
  <w:style w:type="character" w:customStyle="1" w:styleId="60">
    <w:name w:val="Заголовок 6 Знак"/>
    <w:basedOn w:val="a2"/>
    <w:link w:val="6"/>
    <w:uiPriority w:val="9"/>
    <w:rsid w:val="00040D91"/>
    <w:rPr>
      <w:rFonts w:ascii="Calibri" w:eastAsia="Times New Roman" w:hAnsi="Calibri" w:cs="Times New Roman"/>
      <w:b/>
      <w:bCs/>
      <w:sz w:val="20"/>
      <w:szCs w:val="20"/>
      <w:lang w:eastAsia="ru-RU"/>
    </w:rPr>
  </w:style>
  <w:style w:type="character" w:customStyle="1" w:styleId="70">
    <w:name w:val="Заголовок 7 Знак"/>
    <w:basedOn w:val="a2"/>
    <w:link w:val="7"/>
    <w:uiPriority w:val="9"/>
    <w:rsid w:val="00040D91"/>
    <w:rPr>
      <w:rFonts w:ascii="Calibri" w:eastAsia="Times New Roman" w:hAnsi="Calibri" w:cs="Times New Roman"/>
      <w:sz w:val="24"/>
      <w:szCs w:val="24"/>
      <w:lang w:eastAsia="ru-RU"/>
    </w:rPr>
  </w:style>
  <w:style w:type="character" w:customStyle="1" w:styleId="80">
    <w:name w:val="Заголовок 8 Знак"/>
    <w:basedOn w:val="a2"/>
    <w:link w:val="8"/>
    <w:uiPriority w:val="9"/>
    <w:rsid w:val="00040D91"/>
    <w:rPr>
      <w:rFonts w:ascii="Calibri" w:eastAsia="Times New Roman" w:hAnsi="Calibri" w:cs="Times New Roman"/>
      <w:i/>
      <w:iCs/>
      <w:sz w:val="24"/>
      <w:szCs w:val="24"/>
      <w:lang w:eastAsia="ru-RU"/>
    </w:rPr>
  </w:style>
  <w:style w:type="character" w:customStyle="1" w:styleId="90">
    <w:name w:val="Заголовок 9 Знак"/>
    <w:basedOn w:val="a2"/>
    <w:link w:val="9"/>
    <w:uiPriority w:val="9"/>
    <w:rsid w:val="00040D91"/>
    <w:rPr>
      <w:rFonts w:ascii="Cambria" w:eastAsia="Times New Roman" w:hAnsi="Cambria" w:cs="Times New Roman"/>
      <w:sz w:val="20"/>
      <w:szCs w:val="20"/>
      <w:lang w:eastAsia="ru-RU"/>
    </w:rPr>
  </w:style>
  <w:style w:type="numbering" w:customStyle="1" w:styleId="11">
    <w:name w:val="Нет списка1"/>
    <w:next w:val="a4"/>
    <w:uiPriority w:val="99"/>
    <w:semiHidden/>
    <w:unhideWhenUsed/>
    <w:rsid w:val="00040D91"/>
  </w:style>
  <w:style w:type="paragraph" w:styleId="a5">
    <w:name w:val="No Spacing"/>
    <w:link w:val="a6"/>
    <w:uiPriority w:val="1"/>
    <w:qFormat/>
    <w:rsid w:val="00040D91"/>
    <w:pPr>
      <w:widowControl w:val="0"/>
      <w:autoSpaceDE w:val="0"/>
      <w:autoSpaceDN w:val="0"/>
      <w:adjustRightInd w:val="0"/>
      <w:spacing w:after="0" w:line="240" w:lineRule="auto"/>
    </w:pPr>
    <w:rPr>
      <w:rFonts w:ascii="Times New Roman" w:eastAsia="Times New Roman" w:hAnsi="Times New Roman" w:cs="Times New Roman"/>
      <w:color w:val="000000"/>
      <w:sz w:val="18"/>
      <w:szCs w:val="18"/>
      <w:lang w:eastAsia="ru-RU"/>
    </w:rPr>
  </w:style>
  <w:style w:type="table" w:styleId="a7">
    <w:name w:val="Table Grid"/>
    <w:basedOn w:val="a3"/>
    <w:rsid w:val="00040D91"/>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header"/>
    <w:basedOn w:val="a1"/>
    <w:link w:val="a9"/>
    <w:unhideWhenUsed/>
    <w:rsid w:val="00040D91"/>
    <w:pPr>
      <w:widowControl w:val="0"/>
      <w:tabs>
        <w:tab w:val="center" w:pos="4677"/>
        <w:tab w:val="right" w:pos="9355"/>
      </w:tabs>
      <w:autoSpaceDE w:val="0"/>
      <w:autoSpaceDN w:val="0"/>
      <w:adjustRightInd w:val="0"/>
      <w:spacing w:after="0" w:line="240" w:lineRule="auto"/>
    </w:pPr>
    <w:rPr>
      <w:rFonts w:ascii="Times New Roman" w:eastAsia="Times New Roman" w:hAnsi="Times New Roman" w:cs="Times New Roman"/>
      <w:color w:val="000000"/>
      <w:sz w:val="18"/>
      <w:szCs w:val="18"/>
      <w:lang w:eastAsia="ru-RU"/>
    </w:rPr>
  </w:style>
  <w:style w:type="character" w:customStyle="1" w:styleId="a9">
    <w:name w:val="Верхний колонтитул Знак"/>
    <w:basedOn w:val="a2"/>
    <w:link w:val="a8"/>
    <w:rsid w:val="00040D91"/>
    <w:rPr>
      <w:rFonts w:ascii="Times New Roman" w:eastAsia="Times New Roman" w:hAnsi="Times New Roman" w:cs="Times New Roman"/>
      <w:color w:val="000000"/>
      <w:sz w:val="18"/>
      <w:szCs w:val="18"/>
      <w:lang w:eastAsia="ru-RU"/>
    </w:rPr>
  </w:style>
  <w:style w:type="paragraph" w:styleId="aa">
    <w:name w:val="footer"/>
    <w:basedOn w:val="a1"/>
    <w:link w:val="ab"/>
    <w:uiPriority w:val="99"/>
    <w:unhideWhenUsed/>
    <w:rsid w:val="00040D91"/>
    <w:pPr>
      <w:widowControl w:val="0"/>
      <w:tabs>
        <w:tab w:val="center" w:pos="4677"/>
        <w:tab w:val="right" w:pos="9355"/>
      </w:tabs>
      <w:autoSpaceDE w:val="0"/>
      <w:autoSpaceDN w:val="0"/>
      <w:adjustRightInd w:val="0"/>
      <w:spacing w:after="0" w:line="240" w:lineRule="auto"/>
    </w:pPr>
    <w:rPr>
      <w:rFonts w:ascii="Times New Roman" w:eastAsia="Times New Roman" w:hAnsi="Times New Roman" w:cs="Times New Roman"/>
      <w:color w:val="000000"/>
      <w:sz w:val="18"/>
      <w:szCs w:val="18"/>
      <w:lang w:eastAsia="ru-RU"/>
    </w:rPr>
  </w:style>
  <w:style w:type="character" w:customStyle="1" w:styleId="ab">
    <w:name w:val="Нижний колонтитул Знак"/>
    <w:basedOn w:val="a2"/>
    <w:link w:val="aa"/>
    <w:uiPriority w:val="99"/>
    <w:rsid w:val="00040D91"/>
    <w:rPr>
      <w:rFonts w:ascii="Times New Roman" w:eastAsia="Times New Roman" w:hAnsi="Times New Roman" w:cs="Times New Roman"/>
      <w:color w:val="000000"/>
      <w:sz w:val="18"/>
      <w:szCs w:val="18"/>
      <w:lang w:eastAsia="ru-RU"/>
    </w:rPr>
  </w:style>
  <w:style w:type="character" w:customStyle="1" w:styleId="12">
    <w:name w:val="Знак Знак1"/>
    <w:rsid w:val="00040D91"/>
    <w:rPr>
      <w:sz w:val="22"/>
      <w:szCs w:val="22"/>
    </w:rPr>
  </w:style>
  <w:style w:type="character" w:styleId="ac">
    <w:name w:val="Hyperlink"/>
    <w:uiPriority w:val="99"/>
    <w:rsid w:val="00040D91"/>
    <w:rPr>
      <w:color w:val="0000FF"/>
      <w:u w:val="single"/>
    </w:rPr>
  </w:style>
  <w:style w:type="paragraph" w:styleId="ad">
    <w:name w:val="TOC Heading"/>
    <w:basedOn w:val="1"/>
    <w:next w:val="a1"/>
    <w:uiPriority w:val="39"/>
    <w:unhideWhenUsed/>
    <w:qFormat/>
    <w:rsid w:val="00040D91"/>
    <w:pPr>
      <w:keepNext/>
      <w:keepLines/>
      <w:widowControl/>
      <w:autoSpaceDE/>
      <w:autoSpaceDN/>
      <w:adjustRightInd/>
      <w:spacing w:before="240" w:line="259" w:lineRule="auto"/>
      <w:outlineLvl w:val="9"/>
    </w:pPr>
    <w:rPr>
      <w:rFonts w:ascii="Calibri Light" w:hAnsi="Calibri Light"/>
      <w:b w:val="0"/>
      <w:bCs w:val="0"/>
      <w:color w:val="2E74B5"/>
    </w:rPr>
  </w:style>
  <w:style w:type="paragraph" w:styleId="13">
    <w:name w:val="toc 1"/>
    <w:basedOn w:val="a1"/>
    <w:next w:val="a1"/>
    <w:autoRedefine/>
    <w:uiPriority w:val="39"/>
    <w:unhideWhenUsed/>
    <w:qFormat/>
    <w:rsid w:val="00040D91"/>
    <w:pPr>
      <w:widowControl w:val="0"/>
      <w:tabs>
        <w:tab w:val="right" w:leader="dot" w:pos="9487"/>
      </w:tabs>
      <w:autoSpaceDE w:val="0"/>
      <w:autoSpaceDN w:val="0"/>
      <w:adjustRightInd w:val="0"/>
      <w:spacing w:after="0" w:line="240" w:lineRule="auto"/>
    </w:pPr>
    <w:rPr>
      <w:rFonts w:ascii="Arial Black" w:eastAsia="Times New Roman" w:hAnsi="Arial Black" w:cs="Times New Roman"/>
      <w:noProof/>
      <w:lang w:eastAsia="ru-RU"/>
    </w:rPr>
  </w:style>
  <w:style w:type="paragraph" w:styleId="31">
    <w:name w:val="toc 3"/>
    <w:basedOn w:val="a1"/>
    <w:next w:val="a1"/>
    <w:autoRedefine/>
    <w:uiPriority w:val="39"/>
    <w:unhideWhenUsed/>
    <w:rsid w:val="00040D91"/>
    <w:pPr>
      <w:widowControl w:val="0"/>
      <w:autoSpaceDE w:val="0"/>
      <w:autoSpaceDN w:val="0"/>
      <w:adjustRightInd w:val="0"/>
      <w:spacing w:after="0" w:line="240" w:lineRule="auto"/>
      <w:ind w:left="360"/>
    </w:pPr>
    <w:rPr>
      <w:rFonts w:ascii="Times New Roman" w:eastAsia="Times New Roman" w:hAnsi="Times New Roman" w:cs="Times New Roman"/>
      <w:color w:val="000000"/>
      <w:sz w:val="18"/>
      <w:szCs w:val="18"/>
      <w:lang w:eastAsia="ru-RU"/>
    </w:rPr>
  </w:style>
  <w:style w:type="paragraph" w:styleId="ae">
    <w:name w:val="Title"/>
    <w:basedOn w:val="a1"/>
    <w:link w:val="af"/>
    <w:uiPriority w:val="10"/>
    <w:qFormat/>
    <w:rsid w:val="00040D9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f">
    <w:name w:val="Название Знак"/>
    <w:basedOn w:val="a2"/>
    <w:link w:val="ae"/>
    <w:uiPriority w:val="10"/>
    <w:rsid w:val="00040D91"/>
    <w:rPr>
      <w:rFonts w:ascii="Times New Roman" w:eastAsia="Times New Roman" w:hAnsi="Times New Roman" w:cs="Times New Roman"/>
      <w:sz w:val="24"/>
      <w:szCs w:val="24"/>
      <w:lang w:eastAsia="ru-RU"/>
    </w:rPr>
  </w:style>
  <w:style w:type="paragraph" w:customStyle="1" w:styleId="14">
    <w:name w:val="Абзац_1"/>
    <w:basedOn w:val="a1"/>
    <w:link w:val="15"/>
    <w:autoRedefine/>
    <w:rsid w:val="00040D91"/>
    <w:pPr>
      <w:tabs>
        <w:tab w:val="left" w:pos="851"/>
        <w:tab w:val="left" w:pos="2160"/>
      </w:tabs>
      <w:spacing w:after="0" w:line="360" w:lineRule="auto"/>
      <w:ind w:firstLine="709"/>
      <w:jc w:val="both"/>
    </w:pPr>
    <w:rPr>
      <w:rFonts w:ascii="Times New Roman" w:eastAsia="MS Mincho" w:hAnsi="Times New Roman" w:cs="Times New Roman"/>
      <w:sz w:val="24"/>
      <w:szCs w:val="24"/>
      <w:lang w:eastAsia="ja-JP"/>
    </w:rPr>
  </w:style>
  <w:style w:type="character" w:customStyle="1" w:styleId="15">
    <w:name w:val="Абзац_1 Знак"/>
    <w:link w:val="14"/>
    <w:locked/>
    <w:rsid w:val="00040D91"/>
    <w:rPr>
      <w:rFonts w:ascii="Times New Roman" w:eastAsia="MS Mincho" w:hAnsi="Times New Roman" w:cs="Times New Roman"/>
      <w:sz w:val="24"/>
      <w:szCs w:val="24"/>
      <w:lang w:eastAsia="ja-JP"/>
    </w:rPr>
  </w:style>
  <w:style w:type="paragraph" w:styleId="af0">
    <w:name w:val="footnote text"/>
    <w:aliases w:val="Текст сноски Знак1,Текст сноски Знак Знак,Текст сноски Знак1 Знак Знак,Текст сноски Знак Знак Знак Знак,Текст сноски Знак1 Знак Знак Знак Знак1,Текст сноски Знак Знак Знак Знак Знак Знак1,Footnote Text Char Знак Знак,Table_Footnote_last"/>
    <w:basedOn w:val="a1"/>
    <w:link w:val="af1"/>
    <w:qFormat/>
    <w:rsid w:val="00040D91"/>
    <w:pPr>
      <w:spacing w:after="0" w:line="240" w:lineRule="auto"/>
    </w:pPr>
    <w:rPr>
      <w:rFonts w:ascii="Times New Roman" w:eastAsia="Times New Roman" w:hAnsi="Times New Roman" w:cs="Times New Roman"/>
      <w:bCs/>
      <w:sz w:val="20"/>
      <w:szCs w:val="20"/>
      <w:lang w:eastAsia="ru-RU"/>
    </w:rPr>
  </w:style>
  <w:style w:type="character" w:customStyle="1" w:styleId="af1">
    <w:name w:val="Текст сноски Знак"/>
    <w:aliases w:val="Текст сноски Знак1 Знак,Текст сноски Знак Знак Знак,Текст сноски Знак1 Знак Знак Знак,Текст сноски Знак Знак Знак Знак Знак,Текст сноски Знак1 Знак Знак Знак Знак1 Знак,Текст сноски Знак Знак Знак Знак Знак Знак1 Знак"/>
    <w:basedOn w:val="a2"/>
    <w:link w:val="af0"/>
    <w:rsid w:val="00040D91"/>
    <w:rPr>
      <w:rFonts w:ascii="Times New Roman" w:eastAsia="Times New Roman" w:hAnsi="Times New Roman" w:cs="Times New Roman"/>
      <w:bCs/>
      <w:sz w:val="20"/>
      <w:szCs w:val="20"/>
      <w:lang w:eastAsia="ru-RU"/>
    </w:rPr>
  </w:style>
  <w:style w:type="character" w:styleId="af2">
    <w:name w:val="footnote reference"/>
    <w:aliases w:val="Знак сноски-FN,Ciae niinee-FN,16 Point,Superscript 6 Point,Ciae niinee 1,Çíàê ñíîñêè 1,Çíàê ñíîñêè-FN,Знак сноски 1,Ссылка на сноску 45,fr,Used by Word for Help footnote symbols,Referencia nota al pie,SUPERS"/>
    <w:rsid w:val="00040D91"/>
    <w:rPr>
      <w:vertAlign w:val="superscript"/>
    </w:rPr>
  </w:style>
  <w:style w:type="character" w:customStyle="1" w:styleId="FontStyle27">
    <w:name w:val="Font Style27"/>
    <w:uiPriority w:val="99"/>
    <w:rsid w:val="00040D91"/>
    <w:rPr>
      <w:rFonts w:ascii="Times New Roman" w:hAnsi="Times New Roman" w:cs="Times New Roman"/>
      <w:sz w:val="26"/>
      <w:szCs w:val="26"/>
    </w:rPr>
  </w:style>
  <w:style w:type="character" w:styleId="af3">
    <w:name w:val="Strong"/>
    <w:uiPriority w:val="22"/>
    <w:qFormat/>
    <w:rsid w:val="00040D91"/>
    <w:rPr>
      <w:b/>
      <w:bCs/>
    </w:rPr>
  </w:style>
  <w:style w:type="paragraph" w:styleId="21">
    <w:name w:val="toc 2"/>
    <w:basedOn w:val="a1"/>
    <w:next w:val="a1"/>
    <w:autoRedefine/>
    <w:uiPriority w:val="39"/>
    <w:unhideWhenUsed/>
    <w:rsid w:val="00040D91"/>
    <w:pPr>
      <w:widowControl w:val="0"/>
      <w:autoSpaceDE w:val="0"/>
      <w:autoSpaceDN w:val="0"/>
      <w:adjustRightInd w:val="0"/>
      <w:spacing w:after="0" w:line="240" w:lineRule="auto"/>
      <w:ind w:left="180"/>
    </w:pPr>
    <w:rPr>
      <w:rFonts w:ascii="Times New Roman" w:eastAsia="Times New Roman" w:hAnsi="Times New Roman" w:cs="Times New Roman"/>
      <w:color w:val="000000"/>
      <w:sz w:val="18"/>
      <w:szCs w:val="18"/>
      <w:lang w:eastAsia="ru-RU"/>
    </w:rPr>
  </w:style>
  <w:style w:type="paragraph" w:styleId="41">
    <w:name w:val="toc 4"/>
    <w:basedOn w:val="a1"/>
    <w:next w:val="a1"/>
    <w:autoRedefine/>
    <w:uiPriority w:val="39"/>
    <w:unhideWhenUsed/>
    <w:rsid w:val="00040D91"/>
    <w:pPr>
      <w:spacing w:after="100"/>
      <w:ind w:left="660"/>
    </w:pPr>
    <w:rPr>
      <w:rFonts w:ascii="Calibri" w:eastAsia="Times New Roman" w:hAnsi="Calibri" w:cs="Times New Roman"/>
      <w:lang w:eastAsia="ru-RU"/>
    </w:rPr>
  </w:style>
  <w:style w:type="paragraph" w:styleId="51">
    <w:name w:val="toc 5"/>
    <w:basedOn w:val="a1"/>
    <w:next w:val="a1"/>
    <w:autoRedefine/>
    <w:uiPriority w:val="39"/>
    <w:unhideWhenUsed/>
    <w:rsid w:val="00040D91"/>
    <w:pPr>
      <w:spacing w:after="100"/>
      <w:ind w:left="880"/>
    </w:pPr>
    <w:rPr>
      <w:rFonts w:ascii="Calibri" w:eastAsia="Times New Roman" w:hAnsi="Calibri" w:cs="Times New Roman"/>
      <w:lang w:eastAsia="ru-RU"/>
    </w:rPr>
  </w:style>
  <w:style w:type="paragraph" w:styleId="61">
    <w:name w:val="toc 6"/>
    <w:basedOn w:val="a1"/>
    <w:next w:val="a1"/>
    <w:autoRedefine/>
    <w:uiPriority w:val="39"/>
    <w:unhideWhenUsed/>
    <w:rsid w:val="00040D91"/>
    <w:pPr>
      <w:spacing w:after="100"/>
      <w:ind w:left="1100"/>
    </w:pPr>
    <w:rPr>
      <w:rFonts w:ascii="Calibri" w:eastAsia="Times New Roman" w:hAnsi="Calibri" w:cs="Times New Roman"/>
      <w:lang w:eastAsia="ru-RU"/>
    </w:rPr>
  </w:style>
  <w:style w:type="paragraph" w:styleId="71">
    <w:name w:val="toc 7"/>
    <w:basedOn w:val="a1"/>
    <w:next w:val="a1"/>
    <w:autoRedefine/>
    <w:uiPriority w:val="39"/>
    <w:unhideWhenUsed/>
    <w:rsid w:val="00040D91"/>
    <w:pPr>
      <w:spacing w:after="100"/>
      <w:ind w:left="1320"/>
    </w:pPr>
    <w:rPr>
      <w:rFonts w:ascii="Calibri" w:eastAsia="Times New Roman" w:hAnsi="Calibri" w:cs="Times New Roman"/>
      <w:lang w:eastAsia="ru-RU"/>
    </w:rPr>
  </w:style>
  <w:style w:type="paragraph" w:styleId="81">
    <w:name w:val="toc 8"/>
    <w:basedOn w:val="a1"/>
    <w:next w:val="a1"/>
    <w:autoRedefine/>
    <w:uiPriority w:val="39"/>
    <w:unhideWhenUsed/>
    <w:rsid w:val="00040D91"/>
    <w:pPr>
      <w:spacing w:after="100"/>
      <w:ind w:left="1540"/>
    </w:pPr>
    <w:rPr>
      <w:rFonts w:ascii="Calibri" w:eastAsia="Times New Roman" w:hAnsi="Calibri" w:cs="Times New Roman"/>
      <w:lang w:eastAsia="ru-RU"/>
    </w:rPr>
  </w:style>
  <w:style w:type="paragraph" w:styleId="91">
    <w:name w:val="toc 9"/>
    <w:basedOn w:val="a1"/>
    <w:next w:val="a1"/>
    <w:autoRedefine/>
    <w:uiPriority w:val="39"/>
    <w:unhideWhenUsed/>
    <w:rsid w:val="00040D91"/>
    <w:pPr>
      <w:spacing w:after="100"/>
      <w:ind w:left="1760"/>
    </w:pPr>
    <w:rPr>
      <w:rFonts w:ascii="Calibri" w:eastAsia="Times New Roman" w:hAnsi="Calibri" w:cs="Times New Roman"/>
      <w:lang w:eastAsia="ru-RU"/>
    </w:rPr>
  </w:style>
  <w:style w:type="paragraph" w:styleId="af4">
    <w:name w:val="Body Text"/>
    <w:basedOn w:val="a1"/>
    <w:link w:val="af5"/>
    <w:rsid w:val="00040D91"/>
    <w:pPr>
      <w:spacing w:after="120" w:line="240" w:lineRule="auto"/>
    </w:pPr>
    <w:rPr>
      <w:rFonts w:ascii="Calibri" w:eastAsia="Times New Roman" w:hAnsi="Calibri" w:cs="Times New Roman"/>
      <w:sz w:val="24"/>
      <w:szCs w:val="24"/>
      <w:lang w:val="en-US" w:eastAsia="ko-KR"/>
    </w:rPr>
  </w:style>
  <w:style w:type="character" w:customStyle="1" w:styleId="af5">
    <w:name w:val="Основной текст Знак"/>
    <w:basedOn w:val="a2"/>
    <w:link w:val="af4"/>
    <w:rsid w:val="00040D91"/>
    <w:rPr>
      <w:rFonts w:ascii="Calibri" w:eastAsia="Times New Roman" w:hAnsi="Calibri" w:cs="Times New Roman"/>
      <w:sz w:val="24"/>
      <w:szCs w:val="24"/>
      <w:lang w:val="en-US" w:eastAsia="ko-KR"/>
    </w:rPr>
  </w:style>
  <w:style w:type="character" w:customStyle="1" w:styleId="82">
    <w:name w:val="Основной текст + 8"/>
    <w:aliases w:val="5 pt,Полужирный"/>
    <w:rsid w:val="00040D91"/>
    <w:rPr>
      <w:rFonts w:ascii="Arial" w:hAnsi="Arial"/>
      <w:b/>
      <w:sz w:val="17"/>
      <w:shd w:val="clear" w:color="auto" w:fill="FFFFFF"/>
    </w:rPr>
  </w:style>
  <w:style w:type="character" w:customStyle="1" w:styleId="810">
    <w:name w:val="Основной текст + 81"/>
    <w:aliases w:val="5 pt2,Курсив"/>
    <w:rsid w:val="00040D91"/>
    <w:rPr>
      <w:rFonts w:ascii="Arial" w:hAnsi="Arial"/>
      <w:i/>
      <w:sz w:val="17"/>
      <w:shd w:val="clear" w:color="auto" w:fill="FFFFFF"/>
    </w:rPr>
  </w:style>
  <w:style w:type="character" w:customStyle="1" w:styleId="Sylfaen">
    <w:name w:val="Основной текст + Sylfaen"/>
    <w:aliases w:val="10,5 pt1,Полужирный1"/>
    <w:rsid w:val="00040D91"/>
    <w:rPr>
      <w:rFonts w:ascii="Sylfaen" w:hAnsi="Sylfaen"/>
      <w:b/>
      <w:sz w:val="21"/>
      <w:shd w:val="clear" w:color="auto" w:fill="FFFFFF"/>
    </w:rPr>
  </w:style>
  <w:style w:type="paragraph" w:customStyle="1" w:styleId="16">
    <w:name w:val="1"/>
    <w:basedOn w:val="a1"/>
    <w:link w:val="17"/>
    <w:autoRedefine/>
    <w:qFormat/>
    <w:rsid w:val="00040D91"/>
    <w:pPr>
      <w:widowControl w:val="0"/>
      <w:autoSpaceDE w:val="0"/>
      <w:autoSpaceDN w:val="0"/>
      <w:adjustRightInd w:val="0"/>
      <w:spacing w:after="0" w:line="240" w:lineRule="auto"/>
    </w:pPr>
    <w:rPr>
      <w:rFonts w:ascii="Times New Roman" w:eastAsia="Times New Roman" w:hAnsi="Times New Roman" w:cs="Times New Roman"/>
      <w:b/>
      <w:color w:val="000000"/>
      <w:sz w:val="32"/>
      <w:szCs w:val="18"/>
      <w:lang w:eastAsia="ru-RU"/>
    </w:rPr>
  </w:style>
  <w:style w:type="character" w:customStyle="1" w:styleId="17">
    <w:name w:val="1 Знак"/>
    <w:link w:val="16"/>
    <w:rsid w:val="00040D91"/>
    <w:rPr>
      <w:rFonts w:ascii="Times New Roman" w:eastAsia="Times New Roman" w:hAnsi="Times New Roman" w:cs="Times New Roman"/>
      <w:b/>
      <w:color w:val="000000"/>
      <w:sz w:val="32"/>
      <w:szCs w:val="18"/>
      <w:lang w:eastAsia="ru-RU"/>
    </w:rPr>
  </w:style>
  <w:style w:type="paragraph" w:customStyle="1" w:styleId="22">
    <w:name w:val="2"/>
    <w:basedOn w:val="16"/>
    <w:link w:val="23"/>
    <w:autoRedefine/>
    <w:qFormat/>
    <w:rsid w:val="00040D91"/>
    <w:rPr>
      <w:sz w:val="28"/>
    </w:rPr>
  </w:style>
  <w:style w:type="character" w:customStyle="1" w:styleId="23">
    <w:name w:val="2 Знак"/>
    <w:link w:val="22"/>
    <w:rsid w:val="00040D91"/>
    <w:rPr>
      <w:rFonts w:ascii="Times New Roman" w:eastAsia="Times New Roman" w:hAnsi="Times New Roman" w:cs="Times New Roman"/>
      <w:b/>
      <w:color w:val="000000"/>
      <w:sz w:val="28"/>
      <w:szCs w:val="18"/>
      <w:lang w:eastAsia="ru-RU"/>
    </w:rPr>
  </w:style>
  <w:style w:type="paragraph" w:customStyle="1" w:styleId="Style3">
    <w:name w:val="Style3"/>
    <w:basedOn w:val="a1"/>
    <w:uiPriority w:val="99"/>
    <w:rsid w:val="00040D91"/>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styleId="af6">
    <w:name w:val="FollowedHyperlink"/>
    <w:uiPriority w:val="99"/>
    <w:unhideWhenUsed/>
    <w:rsid w:val="00040D91"/>
    <w:rPr>
      <w:color w:val="954F72"/>
      <w:u w:val="single"/>
    </w:rPr>
  </w:style>
  <w:style w:type="paragraph" w:styleId="32">
    <w:name w:val="Body Text 3"/>
    <w:basedOn w:val="a1"/>
    <w:link w:val="33"/>
    <w:rsid w:val="00040D91"/>
    <w:pPr>
      <w:spacing w:after="120" w:line="240" w:lineRule="auto"/>
    </w:pPr>
    <w:rPr>
      <w:rFonts w:ascii="Times New Roman" w:eastAsia="Times New Roman" w:hAnsi="Times New Roman" w:cs="Times New Roman"/>
      <w:sz w:val="16"/>
      <w:szCs w:val="16"/>
      <w:lang w:eastAsia="ru-RU"/>
    </w:rPr>
  </w:style>
  <w:style w:type="character" w:customStyle="1" w:styleId="33">
    <w:name w:val="Основной текст 3 Знак"/>
    <w:basedOn w:val="a2"/>
    <w:link w:val="32"/>
    <w:rsid w:val="00040D91"/>
    <w:rPr>
      <w:rFonts w:ascii="Times New Roman" w:eastAsia="Times New Roman" w:hAnsi="Times New Roman" w:cs="Times New Roman"/>
      <w:sz w:val="16"/>
      <w:szCs w:val="16"/>
      <w:lang w:eastAsia="ru-RU"/>
    </w:rPr>
  </w:style>
  <w:style w:type="paragraph" w:styleId="af7">
    <w:name w:val="Normal (Web)"/>
    <w:aliases w:val="Знак1,Обычный (Web),Знак Знак10,Обычный (Web)1"/>
    <w:basedOn w:val="a1"/>
    <w:link w:val="af8"/>
    <w:uiPriority w:val="99"/>
    <w:unhideWhenUsed/>
    <w:qFormat/>
    <w:rsid w:val="00040D9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9">
    <w:name w:val="annotation reference"/>
    <w:uiPriority w:val="99"/>
    <w:unhideWhenUsed/>
    <w:rsid w:val="00040D91"/>
    <w:rPr>
      <w:sz w:val="16"/>
      <w:szCs w:val="16"/>
    </w:rPr>
  </w:style>
  <w:style w:type="paragraph" w:styleId="afa">
    <w:name w:val="annotation text"/>
    <w:basedOn w:val="a1"/>
    <w:link w:val="afb"/>
    <w:uiPriority w:val="99"/>
    <w:unhideWhenUsed/>
    <w:rsid w:val="00040D91"/>
    <w:pPr>
      <w:widowControl w:val="0"/>
      <w:autoSpaceDE w:val="0"/>
      <w:autoSpaceDN w:val="0"/>
      <w:adjustRightInd w:val="0"/>
      <w:spacing w:after="0" w:line="240" w:lineRule="auto"/>
    </w:pPr>
    <w:rPr>
      <w:rFonts w:ascii="Times New Roman" w:eastAsia="Times New Roman" w:hAnsi="Times New Roman" w:cs="Times New Roman"/>
      <w:color w:val="000000"/>
      <w:sz w:val="20"/>
      <w:szCs w:val="20"/>
      <w:lang w:eastAsia="ru-RU"/>
    </w:rPr>
  </w:style>
  <w:style w:type="character" w:customStyle="1" w:styleId="afb">
    <w:name w:val="Текст примечания Знак"/>
    <w:basedOn w:val="a2"/>
    <w:link w:val="afa"/>
    <w:uiPriority w:val="99"/>
    <w:rsid w:val="00040D91"/>
    <w:rPr>
      <w:rFonts w:ascii="Times New Roman" w:eastAsia="Times New Roman" w:hAnsi="Times New Roman" w:cs="Times New Roman"/>
      <w:color w:val="000000"/>
      <w:sz w:val="20"/>
      <w:szCs w:val="20"/>
      <w:lang w:eastAsia="ru-RU"/>
    </w:rPr>
  </w:style>
  <w:style w:type="paragraph" w:styleId="afc">
    <w:name w:val="annotation subject"/>
    <w:basedOn w:val="afa"/>
    <w:next w:val="afa"/>
    <w:link w:val="afd"/>
    <w:uiPriority w:val="99"/>
    <w:unhideWhenUsed/>
    <w:rsid w:val="00040D91"/>
    <w:rPr>
      <w:b/>
      <w:bCs/>
    </w:rPr>
  </w:style>
  <w:style w:type="character" w:customStyle="1" w:styleId="afd">
    <w:name w:val="Тема примечания Знак"/>
    <w:basedOn w:val="afb"/>
    <w:link w:val="afc"/>
    <w:uiPriority w:val="99"/>
    <w:rsid w:val="00040D91"/>
    <w:rPr>
      <w:rFonts w:ascii="Times New Roman" w:eastAsia="Times New Roman" w:hAnsi="Times New Roman" w:cs="Times New Roman"/>
      <w:b/>
      <w:bCs/>
      <w:color w:val="000000"/>
      <w:sz w:val="20"/>
      <w:szCs w:val="20"/>
      <w:lang w:eastAsia="ru-RU"/>
    </w:rPr>
  </w:style>
  <w:style w:type="paragraph" w:styleId="afe">
    <w:name w:val="Balloon Text"/>
    <w:basedOn w:val="a1"/>
    <w:link w:val="aff"/>
    <w:uiPriority w:val="99"/>
    <w:unhideWhenUsed/>
    <w:rsid w:val="00040D91"/>
    <w:pPr>
      <w:widowControl w:val="0"/>
      <w:autoSpaceDE w:val="0"/>
      <w:autoSpaceDN w:val="0"/>
      <w:adjustRightInd w:val="0"/>
      <w:spacing w:after="0" w:line="240" w:lineRule="auto"/>
    </w:pPr>
    <w:rPr>
      <w:rFonts w:ascii="Segoe UI" w:eastAsia="Times New Roman" w:hAnsi="Segoe UI" w:cs="Segoe UI"/>
      <w:color w:val="000000"/>
      <w:sz w:val="18"/>
      <w:szCs w:val="18"/>
      <w:lang w:eastAsia="ru-RU"/>
    </w:rPr>
  </w:style>
  <w:style w:type="character" w:customStyle="1" w:styleId="aff">
    <w:name w:val="Текст выноски Знак"/>
    <w:basedOn w:val="a2"/>
    <w:link w:val="afe"/>
    <w:uiPriority w:val="99"/>
    <w:rsid w:val="00040D91"/>
    <w:rPr>
      <w:rFonts w:ascii="Segoe UI" w:eastAsia="Times New Roman" w:hAnsi="Segoe UI" w:cs="Segoe UI"/>
      <w:color w:val="000000"/>
      <w:sz w:val="18"/>
      <w:szCs w:val="18"/>
      <w:lang w:eastAsia="ru-RU"/>
    </w:rPr>
  </w:style>
  <w:style w:type="character" w:styleId="aff0">
    <w:name w:val="page number"/>
    <w:rsid w:val="00040D91"/>
    <w:rPr>
      <w:rFonts w:cs="Times New Roman"/>
    </w:rPr>
  </w:style>
  <w:style w:type="table" w:customStyle="1" w:styleId="-651">
    <w:name w:val="Список-таблица 6 цветная — акцент 51"/>
    <w:basedOn w:val="a3"/>
    <w:uiPriority w:val="51"/>
    <w:rsid w:val="00040D91"/>
    <w:pPr>
      <w:spacing w:after="0" w:line="240" w:lineRule="auto"/>
    </w:pPr>
    <w:rPr>
      <w:rFonts w:ascii="Calibri" w:eastAsia="Times New Roman" w:hAnsi="Calibri" w:cs="Times New Roman"/>
      <w:color w:val="2E74B5" w:themeColor="accent5" w:themeShade="BF"/>
      <w:sz w:val="20"/>
      <w:szCs w:val="20"/>
      <w:lang w:eastAsia="ru-RU"/>
    </w:rPr>
    <w:tblPr>
      <w:tblStyleRowBandSize w:val="1"/>
      <w:tblStyleColBandSize w:val="1"/>
      <w:tblInd w:w="0" w:type="dxa"/>
      <w:tblBorders>
        <w:top w:val="single" w:sz="4" w:space="0" w:color="5B9BD5" w:themeColor="accent5"/>
        <w:bottom w:val="single" w:sz="4" w:space="0" w:color="5B9BD5" w:themeColor="accent5"/>
      </w:tblBorders>
      <w:tblCellMar>
        <w:top w:w="0" w:type="dxa"/>
        <w:left w:w="108" w:type="dxa"/>
        <w:bottom w:w="0" w:type="dxa"/>
        <w:right w:w="108" w:type="dxa"/>
      </w:tblCellMar>
    </w:tblPr>
    <w:tblStylePr w:type="firstRow">
      <w:rPr>
        <w:b/>
        <w:bCs/>
      </w:rPr>
      <w:tblPr/>
      <w:tcPr>
        <w:tcBorders>
          <w:bottom w:val="single" w:sz="4" w:space="0" w:color="5B9BD5" w:themeColor="accent5"/>
        </w:tcBorders>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410">
    <w:name w:val="Таблица простая 41"/>
    <w:basedOn w:val="a3"/>
    <w:uiPriority w:val="44"/>
    <w:rsid w:val="00040D91"/>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34">
    <w:name w:val="Абзац списка3"/>
    <w:basedOn w:val="a1"/>
    <w:link w:val="35"/>
    <w:uiPriority w:val="99"/>
    <w:rsid w:val="00040D91"/>
    <w:pPr>
      <w:suppressAutoHyphens/>
      <w:spacing w:after="200" w:line="276" w:lineRule="auto"/>
      <w:ind w:left="720"/>
      <w:contextualSpacing/>
    </w:pPr>
    <w:rPr>
      <w:rFonts w:ascii="Calibri" w:eastAsia="Times New Roman" w:hAnsi="Calibri" w:cs="Calibri"/>
      <w:lang w:eastAsia="ar-SA"/>
    </w:rPr>
  </w:style>
  <w:style w:type="character" w:customStyle="1" w:styleId="35">
    <w:name w:val="Абзац списка3 Знак"/>
    <w:basedOn w:val="a2"/>
    <w:link w:val="34"/>
    <w:uiPriority w:val="99"/>
    <w:rsid w:val="00040D91"/>
    <w:rPr>
      <w:rFonts w:ascii="Calibri" w:eastAsia="Times New Roman" w:hAnsi="Calibri" w:cs="Calibri"/>
      <w:lang w:eastAsia="ar-SA"/>
    </w:rPr>
  </w:style>
  <w:style w:type="table" w:customStyle="1" w:styleId="210">
    <w:name w:val="Таблица простая 21"/>
    <w:basedOn w:val="a3"/>
    <w:uiPriority w:val="42"/>
    <w:rsid w:val="00040D91"/>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aff1">
    <w:name w:val="Названия таблиц"/>
    <w:basedOn w:val="34"/>
    <w:link w:val="aff2"/>
    <w:uiPriority w:val="99"/>
    <w:qFormat/>
    <w:rsid w:val="00040D91"/>
    <w:pPr>
      <w:widowControl w:val="0"/>
      <w:autoSpaceDE w:val="0"/>
      <w:autoSpaceDN w:val="0"/>
      <w:adjustRightInd w:val="0"/>
      <w:spacing w:before="120" w:after="120" w:line="240" w:lineRule="auto"/>
      <w:ind w:left="0" w:firstLine="284"/>
      <w:jc w:val="right"/>
    </w:pPr>
    <w:rPr>
      <w:rFonts w:ascii="Arial Narrow" w:hAnsi="Arial Narrow" w:cs="Times New Roman"/>
      <w:b/>
      <w:bCs/>
      <w:color w:val="595959" w:themeColor="text1" w:themeTint="A6"/>
      <w:sz w:val="24"/>
      <w:szCs w:val="24"/>
    </w:rPr>
  </w:style>
  <w:style w:type="character" w:customStyle="1" w:styleId="aff2">
    <w:name w:val="Названия таблиц Знак"/>
    <w:basedOn w:val="35"/>
    <w:link w:val="aff1"/>
    <w:uiPriority w:val="99"/>
    <w:rsid w:val="00040D91"/>
    <w:rPr>
      <w:rFonts w:ascii="Arial Narrow" w:eastAsia="Times New Roman" w:hAnsi="Arial Narrow" w:cs="Times New Roman"/>
      <w:b/>
      <w:bCs/>
      <w:color w:val="595959" w:themeColor="text1" w:themeTint="A6"/>
      <w:sz w:val="24"/>
      <w:szCs w:val="24"/>
      <w:lang w:eastAsia="ar-SA"/>
    </w:rPr>
  </w:style>
  <w:style w:type="character" w:customStyle="1" w:styleId="nobr">
    <w:name w:val="nobr"/>
    <w:basedOn w:val="a2"/>
    <w:rsid w:val="00040D91"/>
  </w:style>
  <w:style w:type="paragraph" w:styleId="aff3">
    <w:name w:val="caption"/>
    <w:basedOn w:val="a1"/>
    <w:next w:val="a1"/>
    <w:qFormat/>
    <w:rsid w:val="00040D91"/>
    <w:pPr>
      <w:spacing w:after="0" w:line="240" w:lineRule="auto"/>
      <w:jc w:val="center"/>
    </w:pPr>
    <w:rPr>
      <w:rFonts w:ascii="Times New Roman" w:eastAsia="Times New Roman" w:hAnsi="Times New Roman" w:cs="Times New Roman"/>
      <w:b/>
      <w:i/>
      <w:sz w:val="28"/>
      <w:szCs w:val="20"/>
      <w:lang w:eastAsia="ru-RU"/>
    </w:rPr>
  </w:style>
  <w:style w:type="paragraph" w:styleId="aff4">
    <w:name w:val="List Paragraph"/>
    <w:basedOn w:val="a1"/>
    <w:link w:val="aff5"/>
    <w:uiPriority w:val="34"/>
    <w:qFormat/>
    <w:rsid w:val="00040D91"/>
    <w:pPr>
      <w:widowControl w:val="0"/>
      <w:autoSpaceDE w:val="0"/>
      <w:autoSpaceDN w:val="0"/>
      <w:adjustRightInd w:val="0"/>
      <w:spacing w:after="0" w:line="240" w:lineRule="auto"/>
      <w:ind w:left="720"/>
      <w:contextualSpacing/>
    </w:pPr>
    <w:rPr>
      <w:rFonts w:ascii="Times New Roman" w:eastAsia="Times New Roman" w:hAnsi="Times New Roman" w:cs="Times New Roman"/>
      <w:color w:val="000000"/>
      <w:sz w:val="18"/>
      <w:szCs w:val="18"/>
      <w:lang w:eastAsia="ru-RU"/>
    </w:rPr>
  </w:style>
  <w:style w:type="character" w:customStyle="1" w:styleId="aff5">
    <w:name w:val="Абзац списка Знак"/>
    <w:link w:val="aff4"/>
    <w:uiPriority w:val="34"/>
    <w:locked/>
    <w:rsid w:val="00040D91"/>
    <w:rPr>
      <w:rFonts w:ascii="Times New Roman" w:eastAsia="Times New Roman" w:hAnsi="Times New Roman" w:cs="Times New Roman"/>
      <w:color w:val="000000"/>
      <w:sz w:val="18"/>
      <w:szCs w:val="18"/>
      <w:lang w:eastAsia="ru-RU"/>
    </w:rPr>
  </w:style>
  <w:style w:type="character" w:customStyle="1" w:styleId="blk">
    <w:name w:val="blk"/>
    <w:basedOn w:val="a2"/>
    <w:rsid w:val="00040D91"/>
  </w:style>
  <w:style w:type="paragraph" w:styleId="aff6">
    <w:name w:val="Revision"/>
    <w:hidden/>
    <w:uiPriority w:val="99"/>
    <w:semiHidden/>
    <w:rsid w:val="00040D91"/>
    <w:pPr>
      <w:spacing w:after="0" w:line="240" w:lineRule="auto"/>
    </w:pPr>
    <w:rPr>
      <w:rFonts w:ascii="Times New Roman" w:eastAsia="Times New Roman" w:hAnsi="Times New Roman" w:cs="Times New Roman"/>
      <w:color w:val="000000"/>
      <w:sz w:val="18"/>
      <w:szCs w:val="18"/>
      <w:lang w:eastAsia="ru-RU"/>
    </w:rPr>
  </w:style>
  <w:style w:type="table" w:customStyle="1" w:styleId="42">
    <w:name w:val="Сетка таблицы4"/>
    <w:basedOn w:val="a3"/>
    <w:next w:val="a7"/>
    <w:uiPriority w:val="59"/>
    <w:rsid w:val="00040D9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basedOn w:val="a3"/>
    <w:next w:val="a7"/>
    <w:uiPriority w:val="59"/>
    <w:rsid w:val="00040D9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sonormal0">
    <w:name w:val="msonormal"/>
    <w:basedOn w:val="a1"/>
    <w:rsid w:val="00040D9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4">
    <w:name w:val="xl64"/>
    <w:basedOn w:val="a1"/>
    <w:rsid w:val="00040D9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5">
    <w:name w:val="xl65"/>
    <w:basedOn w:val="a1"/>
    <w:rsid w:val="00040D9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66">
    <w:name w:val="xl66"/>
    <w:basedOn w:val="a1"/>
    <w:rsid w:val="00040D9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color w:val="000000"/>
      <w:sz w:val="20"/>
      <w:szCs w:val="20"/>
      <w:lang w:eastAsia="ru-RU"/>
    </w:rPr>
  </w:style>
  <w:style w:type="paragraph" w:customStyle="1" w:styleId="xl67">
    <w:name w:val="xl67"/>
    <w:basedOn w:val="a1"/>
    <w:rsid w:val="00040D9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color w:val="000000"/>
      <w:sz w:val="20"/>
      <w:szCs w:val="20"/>
      <w:lang w:eastAsia="ru-RU"/>
    </w:rPr>
  </w:style>
  <w:style w:type="paragraph" w:customStyle="1" w:styleId="xl68">
    <w:name w:val="xl68"/>
    <w:basedOn w:val="a1"/>
    <w:rsid w:val="00040D9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69">
    <w:name w:val="xl69"/>
    <w:basedOn w:val="a1"/>
    <w:rsid w:val="00040D91"/>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0">
    <w:name w:val="xl70"/>
    <w:basedOn w:val="a1"/>
    <w:rsid w:val="00040D91"/>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71">
    <w:name w:val="xl71"/>
    <w:basedOn w:val="a1"/>
    <w:rsid w:val="00040D91"/>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72">
    <w:name w:val="xl72"/>
    <w:basedOn w:val="a1"/>
    <w:rsid w:val="00040D91"/>
    <w:pPr>
      <w:shd w:val="clear" w:color="000000" w:fill="D9E1F2"/>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3">
    <w:name w:val="xl73"/>
    <w:basedOn w:val="a1"/>
    <w:rsid w:val="00040D91"/>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4">
    <w:name w:val="xl74"/>
    <w:basedOn w:val="a1"/>
    <w:rsid w:val="00040D91"/>
    <w:pPr>
      <w:pBdr>
        <w:top w:val="single" w:sz="4" w:space="0" w:color="auto"/>
        <w:left w:val="single" w:sz="4" w:space="0" w:color="auto"/>
        <w:bottom w:val="single" w:sz="4" w:space="0" w:color="auto"/>
      </w:pBdr>
      <w:shd w:val="clear" w:color="000000" w:fill="E2EFDA"/>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75">
    <w:name w:val="xl75"/>
    <w:basedOn w:val="a1"/>
    <w:rsid w:val="00040D91"/>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76">
    <w:name w:val="xl76"/>
    <w:basedOn w:val="a1"/>
    <w:rsid w:val="00040D91"/>
    <w:pPr>
      <w:pBdr>
        <w:top w:val="single" w:sz="4" w:space="0" w:color="auto"/>
        <w:left w:val="single" w:sz="4" w:space="0" w:color="auto"/>
        <w:bottom w:val="single" w:sz="4" w:space="0" w:color="auto"/>
      </w:pBdr>
      <w:shd w:val="clear" w:color="000000" w:fill="E2EFDA"/>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77">
    <w:name w:val="xl77"/>
    <w:basedOn w:val="a1"/>
    <w:rsid w:val="00040D91"/>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78">
    <w:name w:val="xl78"/>
    <w:basedOn w:val="a1"/>
    <w:rsid w:val="00040D91"/>
    <w:pPr>
      <w:shd w:val="clear" w:color="000000" w:fill="E2EFDA"/>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9">
    <w:name w:val="xl79"/>
    <w:basedOn w:val="a1"/>
    <w:rsid w:val="00040D91"/>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0">
    <w:name w:val="xl80"/>
    <w:basedOn w:val="a1"/>
    <w:rsid w:val="00040D91"/>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81">
    <w:name w:val="xl81"/>
    <w:basedOn w:val="a1"/>
    <w:rsid w:val="00040D91"/>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82">
    <w:name w:val="xl82"/>
    <w:basedOn w:val="a1"/>
    <w:rsid w:val="00040D91"/>
    <w:pPr>
      <w:shd w:val="clear" w:color="000000" w:fill="FFF2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83">
    <w:name w:val="xl83"/>
    <w:basedOn w:val="a1"/>
    <w:rsid w:val="00040D9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84">
    <w:name w:val="xl84"/>
    <w:basedOn w:val="a1"/>
    <w:rsid w:val="00040D9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5">
    <w:name w:val="xl85"/>
    <w:basedOn w:val="a1"/>
    <w:rsid w:val="00040D91"/>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86">
    <w:name w:val="xl86"/>
    <w:basedOn w:val="a1"/>
    <w:rsid w:val="00040D9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numbering" w:customStyle="1" w:styleId="110">
    <w:name w:val="Нет списка11"/>
    <w:next w:val="a4"/>
    <w:uiPriority w:val="99"/>
    <w:semiHidden/>
    <w:unhideWhenUsed/>
    <w:rsid w:val="00040D91"/>
  </w:style>
  <w:style w:type="numbering" w:customStyle="1" w:styleId="111">
    <w:name w:val="Нет списка111"/>
    <w:next w:val="a4"/>
    <w:uiPriority w:val="99"/>
    <w:semiHidden/>
    <w:unhideWhenUsed/>
    <w:rsid w:val="00040D91"/>
  </w:style>
  <w:style w:type="table" w:customStyle="1" w:styleId="18">
    <w:name w:val="Сетка таблицы1"/>
    <w:basedOn w:val="a3"/>
    <w:next w:val="a7"/>
    <w:uiPriority w:val="59"/>
    <w:rsid w:val="00040D91"/>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
    <w:name w:val="Список-таблица 6 цветная — акцент 511"/>
    <w:basedOn w:val="a3"/>
    <w:uiPriority w:val="51"/>
    <w:rsid w:val="00040D91"/>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0">
    <w:name w:val="Таблица простая 411"/>
    <w:basedOn w:val="a3"/>
    <w:uiPriority w:val="44"/>
    <w:rsid w:val="00040D91"/>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
    <w:name w:val="Таблица простая 211"/>
    <w:basedOn w:val="a3"/>
    <w:uiPriority w:val="42"/>
    <w:rsid w:val="00040D91"/>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0">
    <w:name w:val="Сетка таблицы42"/>
    <w:basedOn w:val="a3"/>
    <w:next w:val="a7"/>
    <w:uiPriority w:val="59"/>
    <w:rsid w:val="00040D9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Сетка таблицы411"/>
    <w:basedOn w:val="a3"/>
    <w:next w:val="a7"/>
    <w:uiPriority w:val="59"/>
    <w:rsid w:val="00040D9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
    <w:name w:val="ConsPlusNormal"/>
    <w:qFormat/>
    <w:rsid w:val="00040D91"/>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Cell">
    <w:name w:val="ConsPlusCell"/>
    <w:uiPriority w:val="99"/>
    <w:rsid w:val="00040D91"/>
    <w:pPr>
      <w:autoSpaceDE w:val="0"/>
      <w:autoSpaceDN w:val="0"/>
      <w:adjustRightInd w:val="0"/>
      <w:spacing w:after="0" w:line="240" w:lineRule="auto"/>
    </w:pPr>
    <w:rPr>
      <w:rFonts w:ascii="Arial" w:eastAsia="Calibri" w:hAnsi="Arial" w:cs="Arial"/>
      <w:sz w:val="20"/>
      <w:szCs w:val="20"/>
    </w:rPr>
  </w:style>
  <w:style w:type="paragraph" w:customStyle="1" w:styleId="19">
    <w:name w:val="Абзац списка1"/>
    <w:basedOn w:val="a1"/>
    <w:link w:val="ListParagraphChar"/>
    <w:rsid w:val="00040D91"/>
    <w:pPr>
      <w:suppressAutoHyphens/>
      <w:spacing w:after="0" w:line="240" w:lineRule="auto"/>
      <w:ind w:left="720"/>
      <w:contextualSpacing/>
    </w:pPr>
    <w:rPr>
      <w:rFonts w:ascii="Times New Roman" w:eastAsia="Calibri" w:hAnsi="Times New Roman" w:cs="Times New Roman"/>
      <w:sz w:val="24"/>
      <w:szCs w:val="24"/>
      <w:lang w:eastAsia="ar-SA"/>
    </w:rPr>
  </w:style>
  <w:style w:type="character" w:customStyle="1" w:styleId="ListParagraphChar">
    <w:name w:val="List Paragraph Char"/>
    <w:link w:val="19"/>
    <w:locked/>
    <w:rsid w:val="00040D91"/>
    <w:rPr>
      <w:rFonts w:ascii="Times New Roman" w:eastAsia="Calibri" w:hAnsi="Times New Roman" w:cs="Times New Roman"/>
      <w:sz w:val="24"/>
      <w:szCs w:val="24"/>
      <w:lang w:eastAsia="ar-SA"/>
    </w:rPr>
  </w:style>
  <w:style w:type="numbering" w:customStyle="1" w:styleId="24">
    <w:name w:val="Нет списка2"/>
    <w:next w:val="a4"/>
    <w:uiPriority w:val="99"/>
    <w:semiHidden/>
    <w:unhideWhenUsed/>
    <w:rsid w:val="00040D91"/>
  </w:style>
  <w:style w:type="table" w:customStyle="1" w:styleId="25">
    <w:name w:val="Сетка таблицы2"/>
    <w:basedOn w:val="a3"/>
    <w:next w:val="a7"/>
    <w:uiPriority w:val="39"/>
    <w:rsid w:val="00040D9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
    <w:name w:val="Сетка таблицы3"/>
    <w:basedOn w:val="a3"/>
    <w:next w:val="a7"/>
    <w:uiPriority w:val="39"/>
    <w:rsid w:val="00040D9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7">
    <w:name w:val="Нет списка3"/>
    <w:next w:val="a4"/>
    <w:uiPriority w:val="99"/>
    <w:semiHidden/>
    <w:unhideWhenUsed/>
    <w:rsid w:val="00040D91"/>
  </w:style>
  <w:style w:type="table" w:customStyle="1" w:styleId="52">
    <w:name w:val="Сетка таблицы5"/>
    <w:basedOn w:val="a3"/>
    <w:next w:val="a7"/>
    <w:uiPriority w:val="39"/>
    <w:rsid w:val="00040D9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3">
    <w:name w:val="Нет списка4"/>
    <w:next w:val="a4"/>
    <w:uiPriority w:val="99"/>
    <w:semiHidden/>
    <w:unhideWhenUsed/>
    <w:rsid w:val="00040D91"/>
  </w:style>
  <w:style w:type="table" w:customStyle="1" w:styleId="62">
    <w:name w:val="Сетка таблицы6"/>
    <w:basedOn w:val="a3"/>
    <w:next w:val="a7"/>
    <w:uiPriority w:val="39"/>
    <w:rsid w:val="00040D9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
    <w:name w:val="Нет списка5"/>
    <w:next w:val="a4"/>
    <w:uiPriority w:val="99"/>
    <w:semiHidden/>
    <w:unhideWhenUsed/>
    <w:rsid w:val="00040D91"/>
  </w:style>
  <w:style w:type="table" w:customStyle="1" w:styleId="72">
    <w:name w:val="Сетка таблицы7"/>
    <w:basedOn w:val="a3"/>
    <w:next w:val="a7"/>
    <w:uiPriority w:val="39"/>
    <w:rsid w:val="00040D9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
    <w:name w:val="Сетка таблицы8"/>
    <w:basedOn w:val="a3"/>
    <w:next w:val="a7"/>
    <w:uiPriority w:val="39"/>
    <w:rsid w:val="00040D9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
    <w:name w:val="Нет списка6"/>
    <w:next w:val="a4"/>
    <w:uiPriority w:val="99"/>
    <w:semiHidden/>
    <w:unhideWhenUsed/>
    <w:rsid w:val="00040D91"/>
  </w:style>
  <w:style w:type="table" w:customStyle="1" w:styleId="92">
    <w:name w:val="Сетка таблицы9"/>
    <w:basedOn w:val="a3"/>
    <w:next w:val="a7"/>
    <w:uiPriority w:val="39"/>
    <w:rsid w:val="00040D9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3">
    <w:name w:val="Нет списка7"/>
    <w:next w:val="a4"/>
    <w:uiPriority w:val="99"/>
    <w:semiHidden/>
    <w:unhideWhenUsed/>
    <w:rsid w:val="00040D91"/>
  </w:style>
  <w:style w:type="table" w:customStyle="1" w:styleId="100">
    <w:name w:val="Сетка таблицы10"/>
    <w:basedOn w:val="a3"/>
    <w:next w:val="a7"/>
    <w:uiPriority w:val="39"/>
    <w:rsid w:val="00040D9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4">
    <w:name w:val="Нет списка8"/>
    <w:next w:val="a4"/>
    <w:uiPriority w:val="99"/>
    <w:semiHidden/>
    <w:unhideWhenUsed/>
    <w:rsid w:val="00040D91"/>
  </w:style>
  <w:style w:type="numbering" w:customStyle="1" w:styleId="93">
    <w:name w:val="Нет списка9"/>
    <w:next w:val="a4"/>
    <w:uiPriority w:val="99"/>
    <w:semiHidden/>
    <w:unhideWhenUsed/>
    <w:rsid w:val="00040D91"/>
  </w:style>
  <w:style w:type="numbering" w:customStyle="1" w:styleId="101">
    <w:name w:val="Нет списка10"/>
    <w:next w:val="a4"/>
    <w:uiPriority w:val="99"/>
    <w:semiHidden/>
    <w:unhideWhenUsed/>
    <w:rsid w:val="00040D91"/>
  </w:style>
  <w:style w:type="numbering" w:customStyle="1" w:styleId="120">
    <w:name w:val="Нет списка12"/>
    <w:next w:val="a4"/>
    <w:uiPriority w:val="99"/>
    <w:semiHidden/>
    <w:unhideWhenUsed/>
    <w:rsid w:val="00040D91"/>
  </w:style>
  <w:style w:type="numbering" w:customStyle="1" w:styleId="130">
    <w:name w:val="Нет списка13"/>
    <w:next w:val="a4"/>
    <w:uiPriority w:val="99"/>
    <w:semiHidden/>
    <w:unhideWhenUsed/>
    <w:rsid w:val="00040D91"/>
  </w:style>
  <w:style w:type="numbering" w:customStyle="1" w:styleId="140">
    <w:name w:val="Нет списка14"/>
    <w:next w:val="a4"/>
    <w:uiPriority w:val="99"/>
    <w:semiHidden/>
    <w:unhideWhenUsed/>
    <w:rsid w:val="00040D91"/>
  </w:style>
  <w:style w:type="numbering" w:customStyle="1" w:styleId="150">
    <w:name w:val="Нет списка15"/>
    <w:next w:val="a4"/>
    <w:uiPriority w:val="99"/>
    <w:semiHidden/>
    <w:unhideWhenUsed/>
    <w:rsid w:val="00040D91"/>
  </w:style>
  <w:style w:type="numbering" w:customStyle="1" w:styleId="160">
    <w:name w:val="Нет списка16"/>
    <w:next w:val="a4"/>
    <w:uiPriority w:val="99"/>
    <w:semiHidden/>
    <w:unhideWhenUsed/>
    <w:rsid w:val="00040D91"/>
  </w:style>
  <w:style w:type="numbering" w:customStyle="1" w:styleId="170">
    <w:name w:val="Нет списка17"/>
    <w:next w:val="a4"/>
    <w:uiPriority w:val="99"/>
    <w:semiHidden/>
    <w:unhideWhenUsed/>
    <w:rsid w:val="00040D91"/>
  </w:style>
  <w:style w:type="numbering" w:customStyle="1" w:styleId="180">
    <w:name w:val="Нет списка18"/>
    <w:next w:val="a4"/>
    <w:uiPriority w:val="99"/>
    <w:semiHidden/>
    <w:unhideWhenUsed/>
    <w:rsid w:val="00040D91"/>
  </w:style>
  <w:style w:type="numbering" w:customStyle="1" w:styleId="190">
    <w:name w:val="Нет списка19"/>
    <w:next w:val="a4"/>
    <w:uiPriority w:val="99"/>
    <w:semiHidden/>
    <w:unhideWhenUsed/>
    <w:rsid w:val="00040D91"/>
  </w:style>
  <w:style w:type="numbering" w:customStyle="1" w:styleId="200">
    <w:name w:val="Нет списка20"/>
    <w:next w:val="a4"/>
    <w:uiPriority w:val="99"/>
    <w:semiHidden/>
    <w:unhideWhenUsed/>
    <w:rsid w:val="00040D91"/>
  </w:style>
  <w:style w:type="numbering" w:customStyle="1" w:styleId="212">
    <w:name w:val="Нет списка21"/>
    <w:next w:val="a4"/>
    <w:uiPriority w:val="99"/>
    <w:semiHidden/>
    <w:unhideWhenUsed/>
    <w:rsid w:val="00040D91"/>
  </w:style>
  <w:style w:type="numbering" w:customStyle="1" w:styleId="220">
    <w:name w:val="Нет списка22"/>
    <w:next w:val="a4"/>
    <w:uiPriority w:val="99"/>
    <w:semiHidden/>
    <w:unhideWhenUsed/>
    <w:rsid w:val="00040D91"/>
  </w:style>
  <w:style w:type="numbering" w:customStyle="1" w:styleId="230">
    <w:name w:val="Нет списка23"/>
    <w:next w:val="a4"/>
    <w:uiPriority w:val="99"/>
    <w:semiHidden/>
    <w:unhideWhenUsed/>
    <w:rsid w:val="00040D91"/>
  </w:style>
  <w:style w:type="numbering" w:customStyle="1" w:styleId="240">
    <w:name w:val="Нет списка24"/>
    <w:next w:val="a4"/>
    <w:uiPriority w:val="99"/>
    <w:semiHidden/>
    <w:unhideWhenUsed/>
    <w:rsid w:val="00040D91"/>
  </w:style>
  <w:style w:type="table" w:customStyle="1" w:styleId="112">
    <w:name w:val="Сетка таблицы11"/>
    <w:basedOn w:val="a3"/>
    <w:next w:val="a7"/>
    <w:uiPriority w:val="39"/>
    <w:rsid w:val="00040D9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0">
    <w:name w:val="Нет списка25"/>
    <w:next w:val="a4"/>
    <w:uiPriority w:val="99"/>
    <w:semiHidden/>
    <w:unhideWhenUsed/>
    <w:rsid w:val="00040D91"/>
  </w:style>
  <w:style w:type="table" w:customStyle="1" w:styleId="121">
    <w:name w:val="Сетка таблицы12"/>
    <w:basedOn w:val="a3"/>
    <w:next w:val="a7"/>
    <w:uiPriority w:val="39"/>
    <w:rsid w:val="00040D9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
    <w:name w:val="Нет списка26"/>
    <w:next w:val="a4"/>
    <w:uiPriority w:val="99"/>
    <w:semiHidden/>
    <w:unhideWhenUsed/>
    <w:rsid w:val="00040D91"/>
  </w:style>
  <w:style w:type="paragraph" w:customStyle="1" w:styleId="412">
    <w:name w:val="Заголовок 41"/>
    <w:basedOn w:val="a1"/>
    <w:next w:val="a1"/>
    <w:uiPriority w:val="9"/>
    <w:unhideWhenUsed/>
    <w:qFormat/>
    <w:rsid w:val="00040D91"/>
    <w:pPr>
      <w:keepNext/>
      <w:keepLines/>
      <w:widowControl w:val="0"/>
      <w:autoSpaceDE w:val="0"/>
      <w:autoSpaceDN w:val="0"/>
      <w:adjustRightInd w:val="0"/>
      <w:spacing w:before="40" w:after="0" w:line="240" w:lineRule="auto"/>
      <w:outlineLvl w:val="3"/>
    </w:pPr>
    <w:rPr>
      <w:rFonts w:ascii="Calibri Light" w:eastAsia="Times New Roman" w:hAnsi="Calibri Light" w:cs="Times New Roman"/>
      <w:i/>
      <w:iCs/>
      <w:color w:val="2E74B5"/>
      <w:sz w:val="18"/>
      <w:szCs w:val="18"/>
      <w:lang w:eastAsia="ru-RU"/>
    </w:rPr>
  </w:style>
  <w:style w:type="numbering" w:customStyle="1" w:styleId="1100">
    <w:name w:val="Нет списка110"/>
    <w:next w:val="a4"/>
    <w:uiPriority w:val="99"/>
    <w:semiHidden/>
    <w:unhideWhenUsed/>
    <w:rsid w:val="00040D91"/>
  </w:style>
  <w:style w:type="table" w:customStyle="1" w:styleId="131">
    <w:name w:val="Сетка таблицы13"/>
    <w:basedOn w:val="a3"/>
    <w:next w:val="a7"/>
    <w:uiPriority w:val="39"/>
    <w:rsid w:val="00040D91"/>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
    <w:name w:val="Список-таблица 6 цветная — акцент 512"/>
    <w:basedOn w:val="a3"/>
    <w:uiPriority w:val="51"/>
    <w:rsid w:val="00040D91"/>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0">
    <w:name w:val="Таблица простая 412"/>
    <w:basedOn w:val="a3"/>
    <w:uiPriority w:val="44"/>
    <w:rsid w:val="00040D91"/>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0">
    <w:name w:val="Таблица простая 212"/>
    <w:basedOn w:val="a3"/>
    <w:uiPriority w:val="42"/>
    <w:rsid w:val="00040D91"/>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0">
    <w:name w:val="Сетка таблицы43"/>
    <w:basedOn w:val="a3"/>
    <w:next w:val="a7"/>
    <w:uiPriority w:val="59"/>
    <w:rsid w:val="00040D9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
    <w:name w:val="Сетка таблицы412"/>
    <w:basedOn w:val="a3"/>
    <w:next w:val="a7"/>
    <w:uiPriority w:val="59"/>
    <w:rsid w:val="00040D9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
    <w:name w:val="Нет списка1111"/>
    <w:next w:val="a4"/>
    <w:uiPriority w:val="99"/>
    <w:semiHidden/>
    <w:unhideWhenUsed/>
    <w:rsid w:val="00040D91"/>
  </w:style>
  <w:style w:type="numbering" w:customStyle="1" w:styleId="11111">
    <w:name w:val="Нет списка11111"/>
    <w:next w:val="a4"/>
    <w:uiPriority w:val="99"/>
    <w:semiHidden/>
    <w:unhideWhenUsed/>
    <w:rsid w:val="00040D91"/>
  </w:style>
  <w:style w:type="table" w:customStyle="1" w:styleId="141">
    <w:name w:val="Сетка таблицы14"/>
    <w:basedOn w:val="a3"/>
    <w:next w:val="a7"/>
    <w:uiPriority w:val="59"/>
    <w:rsid w:val="00040D91"/>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
    <w:name w:val="Список-таблица 6 цветная — акцент 5111"/>
    <w:basedOn w:val="a3"/>
    <w:uiPriority w:val="51"/>
    <w:rsid w:val="00040D91"/>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0">
    <w:name w:val="Таблица простая 4111"/>
    <w:basedOn w:val="a3"/>
    <w:uiPriority w:val="44"/>
    <w:rsid w:val="00040D91"/>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
    <w:name w:val="Таблица простая 2111"/>
    <w:basedOn w:val="a3"/>
    <w:uiPriority w:val="42"/>
    <w:rsid w:val="00040D91"/>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
    <w:name w:val="Сетка таблицы421"/>
    <w:basedOn w:val="a3"/>
    <w:next w:val="a7"/>
    <w:uiPriority w:val="59"/>
    <w:rsid w:val="00040D9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
    <w:name w:val="Сетка таблицы4111"/>
    <w:basedOn w:val="a3"/>
    <w:next w:val="a7"/>
    <w:uiPriority w:val="59"/>
    <w:rsid w:val="00040D9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
    <w:name w:val="Нет списка27"/>
    <w:next w:val="a4"/>
    <w:uiPriority w:val="99"/>
    <w:semiHidden/>
    <w:unhideWhenUsed/>
    <w:rsid w:val="00040D91"/>
  </w:style>
  <w:style w:type="table" w:customStyle="1" w:styleId="213">
    <w:name w:val="Сетка таблицы21"/>
    <w:basedOn w:val="a3"/>
    <w:next w:val="a7"/>
    <w:uiPriority w:val="39"/>
    <w:rsid w:val="00040D9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
    <w:name w:val="Сетка таблицы31"/>
    <w:basedOn w:val="a3"/>
    <w:next w:val="a7"/>
    <w:uiPriority w:val="39"/>
    <w:rsid w:val="00040D9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
    <w:name w:val="Нет списка31"/>
    <w:next w:val="a4"/>
    <w:uiPriority w:val="99"/>
    <w:semiHidden/>
    <w:unhideWhenUsed/>
    <w:rsid w:val="00040D91"/>
  </w:style>
  <w:style w:type="table" w:customStyle="1" w:styleId="510">
    <w:name w:val="Сетка таблицы51"/>
    <w:basedOn w:val="a3"/>
    <w:next w:val="a7"/>
    <w:uiPriority w:val="39"/>
    <w:rsid w:val="00040D9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3">
    <w:name w:val="Нет списка41"/>
    <w:next w:val="a4"/>
    <w:uiPriority w:val="99"/>
    <w:semiHidden/>
    <w:unhideWhenUsed/>
    <w:rsid w:val="00040D91"/>
  </w:style>
  <w:style w:type="table" w:customStyle="1" w:styleId="610">
    <w:name w:val="Сетка таблицы61"/>
    <w:basedOn w:val="a3"/>
    <w:next w:val="a7"/>
    <w:uiPriority w:val="39"/>
    <w:rsid w:val="00040D9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1">
    <w:name w:val="Нет списка51"/>
    <w:next w:val="a4"/>
    <w:uiPriority w:val="99"/>
    <w:semiHidden/>
    <w:unhideWhenUsed/>
    <w:rsid w:val="00040D91"/>
  </w:style>
  <w:style w:type="table" w:customStyle="1" w:styleId="710">
    <w:name w:val="Сетка таблицы71"/>
    <w:basedOn w:val="a3"/>
    <w:next w:val="a7"/>
    <w:uiPriority w:val="39"/>
    <w:rsid w:val="00040D9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
    <w:name w:val="Сетка таблицы81"/>
    <w:basedOn w:val="a3"/>
    <w:next w:val="a7"/>
    <w:uiPriority w:val="39"/>
    <w:rsid w:val="00040D9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1">
    <w:name w:val="Нет списка61"/>
    <w:next w:val="a4"/>
    <w:uiPriority w:val="99"/>
    <w:semiHidden/>
    <w:unhideWhenUsed/>
    <w:rsid w:val="00040D91"/>
  </w:style>
  <w:style w:type="table" w:customStyle="1" w:styleId="910">
    <w:name w:val="Сетка таблицы91"/>
    <w:basedOn w:val="a3"/>
    <w:next w:val="a7"/>
    <w:uiPriority w:val="39"/>
    <w:rsid w:val="00040D9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1">
    <w:name w:val="Нет списка71"/>
    <w:next w:val="a4"/>
    <w:uiPriority w:val="99"/>
    <w:semiHidden/>
    <w:unhideWhenUsed/>
    <w:rsid w:val="00040D91"/>
  </w:style>
  <w:style w:type="table" w:customStyle="1" w:styleId="1010">
    <w:name w:val="Сетка таблицы101"/>
    <w:basedOn w:val="a3"/>
    <w:next w:val="a7"/>
    <w:uiPriority w:val="39"/>
    <w:rsid w:val="00040D9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414">
    <w:name w:val="Заголовок 4 Знак1"/>
    <w:basedOn w:val="a2"/>
    <w:uiPriority w:val="9"/>
    <w:semiHidden/>
    <w:rsid w:val="00040D91"/>
    <w:rPr>
      <w:rFonts w:ascii="Calibri Light" w:eastAsia="Times New Roman" w:hAnsi="Calibri Light" w:cs="Times New Roman"/>
      <w:i/>
      <w:iCs/>
      <w:color w:val="2E74B5"/>
    </w:rPr>
  </w:style>
  <w:style w:type="numbering" w:customStyle="1" w:styleId="28">
    <w:name w:val="Нет списка28"/>
    <w:next w:val="a4"/>
    <w:uiPriority w:val="99"/>
    <w:semiHidden/>
    <w:unhideWhenUsed/>
    <w:rsid w:val="00040D91"/>
  </w:style>
  <w:style w:type="paragraph" w:customStyle="1" w:styleId="Qst">
    <w:name w:val="Qst"/>
    <w:basedOn w:val="a1"/>
    <w:rsid w:val="00040D91"/>
    <w:pPr>
      <w:spacing w:before="120" w:after="120" w:line="240" w:lineRule="auto"/>
      <w:ind w:left="720" w:hanging="720"/>
    </w:pPr>
    <w:rPr>
      <w:rFonts w:ascii="Arial" w:eastAsia="Times New Roman" w:hAnsi="Arial" w:cs="Times New Roman"/>
      <w:b/>
      <w:sz w:val="24"/>
      <w:szCs w:val="20"/>
      <w:lang w:val="en-US"/>
    </w:rPr>
  </w:style>
  <w:style w:type="character" w:customStyle="1" w:styleId="FontStyle18">
    <w:name w:val="Font Style18"/>
    <w:uiPriority w:val="99"/>
    <w:rsid w:val="00040D91"/>
    <w:rPr>
      <w:rFonts w:ascii="Times New Roman" w:hAnsi="Times New Roman"/>
      <w:b/>
      <w:sz w:val="22"/>
    </w:rPr>
  </w:style>
  <w:style w:type="paragraph" w:customStyle="1" w:styleId="1a">
    <w:name w:val="Заголовок 1станд"/>
    <w:basedOn w:val="a1"/>
    <w:link w:val="1b"/>
    <w:uiPriority w:val="99"/>
    <w:rsid w:val="00040D91"/>
    <w:pPr>
      <w:spacing w:after="200" w:line="276" w:lineRule="auto"/>
      <w:ind w:firstLine="567"/>
      <w:jc w:val="center"/>
    </w:pPr>
    <w:rPr>
      <w:rFonts w:ascii="Times New Roman" w:eastAsia="Times New Roman" w:hAnsi="Times New Roman" w:cs="Times New Roman"/>
      <w:b/>
      <w:sz w:val="28"/>
      <w:szCs w:val="20"/>
    </w:rPr>
  </w:style>
  <w:style w:type="character" w:customStyle="1" w:styleId="1b">
    <w:name w:val="Заголовок 1станд Знак"/>
    <w:link w:val="1a"/>
    <w:uiPriority w:val="99"/>
    <w:locked/>
    <w:rsid w:val="00040D91"/>
    <w:rPr>
      <w:rFonts w:ascii="Times New Roman" w:eastAsia="Times New Roman" w:hAnsi="Times New Roman" w:cs="Times New Roman"/>
      <w:b/>
      <w:sz w:val="28"/>
      <w:szCs w:val="20"/>
    </w:rPr>
  </w:style>
  <w:style w:type="paragraph" w:customStyle="1" w:styleId="1c">
    <w:name w:val="Заголовок оглавления1"/>
    <w:basedOn w:val="1"/>
    <w:next w:val="a1"/>
    <w:uiPriority w:val="99"/>
    <w:rsid w:val="00040D91"/>
    <w:pPr>
      <w:keepNext/>
      <w:keepLines/>
      <w:widowControl/>
      <w:autoSpaceDE/>
      <w:autoSpaceDN/>
      <w:adjustRightInd/>
      <w:spacing w:before="480" w:line="276" w:lineRule="auto"/>
      <w:outlineLvl w:val="9"/>
    </w:pPr>
    <w:rPr>
      <w:rFonts w:ascii="Cambria" w:hAnsi="Cambria"/>
      <w:color w:val="365F91"/>
      <w:sz w:val="28"/>
      <w:szCs w:val="28"/>
      <w:lang w:eastAsia="en-US"/>
    </w:rPr>
  </w:style>
  <w:style w:type="paragraph" w:customStyle="1" w:styleId="1d">
    <w:name w:val="Подзаголовок 1станд"/>
    <w:basedOn w:val="a1"/>
    <w:link w:val="1e"/>
    <w:uiPriority w:val="99"/>
    <w:rsid w:val="00040D91"/>
    <w:pPr>
      <w:spacing w:after="200" w:line="276" w:lineRule="auto"/>
      <w:ind w:firstLine="567"/>
      <w:jc w:val="center"/>
    </w:pPr>
    <w:rPr>
      <w:rFonts w:ascii="Times New Roman" w:eastAsia="Times New Roman" w:hAnsi="Times New Roman" w:cs="Times New Roman"/>
      <w:b/>
      <w:sz w:val="24"/>
      <w:szCs w:val="20"/>
    </w:rPr>
  </w:style>
  <w:style w:type="character" w:customStyle="1" w:styleId="1e">
    <w:name w:val="Подзаголовок 1станд Знак"/>
    <w:link w:val="1d"/>
    <w:uiPriority w:val="99"/>
    <w:locked/>
    <w:rsid w:val="00040D91"/>
    <w:rPr>
      <w:rFonts w:ascii="Times New Roman" w:eastAsia="Times New Roman" w:hAnsi="Times New Roman" w:cs="Times New Roman"/>
      <w:b/>
      <w:sz w:val="24"/>
      <w:szCs w:val="20"/>
    </w:rPr>
  </w:style>
  <w:style w:type="character" w:customStyle="1" w:styleId="c4">
    <w:name w:val="c4"/>
    <w:uiPriority w:val="99"/>
    <w:rsid w:val="00040D91"/>
  </w:style>
  <w:style w:type="paragraph" w:customStyle="1" w:styleId="c5">
    <w:name w:val="c5"/>
    <w:basedOn w:val="a1"/>
    <w:uiPriority w:val="99"/>
    <w:rsid w:val="00040D91"/>
    <w:pPr>
      <w:spacing w:before="90" w:after="90" w:line="240" w:lineRule="auto"/>
    </w:pPr>
    <w:rPr>
      <w:rFonts w:ascii="Times New Roman" w:eastAsia="Times New Roman" w:hAnsi="Times New Roman" w:cs="Times New Roman"/>
      <w:sz w:val="24"/>
      <w:szCs w:val="24"/>
      <w:lang w:eastAsia="ru-RU"/>
    </w:rPr>
  </w:style>
  <w:style w:type="paragraph" w:customStyle="1" w:styleId="Default">
    <w:name w:val="Default"/>
    <w:rsid w:val="00040D91"/>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table" w:customStyle="1" w:styleId="151">
    <w:name w:val="Сетка таблицы15"/>
    <w:basedOn w:val="a3"/>
    <w:next w:val="a7"/>
    <w:rsid w:val="00040D9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9">
    <w:name w:val="Абзац списка2"/>
    <w:basedOn w:val="a1"/>
    <w:uiPriority w:val="99"/>
    <w:rsid w:val="00040D91"/>
    <w:pPr>
      <w:spacing w:after="200" w:line="276" w:lineRule="auto"/>
      <w:ind w:left="720"/>
    </w:pPr>
    <w:rPr>
      <w:rFonts w:ascii="Calibri" w:eastAsia="Times New Roman" w:hAnsi="Calibri" w:cs="Times New Roman"/>
    </w:rPr>
  </w:style>
  <w:style w:type="paragraph" w:customStyle="1" w:styleId="2a">
    <w:name w:val="Заголовок оглавления2"/>
    <w:basedOn w:val="1"/>
    <w:next w:val="a1"/>
    <w:uiPriority w:val="99"/>
    <w:rsid w:val="00040D91"/>
    <w:pPr>
      <w:keepNext/>
      <w:keepLines/>
      <w:widowControl/>
      <w:autoSpaceDE/>
      <w:autoSpaceDN/>
      <w:adjustRightInd/>
      <w:spacing w:before="480" w:line="276" w:lineRule="auto"/>
      <w:outlineLvl w:val="9"/>
    </w:pPr>
    <w:rPr>
      <w:rFonts w:ascii="Cambria" w:hAnsi="Cambria"/>
      <w:color w:val="365F91"/>
      <w:sz w:val="28"/>
      <w:szCs w:val="28"/>
      <w:lang w:eastAsia="en-US"/>
    </w:rPr>
  </w:style>
  <w:style w:type="paragraph" w:customStyle="1" w:styleId="aff7">
    <w:name w:val="Подзаголовок стнд"/>
    <w:basedOn w:val="3"/>
    <w:link w:val="aff8"/>
    <w:uiPriority w:val="99"/>
    <w:rsid w:val="00040D91"/>
    <w:pPr>
      <w:keepNext/>
      <w:widowControl/>
      <w:autoSpaceDE/>
      <w:autoSpaceDN/>
      <w:adjustRightInd/>
      <w:spacing w:before="240" w:after="60"/>
      <w:jc w:val="center"/>
    </w:pPr>
    <w:rPr>
      <w:bCs w:val="0"/>
      <w:sz w:val="24"/>
      <w:szCs w:val="24"/>
      <w:lang w:eastAsia="ko-KR"/>
    </w:rPr>
  </w:style>
  <w:style w:type="character" w:customStyle="1" w:styleId="aff8">
    <w:name w:val="Подзаголовок стнд Знак"/>
    <w:basedOn w:val="30"/>
    <w:link w:val="aff7"/>
    <w:uiPriority w:val="99"/>
    <w:locked/>
    <w:rsid w:val="00040D91"/>
    <w:rPr>
      <w:rFonts w:ascii="Times New Roman" w:eastAsia="Times New Roman" w:hAnsi="Times New Roman" w:cs="Times New Roman"/>
      <w:b/>
      <w:bCs w:val="0"/>
      <w:color w:val="000000"/>
      <w:sz w:val="24"/>
      <w:szCs w:val="24"/>
      <w:lang w:eastAsia="ko-KR"/>
    </w:rPr>
  </w:style>
  <w:style w:type="paragraph" w:customStyle="1" w:styleId="214">
    <w:name w:val="Абзац списка21"/>
    <w:basedOn w:val="a1"/>
    <w:uiPriority w:val="99"/>
    <w:rsid w:val="00040D91"/>
    <w:pPr>
      <w:spacing w:after="0" w:line="240" w:lineRule="auto"/>
      <w:ind w:left="720"/>
    </w:pPr>
    <w:rPr>
      <w:rFonts w:ascii="Times New Roman" w:eastAsia="Times New Roman" w:hAnsi="Times New Roman" w:cs="Times New Roman"/>
      <w:bCs/>
      <w:sz w:val="24"/>
      <w:szCs w:val="24"/>
      <w:lang w:eastAsia="ru-RU"/>
    </w:rPr>
  </w:style>
  <w:style w:type="paragraph" w:customStyle="1" w:styleId="aff9">
    <w:name w:val="Заголовок стнд"/>
    <w:basedOn w:val="2"/>
    <w:link w:val="1f"/>
    <w:uiPriority w:val="99"/>
    <w:rsid w:val="00040D91"/>
    <w:pPr>
      <w:keepNext/>
      <w:widowControl/>
      <w:autoSpaceDE/>
      <w:autoSpaceDN/>
      <w:adjustRightInd/>
      <w:spacing w:before="240" w:after="60"/>
      <w:jc w:val="center"/>
    </w:pPr>
    <w:rPr>
      <w:bCs w:val="0"/>
      <w:i w:val="0"/>
    </w:rPr>
  </w:style>
  <w:style w:type="paragraph" w:customStyle="1" w:styleId="1f0">
    <w:name w:val="Заголовок стнд1"/>
    <w:basedOn w:val="aff9"/>
    <w:link w:val="1f1"/>
    <w:uiPriority w:val="99"/>
    <w:rsid w:val="00040D91"/>
    <w:pPr>
      <w:spacing w:before="0"/>
    </w:pPr>
  </w:style>
  <w:style w:type="character" w:customStyle="1" w:styleId="affa">
    <w:name w:val="Заголовок стнд Знак"/>
    <w:basedOn w:val="20"/>
    <w:uiPriority w:val="99"/>
    <w:locked/>
    <w:rsid w:val="00040D91"/>
    <w:rPr>
      <w:rFonts w:ascii="Arial" w:eastAsia="Times New Roman" w:hAnsi="Arial" w:cs="Arial"/>
      <w:b/>
      <w:bCs w:val="0"/>
      <w:i/>
      <w:iCs/>
      <w:color w:val="000000"/>
      <w:sz w:val="28"/>
      <w:szCs w:val="28"/>
      <w:lang w:eastAsia="ru-RU"/>
    </w:rPr>
  </w:style>
  <w:style w:type="character" w:customStyle="1" w:styleId="1f">
    <w:name w:val="Заголовок стнд Знак1"/>
    <w:basedOn w:val="20"/>
    <w:link w:val="aff9"/>
    <w:uiPriority w:val="99"/>
    <w:locked/>
    <w:rsid w:val="00040D91"/>
    <w:rPr>
      <w:rFonts w:ascii="Times New Roman" w:eastAsia="Times New Roman" w:hAnsi="Times New Roman" w:cs="Times New Roman"/>
      <w:b/>
      <w:bCs w:val="0"/>
      <w:i w:val="0"/>
      <w:iCs/>
      <w:color w:val="000000"/>
      <w:sz w:val="28"/>
      <w:szCs w:val="28"/>
      <w:lang w:eastAsia="ru-RU"/>
    </w:rPr>
  </w:style>
  <w:style w:type="character" w:customStyle="1" w:styleId="1f1">
    <w:name w:val="Заголовок стнд1 Знак"/>
    <w:basedOn w:val="1f"/>
    <w:link w:val="1f0"/>
    <w:uiPriority w:val="99"/>
    <w:locked/>
    <w:rsid w:val="00040D91"/>
    <w:rPr>
      <w:rFonts w:ascii="Times New Roman" w:eastAsia="Times New Roman" w:hAnsi="Times New Roman" w:cs="Times New Roman"/>
      <w:b/>
      <w:bCs w:val="0"/>
      <w:i w:val="0"/>
      <w:iCs/>
      <w:color w:val="000000"/>
      <w:sz w:val="28"/>
      <w:szCs w:val="28"/>
      <w:lang w:eastAsia="ru-RU"/>
    </w:rPr>
  </w:style>
  <w:style w:type="paragraph" w:customStyle="1" w:styleId="rtejustify">
    <w:name w:val="rtejustify"/>
    <w:basedOn w:val="a1"/>
    <w:uiPriority w:val="99"/>
    <w:rsid w:val="00040D9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fb">
    <w:name w:val="РЕФ"/>
    <w:basedOn w:val="a1"/>
    <w:rsid w:val="00040D91"/>
    <w:pPr>
      <w:widowControl w:val="0"/>
      <w:suppressAutoHyphens/>
      <w:spacing w:after="0" w:line="240" w:lineRule="auto"/>
      <w:ind w:firstLine="513"/>
      <w:jc w:val="both"/>
    </w:pPr>
    <w:rPr>
      <w:rFonts w:ascii="Times New Roman" w:eastAsia="Times New Roman" w:hAnsi="Times New Roman" w:cs="Times New Roman"/>
      <w:kern w:val="1"/>
      <w:sz w:val="24"/>
      <w:szCs w:val="24"/>
    </w:rPr>
  </w:style>
  <w:style w:type="paragraph" w:customStyle="1" w:styleId="1f2">
    <w:name w:val="Без интервала1"/>
    <w:link w:val="NoSpacingChar"/>
    <w:rsid w:val="00040D91"/>
    <w:pPr>
      <w:spacing w:after="0" w:line="240" w:lineRule="auto"/>
    </w:pPr>
    <w:rPr>
      <w:rFonts w:ascii="Calibri" w:eastAsia="Times New Roman" w:hAnsi="Calibri" w:cs="Times New Roman"/>
    </w:rPr>
  </w:style>
  <w:style w:type="character" w:customStyle="1" w:styleId="NoSpacingChar">
    <w:name w:val="No Spacing Char"/>
    <w:link w:val="1f2"/>
    <w:locked/>
    <w:rsid w:val="00040D91"/>
    <w:rPr>
      <w:rFonts w:ascii="Calibri" w:eastAsia="Times New Roman" w:hAnsi="Calibri" w:cs="Times New Roman"/>
    </w:rPr>
  </w:style>
  <w:style w:type="table" w:customStyle="1" w:styleId="-11">
    <w:name w:val="Светлая заливка - Акцент 11"/>
    <w:uiPriority w:val="99"/>
    <w:rsid w:val="00040D91"/>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paragraph" w:customStyle="1" w:styleId="38">
    <w:name w:val="Заголовок оглавления3"/>
    <w:basedOn w:val="1"/>
    <w:next w:val="a1"/>
    <w:uiPriority w:val="99"/>
    <w:semiHidden/>
    <w:rsid w:val="00040D91"/>
    <w:pPr>
      <w:keepNext/>
      <w:keepLines/>
      <w:widowControl/>
      <w:autoSpaceDE/>
      <w:autoSpaceDN/>
      <w:adjustRightInd/>
      <w:spacing w:before="480" w:line="276" w:lineRule="auto"/>
      <w:outlineLvl w:val="9"/>
    </w:pPr>
    <w:rPr>
      <w:rFonts w:ascii="Cambria" w:hAnsi="Cambria"/>
      <w:color w:val="365F91"/>
      <w:sz w:val="28"/>
      <w:szCs w:val="28"/>
      <w:lang w:eastAsia="ko-KR"/>
    </w:rPr>
  </w:style>
  <w:style w:type="character" w:styleId="affc">
    <w:name w:val="Placeholder Text"/>
    <w:basedOn w:val="a2"/>
    <w:uiPriority w:val="99"/>
    <w:semiHidden/>
    <w:rsid w:val="00040D91"/>
    <w:rPr>
      <w:rFonts w:cs="Times New Roman"/>
      <w:color w:val="808080"/>
    </w:rPr>
  </w:style>
  <w:style w:type="paragraph" w:customStyle="1" w:styleId="affd">
    <w:name w:val="Подзаголовок мой"/>
    <w:basedOn w:val="3"/>
    <w:link w:val="affe"/>
    <w:qFormat/>
    <w:rsid w:val="00040D91"/>
    <w:pPr>
      <w:keepNext/>
      <w:widowControl/>
      <w:autoSpaceDE/>
      <w:autoSpaceDN/>
      <w:adjustRightInd/>
      <w:spacing w:before="240" w:after="60"/>
      <w:jc w:val="center"/>
    </w:pPr>
    <w:rPr>
      <w:iCs/>
      <w:sz w:val="24"/>
      <w:szCs w:val="24"/>
    </w:rPr>
  </w:style>
  <w:style w:type="paragraph" w:styleId="afff">
    <w:name w:val="Subtitle"/>
    <w:basedOn w:val="a1"/>
    <w:next w:val="a1"/>
    <w:link w:val="afff0"/>
    <w:uiPriority w:val="11"/>
    <w:qFormat/>
    <w:rsid w:val="00040D91"/>
    <w:pPr>
      <w:numPr>
        <w:ilvl w:val="1"/>
      </w:numPr>
      <w:spacing w:after="0" w:line="240" w:lineRule="auto"/>
    </w:pPr>
    <w:rPr>
      <w:rFonts w:ascii="Cambria" w:eastAsia="Times New Roman" w:hAnsi="Cambria" w:cs="Times New Roman"/>
      <w:bCs/>
      <w:i/>
      <w:iCs/>
      <w:color w:val="4F81BD"/>
      <w:spacing w:val="15"/>
      <w:sz w:val="24"/>
      <w:szCs w:val="24"/>
      <w:lang w:eastAsia="ru-RU"/>
    </w:rPr>
  </w:style>
  <w:style w:type="character" w:customStyle="1" w:styleId="afff0">
    <w:name w:val="Подзаголовок Знак"/>
    <w:basedOn w:val="a2"/>
    <w:link w:val="afff"/>
    <w:uiPriority w:val="11"/>
    <w:rsid w:val="00040D91"/>
    <w:rPr>
      <w:rFonts w:ascii="Cambria" w:eastAsia="Times New Roman" w:hAnsi="Cambria" w:cs="Times New Roman"/>
      <w:bCs/>
      <w:i/>
      <w:iCs/>
      <w:color w:val="4F81BD"/>
      <w:spacing w:val="15"/>
      <w:sz w:val="24"/>
      <w:szCs w:val="24"/>
      <w:lang w:eastAsia="ru-RU"/>
    </w:rPr>
  </w:style>
  <w:style w:type="character" w:customStyle="1" w:styleId="affe">
    <w:name w:val="Подзаголовок мой Знак"/>
    <w:basedOn w:val="30"/>
    <w:link w:val="affd"/>
    <w:locked/>
    <w:rsid w:val="00040D91"/>
    <w:rPr>
      <w:rFonts w:ascii="Times New Roman" w:eastAsia="Times New Roman" w:hAnsi="Times New Roman" w:cs="Times New Roman"/>
      <w:b/>
      <w:bCs/>
      <w:iCs/>
      <w:color w:val="000000"/>
      <w:sz w:val="24"/>
      <w:szCs w:val="24"/>
      <w:lang w:eastAsia="ru-RU"/>
    </w:rPr>
  </w:style>
  <w:style w:type="character" w:customStyle="1" w:styleId="text-bold">
    <w:name w:val="text-bold"/>
    <w:basedOn w:val="a2"/>
    <w:rsid w:val="00040D91"/>
    <w:rPr>
      <w:rFonts w:cs="Times New Roman"/>
    </w:rPr>
  </w:style>
  <w:style w:type="table" w:styleId="1-4">
    <w:name w:val="Medium Shading 1 Accent 4"/>
    <w:basedOn w:val="a3"/>
    <w:uiPriority w:val="63"/>
    <w:rsid w:val="00040D91"/>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styleId="-4">
    <w:name w:val="Light Grid Accent 4"/>
    <w:basedOn w:val="a3"/>
    <w:uiPriority w:val="62"/>
    <w:rsid w:val="00040D91"/>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character" w:customStyle="1" w:styleId="af8">
    <w:name w:val="Обычный (веб) Знак"/>
    <w:aliases w:val="Знак1 Знак,Обычный (Web) Знак,Знак Знак10 Знак,Обычный (Web)1 Знак"/>
    <w:link w:val="af7"/>
    <w:uiPriority w:val="99"/>
    <w:locked/>
    <w:rsid w:val="00040D91"/>
    <w:rPr>
      <w:rFonts w:ascii="Times New Roman" w:eastAsia="Times New Roman" w:hAnsi="Times New Roman" w:cs="Times New Roman"/>
      <w:sz w:val="24"/>
      <w:szCs w:val="24"/>
      <w:lang w:eastAsia="ru-RU"/>
    </w:rPr>
  </w:style>
  <w:style w:type="paragraph" w:customStyle="1" w:styleId="44">
    <w:name w:val="Абзац списка4"/>
    <w:basedOn w:val="a1"/>
    <w:rsid w:val="00040D91"/>
    <w:pPr>
      <w:spacing w:after="0" w:line="240" w:lineRule="auto"/>
      <w:ind w:left="720"/>
    </w:pPr>
    <w:rPr>
      <w:rFonts w:ascii="Times New Roman" w:eastAsia="Times New Roman" w:hAnsi="Times New Roman" w:cs="Times New Roman"/>
      <w:bCs/>
      <w:sz w:val="24"/>
      <w:szCs w:val="24"/>
      <w:lang w:eastAsia="ru-RU"/>
    </w:rPr>
  </w:style>
  <w:style w:type="table" w:customStyle="1" w:styleId="-41">
    <w:name w:val="Светлая заливка - Акцент 41"/>
    <w:basedOn w:val="a3"/>
    <w:next w:val="-40"/>
    <w:uiPriority w:val="60"/>
    <w:rsid w:val="00040D91"/>
    <w:pPr>
      <w:spacing w:after="0" w:line="240" w:lineRule="auto"/>
    </w:pPr>
    <w:rPr>
      <w:rFonts w:ascii="Times New Roman" w:eastAsia="Times New Roman" w:hAnsi="Times New Roman" w:cs="Times New Roman"/>
      <w:color w:val="5F497A"/>
      <w:lang w:eastAsia="ru-RU"/>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f3">
    <w:name w:val="Светлый список1"/>
    <w:basedOn w:val="a3"/>
    <w:uiPriority w:val="61"/>
    <w:rsid w:val="00040D91"/>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0">
    <w:name w:val="Светлый список - Акцент 41"/>
    <w:basedOn w:val="a3"/>
    <w:next w:val="-42"/>
    <w:uiPriority w:val="61"/>
    <w:rsid w:val="00040D91"/>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character" w:customStyle="1" w:styleId="afff1">
    <w:name w:val="ВопросМакет Знак"/>
    <w:basedOn w:val="a2"/>
    <w:link w:val="afff2"/>
    <w:locked/>
    <w:rsid w:val="00040D91"/>
    <w:rPr>
      <w:rFonts w:ascii="Arial" w:hAnsi="Arial" w:cs="Arial"/>
      <w:b/>
      <w:caps/>
      <w:kern w:val="24"/>
      <w:sz w:val="24"/>
    </w:rPr>
  </w:style>
  <w:style w:type="paragraph" w:customStyle="1" w:styleId="afff2">
    <w:name w:val="ВопросМакет"/>
    <w:basedOn w:val="a1"/>
    <w:link w:val="afff1"/>
    <w:rsid w:val="00040D91"/>
    <w:pPr>
      <w:tabs>
        <w:tab w:val="right" w:pos="5670"/>
      </w:tabs>
      <w:spacing w:before="360" w:after="60" w:line="240" w:lineRule="auto"/>
      <w:ind w:left="425" w:hanging="425"/>
    </w:pPr>
    <w:rPr>
      <w:rFonts w:ascii="Arial" w:hAnsi="Arial" w:cs="Arial"/>
      <w:b/>
      <w:caps/>
      <w:kern w:val="24"/>
      <w:sz w:val="24"/>
    </w:rPr>
  </w:style>
  <w:style w:type="paragraph" w:customStyle="1" w:styleId="afff3">
    <w:name w:val="Âîïðîñ"/>
    <w:basedOn w:val="a1"/>
    <w:rsid w:val="00040D91"/>
    <w:pPr>
      <w:spacing w:after="0" w:line="240" w:lineRule="auto"/>
      <w:jc w:val="both"/>
    </w:pPr>
    <w:rPr>
      <w:rFonts w:ascii="NTHelvetica/Cyrillic" w:eastAsia="Times New Roman" w:hAnsi="NTHelvetica/Cyrillic" w:cs="Times New Roman"/>
      <w:b/>
      <w:sz w:val="24"/>
      <w:szCs w:val="20"/>
      <w:lang w:val="en-US"/>
    </w:rPr>
  </w:style>
  <w:style w:type="paragraph" w:customStyle="1" w:styleId="Quest">
    <w:name w:val="Quest"/>
    <w:basedOn w:val="a1"/>
    <w:rsid w:val="00040D91"/>
    <w:pPr>
      <w:tabs>
        <w:tab w:val="right" w:leader="dot" w:pos="9355"/>
      </w:tabs>
      <w:spacing w:before="120" w:after="60" w:line="260" w:lineRule="atLeast"/>
      <w:ind w:left="567" w:hanging="567"/>
    </w:pPr>
    <w:rPr>
      <w:rFonts w:ascii="Arial" w:eastAsia="Times New Roman" w:hAnsi="Arial" w:cs="Times New Roman"/>
      <w:szCs w:val="20"/>
      <w:lang w:eastAsia="ru-RU"/>
    </w:rPr>
  </w:style>
  <w:style w:type="paragraph" w:customStyle="1" w:styleId="Answer">
    <w:name w:val="Answer"/>
    <w:basedOn w:val="a1"/>
    <w:rsid w:val="00040D91"/>
    <w:pPr>
      <w:tabs>
        <w:tab w:val="right" w:leader="dot" w:pos="9355"/>
      </w:tabs>
      <w:spacing w:after="60" w:line="260" w:lineRule="atLeast"/>
      <w:ind w:left="851" w:hanging="284"/>
    </w:pPr>
    <w:rPr>
      <w:rFonts w:ascii="Arial" w:eastAsia="Times New Roman" w:hAnsi="Arial" w:cs="Times New Roman"/>
      <w:sz w:val="20"/>
      <w:szCs w:val="20"/>
      <w:lang w:eastAsia="ru-RU"/>
    </w:rPr>
  </w:style>
  <w:style w:type="character" w:customStyle="1" w:styleId="WW8Num2z0">
    <w:name w:val="WW8Num2z0"/>
    <w:rsid w:val="00040D91"/>
    <w:rPr>
      <w:rFonts w:cs="Times New Roman"/>
    </w:rPr>
  </w:style>
  <w:style w:type="character" w:customStyle="1" w:styleId="WW8Num3z0">
    <w:name w:val="WW8Num3z0"/>
    <w:rsid w:val="00040D91"/>
    <w:rPr>
      <w:rFonts w:cs="Times New Roman"/>
    </w:rPr>
  </w:style>
  <w:style w:type="character" w:customStyle="1" w:styleId="WW8Num4z0">
    <w:name w:val="WW8Num4z0"/>
    <w:rsid w:val="00040D91"/>
    <w:rPr>
      <w:rFonts w:cs="Times New Roman"/>
    </w:rPr>
  </w:style>
  <w:style w:type="character" w:customStyle="1" w:styleId="WW8Num5z0">
    <w:name w:val="WW8Num5z0"/>
    <w:rsid w:val="00040D91"/>
    <w:rPr>
      <w:rFonts w:cs="Times New Roman"/>
    </w:rPr>
  </w:style>
  <w:style w:type="character" w:customStyle="1" w:styleId="WW8Num18z0">
    <w:name w:val="WW8Num18z0"/>
    <w:rsid w:val="00040D91"/>
    <w:rPr>
      <w:rFonts w:cs="Times New Roman"/>
    </w:rPr>
  </w:style>
  <w:style w:type="character" w:customStyle="1" w:styleId="WW8Num26z0">
    <w:name w:val="WW8Num26z0"/>
    <w:rsid w:val="00040D91"/>
    <w:rPr>
      <w:rFonts w:cs="Times New Roman"/>
    </w:rPr>
  </w:style>
  <w:style w:type="character" w:customStyle="1" w:styleId="WW8Num33z0">
    <w:name w:val="WW8Num33z0"/>
    <w:rsid w:val="00040D91"/>
    <w:rPr>
      <w:rFonts w:cs="Times New Roman"/>
    </w:rPr>
  </w:style>
  <w:style w:type="character" w:customStyle="1" w:styleId="WW8Num35z0">
    <w:name w:val="WW8Num35z0"/>
    <w:rsid w:val="00040D91"/>
    <w:rPr>
      <w:rFonts w:cs="Times New Roman"/>
    </w:rPr>
  </w:style>
  <w:style w:type="character" w:customStyle="1" w:styleId="Absatz-Standardschriftart">
    <w:name w:val="Absatz-Standardschriftart"/>
    <w:rsid w:val="00040D91"/>
  </w:style>
  <w:style w:type="character" w:customStyle="1" w:styleId="WW8Num6z0">
    <w:name w:val="WW8Num6z0"/>
    <w:rsid w:val="00040D91"/>
    <w:rPr>
      <w:rFonts w:cs="Times New Roman"/>
    </w:rPr>
  </w:style>
  <w:style w:type="character" w:customStyle="1" w:styleId="WW8Num7z0">
    <w:name w:val="WW8Num7z0"/>
    <w:rsid w:val="00040D91"/>
    <w:rPr>
      <w:rFonts w:cs="Times New Roman"/>
    </w:rPr>
  </w:style>
  <w:style w:type="character" w:customStyle="1" w:styleId="WW8Num8z0">
    <w:name w:val="WW8Num8z0"/>
    <w:rsid w:val="00040D91"/>
    <w:rPr>
      <w:rFonts w:cs="Times New Roman"/>
    </w:rPr>
  </w:style>
  <w:style w:type="character" w:customStyle="1" w:styleId="WW8Num9z0">
    <w:name w:val="WW8Num9z0"/>
    <w:rsid w:val="00040D91"/>
    <w:rPr>
      <w:rFonts w:cs="Times New Roman"/>
    </w:rPr>
  </w:style>
  <w:style w:type="character" w:customStyle="1" w:styleId="WW8Num10z0">
    <w:name w:val="WW8Num10z0"/>
    <w:rsid w:val="00040D91"/>
    <w:rPr>
      <w:rFonts w:cs="Times New Roman"/>
    </w:rPr>
  </w:style>
  <w:style w:type="character" w:customStyle="1" w:styleId="WW8Num11z0">
    <w:name w:val="WW8Num11z0"/>
    <w:rsid w:val="00040D91"/>
    <w:rPr>
      <w:rFonts w:cs="Times New Roman"/>
    </w:rPr>
  </w:style>
  <w:style w:type="character" w:customStyle="1" w:styleId="WW8Num12z0">
    <w:name w:val="WW8Num12z0"/>
    <w:rsid w:val="00040D91"/>
    <w:rPr>
      <w:rFonts w:cs="Times New Roman"/>
    </w:rPr>
  </w:style>
  <w:style w:type="character" w:customStyle="1" w:styleId="WW8Num13z0">
    <w:name w:val="WW8Num13z0"/>
    <w:rsid w:val="00040D91"/>
    <w:rPr>
      <w:rFonts w:cs="Times New Roman"/>
    </w:rPr>
  </w:style>
  <w:style w:type="character" w:customStyle="1" w:styleId="WW8Num14z0">
    <w:name w:val="WW8Num14z0"/>
    <w:rsid w:val="00040D91"/>
    <w:rPr>
      <w:rFonts w:cs="Times New Roman"/>
    </w:rPr>
  </w:style>
  <w:style w:type="character" w:customStyle="1" w:styleId="WW8Num15z0">
    <w:name w:val="WW8Num15z0"/>
    <w:rsid w:val="00040D91"/>
    <w:rPr>
      <w:rFonts w:cs="Times New Roman"/>
      <w:b/>
      <w:i w:val="0"/>
    </w:rPr>
  </w:style>
  <w:style w:type="character" w:customStyle="1" w:styleId="WW8Num16z0">
    <w:name w:val="WW8Num16z0"/>
    <w:rsid w:val="00040D91"/>
    <w:rPr>
      <w:rFonts w:cs="Times New Roman"/>
    </w:rPr>
  </w:style>
  <w:style w:type="character" w:customStyle="1" w:styleId="WW8Num17z0">
    <w:name w:val="WW8Num17z0"/>
    <w:rsid w:val="00040D91"/>
    <w:rPr>
      <w:rFonts w:cs="Times New Roman"/>
    </w:rPr>
  </w:style>
  <w:style w:type="character" w:customStyle="1" w:styleId="WW8Num18z1">
    <w:name w:val="WW8Num18z1"/>
    <w:rsid w:val="00040D91"/>
    <w:rPr>
      <w:rFonts w:cs="Times New Roman"/>
    </w:rPr>
  </w:style>
  <w:style w:type="character" w:customStyle="1" w:styleId="WW8Num19z0">
    <w:name w:val="WW8Num19z0"/>
    <w:rsid w:val="00040D91"/>
    <w:rPr>
      <w:rFonts w:cs="Times New Roman"/>
    </w:rPr>
  </w:style>
  <w:style w:type="character" w:customStyle="1" w:styleId="WW8Num20z0">
    <w:name w:val="WW8Num20z0"/>
    <w:rsid w:val="00040D91"/>
    <w:rPr>
      <w:rFonts w:cs="Times New Roman"/>
    </w:rPr>
  </w:style>
  <w:style w:type="character" w:customStyle="1" w:styleId="WW8Num21z0">
    <w:name w:val="WW8Num21z0"/>
    <w:rsid w:val="00040D91"/>
    <w:rPr>
      <w:rFonts w:cs="Times New Roman"/>
    </w:rPr>
  </w:style>
  <w:style w:type="character" w:customStyle="1" w:styleId="WW8Num22z0">
    <w:name w:val="WW8Num22z0"/>
    <w:rsid w:val="00040D91"/>
    <w:rPr>
      <w:rFonts w:cs="Times New Roman"/>
      <w:b/>
    </w:rPr>
  </w:style>
  <w:style w:type="character" w:customStyle="1" w:styleId="WW8Num22z1">
    <w:name w:val="WW8Num22z1"/>
    <w:rsid w:val="00040D91"/>
    <w:rPr>
      <w:rFonts w:cs="Times New Roman"/>
    </w:rPr>
  </w:style>
  <w:style w:type="character" w:customStyle="1" w:styleId="WW8Num23z0">
    <w:name w:val="WW8Num23z0"/>
    <w:rsid w:val="00040D91"/>
    <w:rPr>
      <w:rFonts w:cs="Times New Roman"/>
    </w:rPr>
  </w:style>
  <w:style w:type="character" w:customStyle="1" w:styleId="WW8Num24z0">
    <w:name w:val="WW8Num24z0"/>
    <w:rsid w:val="00040D91"/>
    <w:rPr>
      <w:rFonts w:cs="Times New Roman"/>
    </w:rPr>
  </w:style>
  <w:style w:type="character" w:customStyle="1" w:styleId="WW8Num25z0">
    <w:name w:val="WW8Num25z0"/>
    <w:rsid w:val="00040D91"/>
    <w:rPr>
      <w:rFonts w:cs="Times New Roman"/>
      <w:b/>
      <w:i w:val="0"/>
    </w:rPr>
  </w:style>
  <w:style w:type="character" w:customStyle="1" w:styleId="WW8Num27z0">
    <w:name w:val="WW8Num27z0"/>
    <w:rsid w:val="00040D91"/>
    <w:rPr>
      <w:rFonts w:cs="Times New Roman"/>
    </w:rPr>
  </w:style>
  <w:style w:type="character" w:customStyle="1" w:styleId="WW8Num28z0">
    <w:name w:val="WW8Num28z0"/>
    <w:rsid w:val="00040D91"/>
    <w:rPr>
      <w:b w:val="0"/>
    </w:rPr>
  </w:style>
  <w:style w:type="character" w:customStyle="1" w:styleId="WW8Num29z0">
    <w:name w:val="WW8Num29z0"/>
    <w:rsid w:val="00040D91"/>
    <w:rPr>
      <w:rFonts w:cs="Times New Roman"/>
    </w:rPr>
  </w:style>
  <w:style w:type="character" w:customStyle="1" w:styleId="WW8Num30z0">
    <w:name w:val="WW8Num30z0"/>
    <w:rsid w:val="00040D91"/>
    <w:rPr>
      <w:rFonts w:cs="Times New Roman"/>
    </w:rPr>
  </w:style>
  <w:style w:type="character" w:customStyle="1" w:styleId="WW8Num31z0">
    <w:name w:val="WW8Num31z0"/>
    <w:rsid w:val="00040D91"/>
    <w:rPr>
      <w:rFonts w:cs="Times New Roman"/>
      <w:b/>
      <w:i w:val="0"/>
    </w:rPr>
  </w:style>
  <w:style w:type="character" w:customStyle="1" w:styleId="WW8Num32z0">
    <w:name w:val="WW8Num32z0"/>
    <w:rsid w:val="00040D91"/>
    <w:rPr>
      <w:rFonts w:ascii="PragmaticaC" w:hAnsi="PragmaticaC" w:cs="Times New Roman"/>
      <w:b/>
      <w:i w:val="0"/>
      <w:sz w:val="22"/>
    </w:rPr>
  </w:style>
  <w:style w:type="character" w:customStyle="1" w:styleId="WW8Num47z0">
    <w:name w:val="WW8Num47z0"/>
    <w:rsid w:val="00040D91"/>
    <w:rPr>
      <w:rFonts w:cs="Times New Roman"/>
      <w:b/>
      <w:i w:val="0"/>
    </w:rPr>
  </w:style>
  <w:style w:type="character" w:customStyle="1" w:styleId="WW8Num55z0">
    <w:name w:val="WW8Num55z0"/>
    <w:rsid w:val="00040D91"/>
    <w:rPr>
      <w:rFonts w:cs="Times New Roman"/>
      <w:b/>
      <w:i w:val="0"/>
    </w:rPr>
  </w:style>
  <w:style w:type="character" w:customStyle="1" w:styleId="WW8Num63z0">
    <w:name w:val="WW8Num63z0"/>
    <w:rsid w:val="00040D91"/>
    <w:rPr>
      <w:rFonts w:cs="Times New Roman"/>
      <w:b/>
      <w:i w:val="0"/>
    </w:rPr>
  </w:style>
  <w:style w:type="character" w:customStyle="1" w:styleId="WW8Num65z0">
    <w:name w:val="WW8Num65z0"/>
    <w:rsid w:val="00040D91"/>
    <w:rPr>
      <w:rFonts w:cs="Times New Roman"/>
      <w:b/>
      <w:i w:val="0"/>
    </w:rPr>
  </w:style>
  <w:style w:type="character" w:customStyle="1" w:styleId="39">
    <w:name w:val="Основной шрифт абзаца3"/>
    <w:rsid w:val="00040D91"/>
  </w:style>
  <w:style w:type="character" w:customStyle="1" w:styleId="WW8Num25z1">
    <w:name w:val="WW8Num25z1"/>
    <w:rsid w:val="00040D91"/>
    <w:rPr>
      <w:rFonts w:cs="Times New Roman"/>
    </w:rPr>
  </w:style>
  <w:style w:type="character" w:customStyle="1" w:styleId="WW8Num29z1">
    <w:name w:val="WW8Num29z1"/>
    <w:rsid w:val="00040D91"/>
    <w:rPr>
      <w:rFonts w:cs="Times New Roman"/>
      <w:b w:val="0"/>
      <w:i w:val="0"/>
    </w:rPr>
  </w:style>
  <w:style w:type="character" w:customStyle="1" w:styleId="WW8Num34z0">
    <w:name w:val="WW8Num34z0"/>
    <w:rsid w:val="00040D91"/>
    <w:rPr>
      <w:rFonts w:cs="Times New Roman"/>
    </w:rPr>
  </w:style>
  <w:style w:type="character" w:customStyle="1" w:styleId="WW8Num36z0">
    <w:name w:val="WW8Num36z0"/>
    <w:rsid w:val="00040D91"/>
    <w:rPr>
      <w:rFonts w:cs="Times New Roman"/>
    </w:rPr>
  </w:style>
  <w:style w:type="character" w:customStyle="1" w:styleId="WW8Num37z0">
    <w:name w:val="WW8Num37z0"/>
    <w:rsid w:val="00040D91"/>
    <w:rPr>
      <w:rFonts w:cs="Times New Roman"/>
    </w:rPr>
  </w:style>
  <w:style w:type="character" w:customStyle="1" w:styleId="WW8Num38z0">
    <w:name w:val="WW8Num38z0"/>
    <w:rsid w:val="00040D91"/>
    <w:rPr>
      <w:rFonts w:cs="Times New Roman"/>
      <w:b w:val="0"/>
      <w:i w:val="0"/>
    </w:rPr>
  </w:style>
  <w:style w:type="character" w:customStyle="1" w:styleId="WW8Num39z0">
    <w:name w:val="WW8Num39z0"/>
    <w:rsid w:val="00040D91"/>
    <w:rPr>
      <w:rFonts w:cs="Times New Roman"/>
    </w:rPr>
  </w:style>
  <w:style w:type="character" w:customStyle="1" w:styleId="2b">
    <w:name w:val="Основной шрифт абзаца2"/>
    <w:rsid w:val="00040D91"/>
  </w:style>
  <w:style w:type="character" w:customStyle="1" w:styleId="WW8Num1z0">
    <w:name w:val="WW8Num1z0"/>
    <w:rsid w:val="00040D91"/>
    <w:rPr>
      <w:rFonts w:cs="Times New Roman"/>
    </w:rPr>
  </w:style>
  <w:style w:type="character" w:customStyle="1" w:styleId="WW8Num15z1">
    <w:name w:val="WW8Num15z1"/>
    <w:rsid w:val="00040D91"/>
    <w:rPr>
      <w:rFonts w:cs="Times New Roman"/>
    </w:rPr>
  </w:style>
  <w:style w:type="character" w:customStyle="1" w:styleId="WW8Num31z1">
    <w:name w:val="WW8Num31z1"/>
    <w:rsid w:val="00040D91"/>
    <w:rPr>
      <w:rFonts w:cs="Times New Roman"/>
    </w:rPr>
  </w:style>
  <w:style w:type="character" w:customStyle="1" w:styleId="1f4">
    <w:name w:val="Основной шрифт абзаца1"/>
    <w:rsid w:val="00040D91"/>
  </w:style>
  <w:style w:type="character" w:customStyle="1" w:styleId="74">
    <w:name w:val="Знак Знак7"/>
    <w:rsid w:val="00040D91"/>
    <w:rPr>
      <w:rFonts w:ascii="Arial" w:hAnsi="Arial" w:cs="Arial"/>
      <w:b/>
      <w:bCs/>
      <w:kern w:val="1"/>
      <w:sz w:val="32"/>
      <w:szCs w:val="32"/>
      <w:lang w:val="ru-RU" w:eastAsia="ar-SA" w:bidi="ar-SA"/>
    </w:rPr>
  </w:style>
  <w:style w:type="character" w:customStyle="1" w:styleId="64">
    <w:name w:val="Знак Знак6"/>
    <w:rsid w:val="00040D91"/>
    <w:rPr>
      <w:rFonts w:ascii="Arial" w:hAnsi="Arial" w:cs="Arial"/>
      <w:b/>
      <w:bCs/>
      <w:i/>
      <w:iCs/>
      <w:sz w:val="28"/>
      <w:szCs w:val="28"/>
      <w:lang w:val="ru-RU" w:eastAsia="ar-SA" w:bidi="ar-SA"/>
    </w:rPr>
  </w:style>
  <w:style w:type="character" w:customStyle="1" w:styleId="54">
    <w:name w:val="Знак Знак5"/>
    <w:rsid w:val="00040D91"/>
    <w:rPr>
      <w:rFonts w:ascii="Arial" w:hAnsi="Arial" w:cs="Arial"/>
      <w:b/>
      <w:bCs/>
      <w:sz w:val="26"/>
      <w:szCs w:val="26"/>
      <w:lang w:val="ru-RU" w:eastAsia="ar-SA" w:bidi="ar-SA"/>
    </w:rPr>
  </w:style>
  <w:style w:type="character" w:customStyle="1" w:styleId="45">
    <w:name w:val="Знак Знак4"/>
    <w:rsid w:val="00040D91"/>
    <w:rPr>
      <w:rFonts w:ascii="Calibri" w:hAnsi="Calibri" w:cs="Times New Roman"/>
      <w:b/>
      <w:bCs/>
      <w:sz w:val="28"/>
      <w:szCs w:val="28"/>
      <w:lang w:eastAsia="ar-SA" w:bidi="ar-SA"/>
    </w:rPr>
  </w:style>
  <w:style w:type="character" w:styleId="afff4">
    <w:name w:val="Emphasis"/>
    <w:uiPriority w:val="20"/>
    <w:qFormat/>
    <w:rsid w:val="00040D91"/>
    <w:rPr>
      <w:rFonts w:ascii="Calibri" w:hAnsi="Calibri"/>
      <w:b/>
      <w:i/>
      <w:iCs/>
    </w:rPr>
  </w:style>
  <w:style w:type="character" w:customStyle="1" w:styleId="3a">
    <w:name w:val="Знак Знак3"/>
    <w:rsid w:val="00040D91"/>
    <w:rPr>
      <w:rFonts w:ascii="Times New Roman" w:hAnsi="Times New Roman" w:cs="Times New Roman"/>
      <w:sz w:val="24"/>
    </w:rPr>
  </w:style>
  <w:style w:type="character" w:customStyle="1" w:styleId="2c">
    <w:name w:val="Знак Знак2"/>
    <w:rsid w:val="00040D91"/>
    <w:rPr>
      <w:rFonts w:ascii="Times New Roman" w:hAnsi="Times New Roman" w:cs="Times New Roman"/>
      <w:sz w:val="28"/>
      <w:szCs w:val="28"/>
    </w:rPr>
  </w:style>
  <w:style w:type="character" w:customStyle="1" w:styleId="afff5">
    <w:name w:val="Знак Знак"/>
    <w:rsid w:val="00040D91"/>
    <w:rPr>
      <w:rFonts w:ascii="Arial" w:hAnsi="Arial" w:cs="Times New Roman"/>
      <w:sz w:val="18"/>
    </w:rPr>
  </w:style>
  <w:style w:type="character" w:customStyle="1" w:styleId="afff6">
    <w:name w:val="Символ сноски"/>
    <w:rsid w:val="00040D91"/>
    <w:rPr>
      <w:rFonts w:ascii="Arial" w:hAnsi="Arial" w:cs="Times New Roman"/>
      <w:sz w:val="22"/>
      <w:vertAlign w:val="superscript"/>
      <w:lang w:val="en-US"/>
    </w:rPr>
  </w:style>
  <w:style w:type="character" w:customStyle="1" w:styleId="1f5">
    <w:name w:val="Знак сноски1"/>
    <w:rsid w:val="00040D91"/>
    <w:rPr>
      <w:vertAlign w:val="superscript"/>
    </w:rPr>
  </w:style>
  <w:style w:type="character" w:customStyle="1" w:styleId="afff7">
    <w:name w:val="Символы концевой сноски"/>
    <w:rsid w:val="00040D91"/>
    <w:rPr>
      <w:vertAlign w:val="superscript"/>
    </w:rPr>
  </w:style>
  <w:style w:type="character" w:customStyle="1" w:styleId="WW-">
    <w:name w:val="WW-Символы концевой сноски"/>
    <w:rsid w:val="00040D91"/>
  </w:style>
  <w:style w:type="character" w:customStyle="1" w:styleId="HTML">
    <w:name w:val="Стандартный HTML Знак"/>
    <w:rsid w:val="00040D91"/>
    <w:rPr>
      <w:rFonts w:ascii="Courier New" w:eastAsia="Calibri" w:hAnsi="Courier New" w:cs="Courier New"/>
    </w:rPr>
  </w:style>
  <w:style w:type="character" w:styleId="afff8">
    <w:name w:val="endnote reference"/>
    <w:rsid w:val="00040D91"/>
    <w:rPr>
      <w:vertAlign w:val="superscript"/>
    </w:rPr>
  </w:style>
  <w:style w:type="paragraph" w:customStyle="1" w:styleId="1f6">
    <w:name w:val="Заголовок1"/>
    <w:basedOn w:val="a1"/>
    <w:next w:val="af4"/>
    <w:rsid w:val="00040D91"/>
    <w:pPr>
      <w:keepNext/>
      <w:spacing w:before="240" w:after="120" w:line="240" w:lineRule="auto"/>
    </w:pPr>
    <w:rPr>
      <w:rFonts w:ascii="Arial" w:eastAsia="DejaVu Sans" w:hAnsi="Arial" w:cs="DejaVu Sans"/>
      <w:sz w:val="28"/>
      <w:szCs w:val="28"/>
      <w:lang w:val="en-US" w:bidi="en-US"/>
    </w:rPr>
  </w:style>
  <w:style w:type="paragraph" w:styleId="afff9">
    <w:name w:val="List"/>
    <w:basedOn w:val="af4"/>
    <w:rsid w:val="00040D91"/>
    <w:rPr>
      <w:rFonts w:cs="Calibri"/>
      <w:lang w:eastAsia="en-US" w:bidi="en-US"/>
    </w:rPr>
  </w:style>
  <w:style w:type="paragraph" w:customStyle="1" w:styleId="3b">
    <w:name w:val="Название3"/>
    <w:basedOn w:val="a1"/>
    <w:rsid w:val="00040D91"/>
    <w:pPr>
      <w:suppressLineNumbers/>
      <w:spacing w:before="120" w:after="120" w:line="240" w:lineRule="auto"/>
    </w:pPr>
    <w:rPr>
      <w:rFonts w:ascii="Calibri" w:eastAsia="Times New Roman" w:hAnsi="Calibri" w:cs="Calibri"/>
      <w:i/>
      <w:iCs/>
      <w:sz w:val="24"/>
      <w:szCs w:val="24"/>
      <w:lang w:val="en-US" w:bidi="en-US"/>
    </w:rPr>
  </w:style>
  <w:style w:type="paragraph" w:customStyle="1" w:styleId="3c">
    <w:name w:val="Указатель3"/>
    <w:basedOn w:val="a1"/>
    <w:rsid w:val="00040D91"/>
    <w:pPr>
      <w:suppressLineNumbers/>
      <w:spacing w:after="0" w:line="240" w:lineRule="auto"/>
    </w:pPr>
    <w:rPr>
      <w:rFonts w:ascii="Calibri" w:eastAsia="Times New Roman" w:hAnsi="Calibri" w:cs="Calibri"/>
      <w:sz w:val="24"/>
      <w:szCs w:val="24"/>
      <w:lang w:val="en-US" w:bidi="en-US"/>
    </w:rPr>
  </w:style>
  <w:style w:type="paragraph" w:customStyle="1" w:styleId="2d">
    <w:name w:val="Название2"/>
    <w:basedOn w:val="a1"/>
    <w:rsid w:val="00040D91"/>
    <w:pPr>
      <w:suppressLineNumbers/>
      <w:spacing w:before="120" w:after="120" w:line="240" w:lineRule="auto"/>
    </w:pPr>
    <w:rPr>
      <w:rFonts w:ascii="Calibri" w:eastAsia="Times New Roman" w:hAnsi="Calibri" w:cs="Calibri"/>
      <w:i/>
      <w:iCs/>
      <w:sz w:val="24"/>
      <w:szCs w:val="24"/>
      <w:lang w:val="en-US" w:bidi="en-US"/>
    </w:rPr>
  </w:style>
  <w:style w:type="paragraph" w:customStyle="1" w:styleId="2e">
    <w:name w:val="Указатель2"/>
    <w:basedOn w:val="a1"/>
    <w:rsid w:val="00040D91"/>
    <w:pPr>
      <w:suppressLineNumbers/>
      <w:spacing w:after="0" w:line="240" w:lineRule="auto"/>
    </w:pPr>
    <w:rPr>
      <w:rFonts w:ascii="Calibri" w:eastAsia="Times New Roman" w:hAnsi="Calibri" w:cs="Calibri"/>
      <w:sz w:val="24"/>
      <w:szCs w:val="24"/>
      <w:lang w:val="en-US" w:bidi="en-US"/>
    </w:rPr>
  </w:style>
  <w:style w:type="paragraph" w:customStyle="1" w:styleId="1f7">
    <w:name w:val="Название1"/>
    <w:basedOn w:val="a1"/>
    <w:rsid w:val="00040D91"/>
    <w:pPr>
      <w:suppressLineNumbers/>
      <w:spacing w:before="120" w:after="120" w:line="240" w:lineRule="auto"/>
    </w:pPr>
    <w:rPr>
      <w:rFonts w:ascii="Calibri" w:eastAsia="Times New Roman" w:hAnsi="Calibri" w:cs="Calibri"/>
      <w:i/>
      <w:iCs/>
      <w:sz w:val="24"/>
      <w:szCs w:val="24"/>
      <w:lang w:val="en-US" w:bidi="en-US"/>
    </w:rPr>
  </w:style>
  <w:style w:type="paragraph" w:customStyle="1" w:styleId="1f8">
    <w:name w:val="Указатель1"/>
    <w:basedOn w:val="a1"/>
    <w:rsid w:val="00040D91"/>
    <w:pPr>
      <w:suppressLineNumbers/>
      <w:spacing w:after="0" w:line="240" w:lineRule="auto"/>
    </w:pPr>
    <w:rPr>
      <w:rFonts w:ascii="Calibri" w:eastAsia="Times New Roman" w:hAnsi="Calibri" w:cs="Calibri"/>
      <w:sz w:val="24"/>
      <w:szCs w:val="24"/>
      <w:lang w:val="en-US" w:bidi="en-US"/>
    </w:rPr>
  </w:style>
  <w:style w:type="paragraph" w:customStyle="1" w:styleId="afffa">
    <w:name w:val="Таблица шапка"/>
    <w:basedOn w:val="a1"/>
    <w:rsid w:val="00040D91"/>
    <w:pPr>
      <w:keepNext/>
      <w:spacing w:before="40" w:after="40" w:line="240" w:lineRule="auto"/>
      <w:ind w:left="57" w:right="57"/>
    </w:pPr>
    <w:rPr>
      <w:rFonts w:ascii="Calibri" w:eastAsia="Times New Roman" w:hAnsi="Calibri" w:cs="Calibri"/>
      <w:sz w:val="18"/>
      <w:szCs w:val="18"/>
      <w:lang w:val="en-US" w:bidi="en-US"/>
    </w:rPr>
  </w:style>
  <w:style w:type="paragraph" w:customStyle="1" w:styleId="215">
    <w:name w:val="Основной текст 21"/>
    <w:basedOn w:val="a1"/>
    <w:rsid w:val="00040D91"/>
    <w:pPr>
      <w:tabs>
        <w:tab w:val="left" w:pos="567"/>
      </w:tabs>
      <w:spacing w:after="60" w:line="240" w:lineRule="auto"/>
      <w:ind w:left="567" w:hanging="567"/>
      <w:jc w:val="both"/>
    </w:pPr>
    <w:rPr>
      <w:rFonts w:ascii="Calibri" w:eastAsia="Times New Roman" w:hAnsi="Calibri" w:cs="Calibri"/>
      <w:sz w:val="24"/>
      <w:szCs w:val="20"/>
      <w:lang w:val="en-US" w:bidi="en-US"/>
    </w:rPr>
  </w:style>
  <w:style w:type="paragraph" w:customStyle="1" w:styleId="a0">
    <w:name w:val="Нумерованый список"/>
    <w:basedOn w:val="a1"/>
    <w:rsid w:val="00040D91"/>
    <w:pPr>
      <w:numPr>
        <w:numId w:val="1"/>
      </w:numPr>
      <w:spacing w:after="120" w:line="312" w:lineRule="auto"/>
    </w:pPr>
    <w:rPr>
      <w:rFonts w:ascii="Arial" w:eastAsia="Times New Roman" w:hAnsi="Arial" w:cs="Calibri"/>
      <w:szCs w:val="24"/>
      <w:lang w:val="en-US" w:bidi="en-US"/>
    </w:rPr>
  </w:style>
  <w:style w:type="paragraph" w:customStyle="1" w:styleId="-">
    <w:name w:val="титул-год"/>
    <w:basedOn w:val="a1"/>
    <w:rsid w:val="00040D91"/>
    <w:pPr>
      <w:spacing w:after="120" w:line="420" w:lineRule="exact"/>
      <w:jc w:val="center"/>
    </w:pPr>
    <w:rPr>
      <w:rFonts w:ascii="Arial" w:eastAsia="Times New Roman" w:hAnsi="Arial" w:cs="Calibri"/>
      <w:color w:val="000000"/>
      <w:spacing w:val="-8"/>
      <w:kern w:val="1"/>
      <w:sz w:val="30"/>
      <w:szCs w:val="20"/>
      <w:lang w:val="en-US" w:bidi="en-US"/>
    </w:rPr>
  </w:style>
  <w:style w:type="paragraph" w:customStyle="1" w:styleId="ab0">
    <w:name w:val="ab"/>
    <w:basedOn w:val="a1"/>
    <w:rsid w:val="00040D91"/>
    <w:pPr>
      <w:spacing w:before="280" w:after="280" w:line="240" w:lineRule="auto"/>
    </w:pPr>
    <w:rPr>
      <w:rFonts w:ascii="Calibri" w:eastAsia="Times New Roman" w:hAnsi="Calibri" w:cs="Calibri"/>
      <w:sz w:val="24"/>
      <w:szCs w:val="24"/>
      <w:lang w:val="en-US" w:bidi="en-US"/>
    </w:rPr>
  </w:style>
  <w:style w:type="paragraph" w:customStyle="1" w:styleId="afffb">
    <w:name w:val="Содержимое врезки"/>
    <w:basedOn w:val="af4"/>
    <w:rsid w:val="00040D91"/>
    <w:rPr>
      <w:rFonts w:cs="Calibri"/>
      <w:lang w:eastAsia="en-US" w:bidi="en-US"/>
    </w:rPr>
  </w:style>
  <w:style w:type="paragraph" w:customStyle="1" w:styleId="afffc">
    <w:name w:val="Содержимое таблицы"/>
    <w:basedOn w:val="a1"/>
    <w:rsid w:val="00040D91"/>
    <w:pPr>
      <w:suppressLineNumbers/>
      <w:spacing w:after="0" w:line="240" w:lineRule="auto"/>
    </w:pPr>
    <w:rPr>
      <w:rFonts w:ascii="Calibri" w:eastAsia="Times New Roman" w:hAnsi="Calibri" w:cs="Calibri"/>
      <w:sz w:val="24"/>
      <w:szCs w:val="24"/>
      <w:lang w:val="en-US" w:bidi="en-US"/>
    </w:rPr>
  </w:style>
  <w:style w:type="paragraph" w:customStyle="1" w:styleId="afffd">
    <w:name w:val="Заголовок таблицы"/>
    <w:basedOn w:val="afffc"/>
    <w:rsid w:val="00040D91"/>
    <w:pPr>
      <w:jc w:val="center"/>
    </w:pPr>
    <w:rPr>
      <w:b/>
      <w:bCs/>
    </w:rPr>
  </w:style>
  <w:style w:type="paragraph" w:styleId="HTML0">
    <w:name w:val="HTML Preformatted"/>
    <w:basedOn w:val="a1"/>
    <w:link w:val="HTML1"/>
    <w:rsid w:val="00040D91"/>
    <w:pPr>
      <w:spacing w:after="0" w:line="240" w:lineRule="auto"/>
    </w:pPr>
    <w:rPr>
      <w:rFonts w:ascii="Courier New" w:eastAsia="Times New Roman" w:hAnsi="Courier New" w:cs="Courier New"/>
      <w:sz w:val="20"/>
      <w:szCs w:val="20"/>
      <w:lang w:val="en-US" w:bidi="en-US"/>
    </w:rPr>
  </w:style>
  <w:style w:type="character" w:customStyle="1" w:styleId="HTML1">
    <w:name w:val="Стандартный HTML Знак1"/>
    <w:basedOn w:val="a2"/>
    <w:link w:val="HTML0"/>
    <w:rsid w:val="00040D91"/>
    <w:rPr>
      <w:rFonts w:ascii="Courier New" w:eastAsia="Times New Roman" w:hAnsi="Courier New" w:cs="Courier New"/>
      <w:sz w:val="20"/>
      <w:szCs w:val="20"/>
      <w:lang w:val="en-US" w:bidi="en-US"/>
    </w:rPr>
  </w:style>
  <w:style w:type="paragraph" w:customStyle="1" w:styleId="46">
    <w:name w:val="4.Заголовок таблицы"/>
    <w:basedOn w:val="a1"/>
    <w:next w:val="a1"/>
    <w:rsid w:val="00040D91"/>
    <w:pPr>
      <w:widowControl w:val="0"/>
      <w:spacing w:before="60" w:after="0" w:line="240" w:lineRule="auto"/>
      <w:jc w:val="center"/>
    </w:pPr>
    <w:rPr>
      <w:rFonts w:ascii="Calibri" w:eastAsia="Times New Roman" w:hAnsi="Calibri" w:cs="Times New Roman"/>
      <w:b/>
      <w:bCs/>
      <w:sz w:val="28"/>
      <w:szCs w:val="24"/>
      <w:lang w:val="en-US" w:bidi="en-US"/>
    </w:rPr>
  </w:style>
  <w:style w:type="paragraph" w:customStyle="1" w:styleId="6-1">
    <w:name w:val="6.Табл.-1уровень"/>
    <w:basedOn w:val="a1"/>
    <w:rsid w:val="00040D91"/>
    <w:pPr>
      <w:keepLines/>
      <w:widowControl w:val="0"/>
      <w:suppressLineNumbers/>
      <w:spacing w:before="20" w:after="0" w:line="240" w:lineRule="auto"/>
      <w:ind w:left="340" w:right="57" w:hanging="170"/>
      <w:jc w:val="both"/>
    </w:pPr>
    <w:rPr>
      <w:rFonts w:ascii="Arial" w:eastAsia="Times New Roman" w:hAnsi="Arial" w:cs="Times New Roman"/>
      <w:sz w:val="20"/>
      <w:szCs w:val="20"/>
      <w:lang w:val="en-US" w:bidi="en-US"/>
    </w:rPr>
  </w:style>
  <w:style w:type="paragraph" w:customStyle="1" w:styleId="6-2">
    <w:name w:val="6.Табл.-2уровень"/>
    <w:basedOn w:val="a1"/>
    <w:rsid w:val="00040D91"/>
    <w:pPr>
      <w:keepLines/>
      <w:widowControl w:val="0"/>
      <w:suppressLineNumbers/>
      <w:spacing w:after="0" w:line="240" w:lineRule="auto"/>
      <w:ind w:left="510" w:right="57" w:hanging="170"/>
      <w:jc w:val="both"/>
    </w:pPr>
    <w:rPr>
      <w:rFonts w:ascii="Arial" w:eastAsia="Times New Roman" w:hAnsi="Arial" w:cs="Times New Roman"/>
      <w:sz w:val="20"/>
      <w:szCs w:val="20"/>
      <w:lang w:val="en-US" w:bidi="en-US"/>
    </w:rPr>
  </w:style>
  <w:style w:type="paragraph" w:customStyle="1" w:styleId="5-">
    <w:name w:val="5.Табл.-шапка"/>
    <w:basedOn w:val="6-1"/>
    <w:rsid w:val="00040D91"/>
    <w:pPr>
      <w:keepLines w:val="0"/>
      <w:suppressLineNumbers w:val="0"/>
      <w:spacing w:after="20"/>
      <w:ind w:left="0" w:right="0" w:firstLine="0"/>
      <w:jc w:val="center"/>
    </w:pPr>
  </w:style>
  <w:style w:type="paragraph" w:customStyle="1" w:styleId="6-">
    <w:name w:val="6.Табл.-данные"/>
    <w:rsid w:val="00040D91"/>
    <w:pPr>
      <w:widowControl w:val="0"/>
      <w:suppressAutoHyphens/>
      <w:spacing w:after="200" w:line="276" w:lineRule="auto"/>
      <w:jc w:val="center"/>
    </w:pPr>
    <w:rPr>
      <w:rFonts w:ascii="Calibri" w:eastAsia="Arial" w:hAnsi="Calibri" w:cs="Times New Roman"/>
      <w:lang w:eastAsia="ar-SA"/>
    </w:rPr>
  </w:style>
  <w:style w:type="paragraph" w:customStyle="1" w:styleId="47">
    <w:name w:val="4.Пояснение к таблице"/>
    <w:basedOn w:val="6-1"/>
    <w:next w:val="5-"/>
    <w:rsid w:val="00040D91"/>
    <w:pPr>
      <w:keepLines w:val="0"/>
      <w:suppressLineNumbers w:val="0"/>
      <w:suppressAutoHyphens/>
      <w:spacing w:before="60" w:after="20"/>
      <w:ind w:left="0" w:right="0" w:firstLine="0"/>
      <w:jc w:val="right"/>
    </w:pPr>
  </w:style>
  <w:style w:type="paragraph" w:customStyle="1" w:styleId="ConsPlusTitle">
    <w:name w:val="ConsPlusTitle"/>
    <w:rsid w:val="00040D91"/>
    <w:pPr>
      <w:widowControl w:val="0"/>
      <w:autoSpaceDE w:val="0"/>
      <w:autoSpaceDN w:val="0"/>
      <w:adjustRightInd w:val="0"/>
      <w:spacing w:after="200" w:line="276" w:lineRule="auto"/>
    </w:pPr>
    <w:rPr>
      <w:rFonts w:ascii="Calibri" w:eastAsia="Times New Roman" w:hAnsi="Calibri" w:cs="Times New Roman"/>
      <w:b/>
      <w:bCs/>
      <w:sz w:val="24"/>
      <w:szCs w:val="24"/>
      <w:lang w:eastAsia="ru-RU"/>
    </w:rPr>
  </w:style>
  <w:style w:type="paragraph" w:styleId="afffe">
    <w:name w:val="Body Text Indent"/>
    <w:aliases w:val="Основной текст 1,Мой Заголовок 1,Нумерованный список !!,Надин стиль,Основной текст с отступом1,Основной текст с отступом11"/>
    <w:basedOn w:val="a1"/>
    <w:link w:val="affff"/>
    <w:rsid w:val="00040D91"/>
    <w:pPr>
      <w:spacing w:after="0" w:line="240" w:lineRule="auto"/>
      <w:ind w:firstLine="851"/>
      <w:jc w:val="both"/>
    </w:pPr>
    <w:rPr>
      <w:rFonts w:ascii="Calibri" w:eastAsia="Times New Roman" w:hAnsi="Calibri" w:cs="Times New Roman"/>
      <w:sz w:val="24"/>
      <w:szCs w:val="20"/>
      <w:lang w:eastAsia="ru-RU"/>
    </w:rPr>
  </w:style>
  <w:style w:type="character" w:customStyle="1" w:styleId="affff">
    <w:name w:val="Основной текст с отступом Знак"/>
    <w:aliases w:val="Основной текст 1 Знак,Мой Заголовок 1 Знак,Нумерованный список !! Знак,Надин стиль Знак,Основной текст с отступом1 Знак,Основной текст с отступом11 Знак"/>
    <w:basedOn w:val="a2"/>
    <w:link w:val="afffe"/>
    <w:rsid w:val="00040D91"/>
    <w:rPr>
      <w:rFonts w:ascii="Calibri" w:eastAsia="Times New Roman" w:hAnsi="Calibri" w:cs="Times New Roman"/>
      <w:sz w:val="24"/>
      <w:szCs w:val="20"/>
      <w:lang w:eastAsia="ru-RU"/>
    </w:rPr>
  </w:style>
  <w:style w:type="paragraph" w:styleId="2f">
    <w:name w:val="Quote"/>
    <w:basedOn w:val="a1"/>
    <w:next w:val="a1"/>
    <w:link w:val="2f0"/>
    <w:uiPriority w:val="29"/>
    <w:qFormat/>
    <w:rsid w:val="00040D91"/>
    <w:pPr>
      <w:spacing w:after="0" w:line="240" w:lineRule="auto"/>
    </w:pPr>
    <w:rPr>
      <w:rFonts w:ascii="Calibri" w:eastAsia="Times New Roman" w:hAnsi="Calibri" w:cs="Times New Roman"/>
      <w:i/>
      <w:sz w:val="24"/>
      <w:szCs w:val="24"/>
      <w:lang w:eastAsia="ru-RU"/>
    </w:rPr>
  </w:style>
  <w:style w:type="character" w:customStyle="1" w:styleId="2f0">
    <w:name w:val="Цитата 2 Знак"/>
    <w:basedOn w:val="a2"/>
    <w:link w:val="2f"/>
    <w:uiPriority w:val="29"/>
    <w:rsid w:val="00040D91"/>
    <w:rPr>
      <w:rFonts w:ascii="Calibri" w:eastAsia="Times New Roman" w:hAnsi="Calibri" w:cs="Times New Roman"/>
      <w:i/>
      <w:sz w:val="24"/>
      <w:szCs w:val="24"/>
      <w:lang w:eastAsia="ru-RU"/>
    </w:rPr>
  </w:style>
  <w:style w:type="paragraph" w:styleId="affff0">
    <w:name w:val="Intense Quote"/>
    <w:basedOn w:val="a1"/>
    <w:next w:val="a1"/>
    <w:link w:val="affff1"/>
    <w:uiPriority w:val="30"/>
    <w:qFormat/>
    <w:rsid w:val="00040D91"/>
    <w:pPr>
      <w:spacing w:after="0" w:line="240" w:lineRule="auto"/>
      <w:ind w:left="720" w:right="720"/>
    </w:pPr>
    <w:rPr>
      <w:rFonts w:ascii="Calibri" w:eastAsia="Times New Roman" w:hAnsi="Calibri" w:cs="Times New Roman"/>
      <w:b/>
      <w:i/>
      <w:sz w:val="24"/>
      <w:szCs w:val="20"/>
      <w:lang w:eastAsia="ru-RU"/>
    </w:rPr>
  </w:style>
  <w:style w:type="character" w:customStyle="1" w:styleId="affff1">
    <w:name w:val="Выделенная цитата Знак"/>
    <w:basedOn w:val="a2"/>
    <w:link w:val="affff0"/>
    <w:uiPriority w:val="30"/>
    <w:rsid w:val="00040D91"/>
    <w:rPr>
      <w:rFonts w:ascii="Calibri" w:eastAsia="Times New Roman" w:hAnsi="Calibri" w:cs="Times New Roman"/>
      <w:b/>
      <w:i/>
      <w:sz w:val="24"/>
      <w:szCs w:val="20"/>
      <w:lang w:eastAsia="ru-RU"/>
    </w:rPr>
  </w:style>
  <w:style w:type="character" w:styleId="affff2">
    <w:name w:val="Subtle Emphasis"/>
    <w:uiPriority w:val="19"/>
    <w:qFormat/>
    <w:rsid w:val="00040D91"/>
    <w:rPr>
      <w:i/>
      <w:color w:val="5A5A5A"/>
    </w:rPr>
  </w:style>
  <w:style w:type="character" w:styleId="affff3">
    <w:name w:val="Intense Emphasis"/>
    <w:uiPriority w:val="21"/>
    <w:qFormat/>
    <w:rsid w:val="00040D91"/>
    <w:rPr>
      <w:b/>
      <w:i/>
      <w:sz w:val="24"/>
      <w:szCs w:val="24"/>
      <w:u w:val="single"/>
    </w:rPr>
  </w:style>
  <w:style w:type="character" w:styleId="affff4">
    <w:name w:val="Subtle Reference"/>
    <w:uiPriority w:val="31"/>
    <w:qFormat/>
    <w:rsid w:val="00040D91"/>
    <w:rPr>
      <w:sz w:val="24"/>
      <w:szCs w:val="24"/>
      <w:u w:val="single"/>
    </w:rPr>
  </w:style>
  <w:style w:type="character" w:styleId="affff5">
    <w:name w:val="Intense Reference"/>
    <w:uiPriority w:val="32"/>
    <w:qFormat/>
    <w:rsid w:val="00040D91"/>
    <w:rPr>
      <w:b/>
      <w:sz w:val="24"/>
      <w:u w:val="single"/>
    </w:rPr>
  </w:style>
  <w:style w:type="character" w:styleId="affff6">
    <w:name w:val="Book Title"/>
    <w:uiPriority w:val="33"/>
    <w:qFormat/>
    <w:rsid w:val="00040D91"/>
    <w:rPr>
      <w:rFonts w:ascii="Cambria" w:eastAsia="Times New Roman" w:hAnsi="Cambria"/>
      <w:b/>
      <w:i/>
      <w:sz w:val="24"/>
      <w:szCs w:val="24"/>
    </w:rPr>
  </w:style>
  <w:style w:type="paragraph" w:customStyle="1" w:styleId="1f9">
    <w:name w:val="Стиль1"/>
    <w:basedOn w:val="1"/>
    <w:link w:val="1fa"/>
    <w:qFormat/>
    <w:rsid w:val="00040D91"/>
    <w:pPr>
      <w:keepNext/>
      <w:widowControl/>
      <w:autoSpaceDE/>
      <w:autoSpaceDN/>
      <w:adjustRightInd/>
      <w:spacing w:before="240" w:after="60"/>
    </w:pPr>
    <w:rPr>
      <w:rFonts w:ascii="Cambria" w:hAnsi="Cambria"/>
      <w:kern w:val="32"/>
      <w:lang w:eastAsia="ko-KR"/>
    </w:rPr>
  </w:style>
  <w:style w:type="paragraph" w:customStyle="1" w:styleId="2f1">
    <w:name w:val="Стиль2"/>
    <w:basedOn w:val="1"/>
    <w:next w:val="1"/>
    <w:rsid w:val="00040D91"/>
    <w:pPr>
      <w:keepNext/>
      <w:widowControl/>
      <w:autoSpaceDE/>
      <w:autoSpaceDN/>
      <w:adjustRightInd/>
      <w:spacing w:before="240" w:after="60"/>
    </w:pPr>
    <w:rPr>
      <w:rFonts w:ascii="Cambria" w:hAnsi="Cambria"/>
      <w:color w:val="auto"/>
      <w:kern w:val="32"/>
      <w:lang w:eastAsia="ko-KR"/>
    </w:rPr>
  </w:style>
  <w:style w:type="paragraph" w:customStyle="1" w:styleId="affff7">
    <w:name w:val="Постановление"/>
    <w:basedOn w:val="a1"/>
    <w:rsid w:val="00040D91"/>
    <w:pPr>
      <w:spacing w:after="0" w:line="360" w:lineRule="atLeast"/>
      <w:jc w:val="center"/>
    </w:pPr>
    <w:rPr>
      <w:rFonts w:ascii="Times New Roman" w:eastAsia="Times New Roman" w:hAnsi="Times New Roman" w:cs="Times New Roman"/>
      <w:spacing w:val="6"/>
      <w:sz w:val="32"/>
      <w:szCs w:val="20"/>
      <w:lang w:eastAsia="ru-RU"/>
    </w:rPr>
  </w:style>
  <w:style w:type="paragraph" w:customStyle="1" w:styleId="2f2">
    <w:name w:val="Вертикальный отступ 2"/>
    <w:basedOn w:val="a1"/>
    <w:rsid w:val="00040D91"/>
    <w:pPr>
      <w:spacing w:after="0" w:line="240" w:lineRule="auto"/>
      <w:jc w:val="center"/>
    </w:pPr>
    <w:rPr>
      <w:rFonts w:ascii="Times New Roman" w:eastAsia="Times New Roman" w:hAnsi="Times New Roman" w:cs="Times New Roman"/>
      <w:b/>
      <w:sz w:val="32"/>
      <w:szCs w:val="20"/>
      <w:lang w:eastAsia="ru-RU"/>
    </w:rPr>
  </w:style>
  <w:style w:type="paragraph" w:customStyle="1" w:styleId="1fb">
    <w:name w:val="Вертикальный отступ 1"/>
    <w:basedOn w:val="a1"/>
    <w:rsid w:val="00040D91"/>
    <w:pPr>
      <w:spacing w:after="0" w:line="240" w:lineRule="auto"/>
      <w:jc w:val="center"/>
    </w:pPr>
    <w:rPr>
      <w:rFonts w:ascii="Times New Roman" w:eastAsia="Times New Roman" w:hAnsi="Times New Roman" w:cs="Times New Roman"/>
      <w:sz w:val="28"/>
      <w:szCs w:val="20"/>
      <w:lang w:val="en-US" w:eastAsia="ru-RU"/>
    </w:rPr>
  </w:style>
  <w:style w:type="paragraph" w:customStyle="1" w:styleId="affff8">
    <w:name w:val="Номер"/>
    <w:basedOn w:val="a1"/>
    <w:rsid w:val="00040D91"/>
    <w:pPr>
      <w:spacing w:before="60" w:after="60" w:line="240" w:lineRule="auto"/>
      <w:jc w:val="center"/>
    </w:pPr>
    <w:rPr>
      <w:rFonts w:ascii="Times New Roman" w:eastAsia="Times New Roman" w:hAnsi="Times New Roman" w:cs="Times New Roman"/>
      <w:sz w:val="28"/>
      <w:szCs w:val="20"/>
      <w:lang w:eastAsia="ru-RU"/>
    </w:rPr>
  </w:style>
  <w:style w:type="paragraph" w:styleId="affff9">
    <w:name w:val="endnote text"/>
    <w:basedOn w:val="a1"/>
    <w:link w:val="affffa"/>
    <w:uiPriority w:val="99"/>
    <w:unhideWhenUsed/>
    <w:rsid w:val="00040D91"/>
    <w:pPr>
      <w:spacing w:after="0" w:line="240" w:lineRule="auto"/>
    </w:pPr>
    <w:rPr>
      <w:rFonts w:ascii="Calibri" w:eastAsia="Times New Roman" w:hAnsi="Calibri" w:cs="Calibri"/>
      <w:sz w:val="20"/>
      <w:szCs w:val="20"/>
      <w:lang w:val="en-US" w:bidi="en-US"/>
    </w:rPr>
  </w:style>
  <w:style w:type="character" w:customStyle="1" w:styleId="affffa">
    <w:name w:val="Текст концевой сноски Знак"/>
    <w:basedOn w:val="a2"/>
    <w:link w:val="affff9"/>
    <w:uiPriority w:val="99"/>
    <w:rsid w:val="00040D91"/>
    <w:rPr>
      <w:rFonts w:ascii="Calibri" w:eastAsia="Times New Roman" w:hAnsi="Calibri" w:cs="Calibri"/>
      <w:sz w:val="20"/>
      <w:szCs w:val="20"/>
      <w:lang w:val="en-US" w:bidi="en-US"/>
    </w:rPr>
  </w:style>
  <w:style w:type="paragraph" w:customStyle="1" w:styleId="113">
    <w:name w:val="Абзац списка11"/>
    <w:basedOn w:val="a1"/>
    <w:rsid w:val="00040D91"/>
    <w:pPr>
      <w:spacing w:after="200" w:line="276" w:lineRule="auto"/>
      <w:ind w:left="720"/>
    </w:pPr>
    <w:rPr>
      <w:rFonts w:ascii="Calibri" w:eastAsia="Times New Roman" w:hAnsi="Calibri" w:cs="Times New Roman"/>
      <w:lang w:val="en-US" w:bidi="en-US"/>
    </w:rPr>
  </w:style>
  <w:style w:type="character" w:customStyle="1" w:styleId="712">
    <w:name w:val="Знак Знак71"/>
    <w:rsid w:val="00040D91"/>
    <w:rPr>
      <w:rFonts w:ascii="Arial" w:hAnsi="Arial" w:cs="Arial"/>
      <w:b/>
      <w:bCs/>
      <w:kern w:val="1"/>
      <w:sz w:val="32"/>
      <w:szCs w:val="32"/>
      <w:lang w:val="ru-RU" w:eastAsia="ar-SA" w:bidi="ar-SA"/>
    </w:rPr>
  </w:style>
  <w:style w:type="character" w:customStyle="1" w:styleId="612">
    <w:name w:val="Знак Знак61"/>
    <w:rsid w:val="00040D91"/>
    <w:rPr>
      <w:rFonts w:ascii="Arial" w:hAnsi="Arial" w:cs="Arial"/>
      <w:b/>
      <w:bCs/>
      <w:i/>
      <w:iCs/>
      <w:sz w:val="28"/>
      <w:szCs w:val="28"/>
      <w:lang w:val="ru-RU" w:eastAsia="ar-SA" w:bidi="ar-SA"/>
    </w:rPr>
  </w:style>
  <w:style w:type="character" w:customStyle="1" w:styleId="512">
    <w:name w:val="Знак Знак51"/>
    <w:rsid w:val="00040D91"/>
    <w:rPr>
      <w:rFonts w:ascii="Arial" w:hAnsi="Arial" w:cs="Arial"/>
      <w:b/>
      <w:bCs/>
      <w:sz w:val="26"/>
      <w:szCs w:val="26"/>
      <w:lang w:val="ru-RU" w:eastAsia="ar-SA" w:bidi="ar-SA"/>
    </w:rPr>
  </w:style>
  <w:style w:type="character" w:customStyle="1" w:styleId="415">
    <w:name w:val="Знак Знак41"/>
    <w:rsid w:val="00040D91"/>
    <w:rPr>
      <w:rFonts w:ascii="Calibri" w:hAnsi="Calibri" w:cs="Times New Roman"/>
      <w:b/>
      <w:bCs/>
      <w:sz w:val="28"/>
      <w:szCs w:val="28"/>
      <w:lang w:eastAsia="ar-SA" w:bidi="ar-SA"/>
    </w:rPr>
  </w:style>
  <w:style w:type="character" w:customStyle="1" w:styleId="312">
    <w:name w:val="Знак Знак31"/>
    <w:rsid w:val="00040D91"/>
    <w:rPr>
      <w:rFonts w:ascii="Times New Roman" w:hAnsi="Times New Roman" w:cs="Times New Roman"/>
      <w:sz w:val="24"/>
    </w:rPr>
  </w:style>
  <w:style w:type="character" w:customStyle="1" w:styleId="216">
    <w:name w:val="Знак Знак21"/>
    <w:rsid w:val="00040D91"/>
    <w:rPr>
      <w:rFonts w:ascii="Times New Roman" w:hAnsi="Times New Roman" w:cs="Times New Roman"/>
      <w:sz w:val="28"/>
      <w:szCs w:val="28"/>
    </w:rPr>
  </w:style>
  <w:style w:type="character" w:customStyle="1" w:styleId="114">
    <w:name w:val="Знак Знак11"/>
    <w:rsid w:val="00040D91"/>
    <w:rPr>
      <w:rFonts w:ascii="Times New Roman" w:hAnsi="Times New Roman" w:cs="Times New Roman"/>
      <w:sz w:val="28"/>
      <w:szCs w:val="28"/>
    </w:rPr>
  </w:style>
  <w:style w:type="character" w:customStyle="1" w:styleId="85">
    <w:name w:val="Знак Знак8"/>
    <w:rsid w:val="00040D91"/>
    <w:rPr>
      <w:rFonts w:ascii="Arial" w:hAnsi="Arial" w:cs="Times New Roman"/>
      <w:sz w:val="18"/>
    </w:rPr>
  </w:style>
  <w:style w:type="paragraph" w:customStyle="1" w:styleId="115">
    <w:name w:val="Без интервала11"/>
    <w:rsid w:val="00040D91"/>
    <w:pPr>
      <w:spacing w:after="200" w:line="276" w:lineRule="auto"/>
    </w:pPr>
    <w:rPr>
      <w:rFonts w:ascii="Calibri" w:eastAsia="Times New Roman" w:hAnsi="Calibri" w:cs="Times New Roman"/>
    </w:rPr>
  </w:style>
  <w:style w:type="character" w:customStyle="1" w:styleId="1fc">
    <w:name w:val="Текст концевой сноски Знак1"/>
    <w:uiPriority w:val="99"/>
    <w:semiHidden/>
    <w:rsid w:val="00040D91"/>
    <w:rPr>
      <w:rFonts w:ascii="Calibri" w:eastAsia="Times New Roman" w:hAnsi="Calibri" w:cs="Calibri"/>
      <w:sz w:val="20"/>
      <w:szCs w:val="20"/>
      <w:lang w:val="en-US" w:bidi="en-US"/>
    </w:rPr>
  </w:style>
  <w:style w:type="numbering" w:customStyle="1" w:styleId="1120">
    <w:name w:val="Нет списка112"/>
    <w:next w:val="a4"/>
    <w:uiPriority w:val="99"/>
    <w:semiHidden/>
    <w:unhideWhenUsed/>
    <w:rsid w:val="00040D91"/>
  </w:style>
  <w:style w:type="paragraph" w:customStyle="1" w:styleId="xl87">
    <w:name w:val="xl87"/>
    <w:basedOn w:val="a1"/>
    <w:rsid w:val="00040D91"/>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18"/>
      <w:szCs w:val="18"/>
      <w:lang w:eastAsia="ru-RU"/>
    </w:rPr>
  </w:style>
  <w:style w:type="paragraph" w:customStyle="1" w:styleId="xl88">
    <w:name w:val="xl88"/>
    <w:basedOn w:val="a1"/>
    <w:rsid w:val="00040D91"/>
    <w:pPr>
      <w:pBdr>
        <w:top w:val="single" w:sz="8" w:space="0" w:color="auto"/>
        <w:bottom w:val="single" w:sz="8" w:space="0" w:color="auto"/>
        <w:right w:val="single" w:sz="8" w:space="0" w:color="000000"/>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18"/>
      <w:szCs w:val="18"/>
      <w:lang w:eastAsia="ru-RU"/>
    </w:rPr>
  </w:style>
  <w:style w:type="paragraph" w:customStyle="1" w:styleId="xl89">
    <w:name w:val="xl89"/>
    <w:basedOn w:val="a1"/>
    <w:rsid w:val="00040D91"/>
    <w:pPr>
      <w:pBdr>
        <w:top w:val="single" w:sz="8" w:space="0" w:color="auto"/>
        <w:left w:val="single" w:sz="8" w:space="0" w:color="000000"/>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90">
    <w:name w:val="xl90"/>
    <w:basedOn w:val="a1"/>
    <w:rsid w:val="00040D91"/>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91">
    <w:name w:val="xl91"/>
    <w:basedOn w:val="a1"/>
    <w:rsid w:val="00040D91"/>
    <w:pPr>
      <w:pBdr>
        <w:top w:val="single" w:sz="8" w:space="0" w:color="auto"/>
        <w:bottom w:val="single" w:sz="8" w:space="0" w:color="auto"/>
        <w:right w:val="single" w:sz="8"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92">
    <w:name w:val="xl92"/>
    <w:basedOn w:val="a1"/>
    <w:rsid w:val="00040D91"/>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93">
    <w:name w:val="xl93"/>
    <w:basedOn w:val="a1"/>
    <w:rsid w:val="00040D91"/>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18"/>
      <w:szCs w:val="18"/>
      <w:lang w:eastAsia="ru-RU"/>
    </w:rPr>
  </w:style>
  <w:style w:type="paragraph" w:customStyle="1" w:styleId="xl94">
    <w:name w:val="xl94"/>
    <w:basedOn w:val="a1"/>
    <w:rsid w:val="00040D91"/>
    <w:pPr>
      <w:pBdr>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18"/>
      <w:szCs w:val="18"/>
      <w:lang w:eastAsia="ru-RU"/>
    </w:rPr>
  </w:style>
  <w:style w:type="paragraph" w:customStyle="1" w:styleId="xl95">
    <w:name w:val="xl95"/>
    <w:basedOn w:val="a1"/>
    <w:rsid w:val="00040D91"/>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18"/>
      <w:szCs w:val="18"/>
      <w:lang w:eastAsia="ru-RU"/>
    </w:rPr>
  </w:style>
  <w:style w:type="numbering" w:customStyle="1" w:styleId="290">
    <w:name w:val="Нет списка29"/>
    <w:next w:val="a4"/>
    <w:uiPriority w:val="99"/>
    <w:semiHidden/>
    <w:unhideWhenUsed/>
    <w:rsid w:val="00040D91"/>
  </w:style>
  <w:style w:type="paragraph" w:customStyle="1" w:styleId="xl96">
    <w:name w:val="xl96"/>
    <w:basedOn w:val="a1"/>
    <w:rsid w:val="00040D91"/>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97">
    <w:name w:val="xl97"/>
    <w:basedOn w:val="a1"/>
    <w:rsid w:val="00040D91"/>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98">
    <w:name w:val="xl98"/>
    <w:basedOn w:val="a1"/>
    <w:rsid w:val="00040D91"/>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99">
    <w:name w:val="xl99"/>
    <w:basedOn w:val="a1"/>
    <w:rsid w:val="00040D91"/>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00">
    <w:name w:val="xl100"/>
    <w:basedOn w:val="a1"/>
    <w:rsid w:val="00040D91"/>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01">
    <w:name w:val="xl101"/>
    <w:basedOn w:val="a1"/>
    <w:rsid w:val="00040D91"/>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102">
    <w:name w:val="xl102"/>
    <w:basedOn w:val="a1"/>
    <w:rsid w:val="00040D91"/>
    <w:pPr>
      <w:pBdr>
        <w:top w:val="single" w:sz="8" w:space="0" w:color="auto"/>
        <w:bottom w:val="single" w:sz="8" w:space="0" w:color="auto"/>
        <w:right w:val="single" w:sz="8" w:space="0" w:color="000000"/>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03">
    <w:name w:val="xl103"/>
    <w:basedOn w:val="a1"/>
    <w:rsid w:val="00040D91"/>
    <w:pPr>
      <w:pBdr>
        <w:top w:val="single" w:sz="8" w:space="0" w:color="auto"/>
        <w:left w:val="single" w:sz="8" w:space="0" w:color="000000"/>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04">
    <w:name w:val="xl104"/>
    <w:basedOn w:val="a1"/>
    <w:rsid w:val="00040D91"/>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05">
    <w:name w:val="xl105"/>
    <w:basedOn w:val="a1"/>
    <w:rsid w:val="00040D91"/>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06">
    <w:name w:val="xl106"/>
    <w:basedOn w:val="a1"/>
    <w:rsid w:val="00040D91"/>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07">
    <w:name w:val="xl107"/>
    <w:basedOn w:val="a1"/>
    <w:rsid w:val="00040D91"/>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08">
    <w:name w:val="xl108"/>
    <w:basedOn w:val="a1"/>
    <w:rsid w:val="00040D91"/>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09">
    <w:name w:val="xl109"/>
    <w:basedOn w:val="a1"/>
    <w:rsid w:val="00040D91"/>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10">
    <w:name w:val="xl110"/>
    <w:basedOn w:val="a1"/>
    <w:rsid w:val="00040D91"/>
    <w:pPr>
      <w:pBdr>
        <w:top w:val="single" w:sz="8" w:space="0" w:color="auto"/>
        <w:left w:val="single" w:sz="8" w:space="0" w:color="000000"/>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11">
    <w:name w:val="xl111"/>
    <w:basedOn w:val="a1"/>
    <w:rsid w:val="00040D91"/>
    <w:pPr>
      <w:pBdr>
        <w:top w:val="single" w:sz="8" w:space="0" w:color="auto"/>
        <w:bottom w:val="single" w:sz="8" w:space="0" w:color="auto"/>
        <w:right w:val="single" w:sz="8"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12">
    <w:name w:val="xl112"/>
    <w:basedOn w:val="a1"/>
    <w:rsid w:val="00040D91"/>
    <w:pPr>
      <w:pBdr>
        <w:top w:val="single" w:sz="8" w:space="0" w:color="auto"/>
        <w:bottom w:val="single" w:sz="8" w:space="0" w:color="auto"/>
        <w:right w:val="single" w:sz="8"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13">
    <w:name w:val="xl113"/>
    <w:basedOn w:val="a1"/>
    <w:rsid w:val="00040D91"/>
    <w:pPr>
      <w:pBdr>
        <w:top w:val="single" w:sz="8" w:space="0" w:color="000000"/>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14">
    <w:name w:val="xl114"/>
    <w:basedOn w:val="a1"/>
    <w:rsid w:val="00040D91"/>
    <w:pPr>
      <w:pBdr>
        <w:left w:val="single" w:sz="8" w:space="0" w:color="auto"/>
        <w:bottom w:val="single" w:sz="8" w:space="0" w:color="000000"/>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15">
    <w:name w:val="xl115"/>
    <w:basedOn w:val="a1"/>
    <w:rsid w:val="00040D91"/>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16">
    <w:name w:val="xl116"/>
    <w:basedOn w:val="a1"/>
    <w:rsid w:val="00040D91"/>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17">
    <w:name w:val="xl117"/>
    <w:basedOn w:val="a1"/>
    <w:rsid w:val="00040D91"/>
    <w:pPr>
      <w:pBdr>
        <w:top w:val="single" w:sz="8" w:space="0" w:color="auto"/>
        <w:left w:val="single" w:sz="8" w:space="0" w:color="000000"/>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18">
    <w:name w:val="xl118"/>
    <w:basedOn w:val="a1"/>
    <w:rsid w:val="00040D91"/>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19">
    <w:name w:val="xl119"/>
    <w:basedOn w:val="a1"/>
    <w:rsid w:val="00040D91"/>
    <w:pPr>
      <w:pBdr>
        <w:top w:val="single" w:sz="8" w:space="0" w:color="auto"/>
        <w:bottom w:val="single" w:sz="8" w:space="0" w:color="auto"/>
        <w:right w:val="single" w:sz="8" w:space="0" w:color="000000"/>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20">
    <w:name w:val="xl120"/>
    <w:basedOn w:val="a1"/>
    <w:rsid w:val="00040D91"/>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21">
    <w:name w:val="xl121"/>
    <w:basedOn w:val="a1"/>
    <w:rsid w:val="00040D91"/>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22">
    <w:name w:val="xl122"/>
    <w:basedOn w:val="a1"/>
    <w:rsid w:val="00040D91"/>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23">
    <w:name w:val="xl123"/>
    <w:basedOn w:val="a1"/>
    <w:rsid w:val="00040D91"/>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24">
    <w:name w:val="xl124"/>
    <w:basedOn w:val="a1"/>
    <w:rsid w:val="00040D91"/>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18"/>
      <w:szCs w:val="18"/>
      <w:lang w:eastAsia="ru-RU"/>
    </w:rPr>
  </w:style>
  <w:style w:type="paragraph" w:customStyle="1" w:styleId="xl125">
    <w:name w:val="xl125"/>
    <w:basedOn w:val="a1"/>
    <w:rsid w:val="00040D91"/>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18"/>
      <w:szCs w:val="18"/>
      <w:lang w:eastAsia="ru-RU"/>
    </w:rPr>
  </w:style>
  <w:style w:type="paragraph" w:customStyle="1" w:styleId="xl126">
    <w:name w:val="xl126"/>
    <w:basedOn w:val="a1"/>
    <w:rsid w:val="00040D91"/>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18"/>
      <w:szCs w:val="18"/>
      <w:lang w:eastAsia="ru-RU"/>
    </w:rPr>
  </w:style>
  <w:style w:type="paragraph" w:customStyle="1" w:styleId="xl127">
    <w:name w:val="xl127"/>
    <w:basedOn w:val="a1"/>
    <w:rsid w:val="00040D91"/>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18"/>
      <w:szCs w:val="18"/>
      <w:lang w:eastAsia="ru-RU"/>
    </w:rPr>
  </w:style>
  <w:style w:type="paragraph" w:customStyle="1" w:styleId="xl128">
    <w:name w:val="xl128"/>
    <w:basedOn w:val="a1"/>
    <w:rsid w:val="00040D91"/>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18"/>
      <w:szCs w:val="18"/>
      <w:lang w:eastAsia="ru-RU"/>
    </w:rPr>
  </w:style>
  <w:style w:type="paragraph" w:customStyle="1" w:styleId="xl129">
    <w:name w:val="xl129"/>
    <w:basedOn w:val="a1"/>
    <w:rsid w:val="00040D91"/>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18"/>
      <w:szCs w:val="18"/>
      <w:lang w:eastAsia="ru-RU"/>
    </w:rPr>
  </w:style>
  <w:style w:type="paragraph" w:customStyle="1" w:styleId="xl130">
    <w:name w:val="xl130"/>
    <w:basedOn w:val="a1"/>
    <w:rsid w:val="00040D91"/>
    <w:pPr>
      <w:pBdr>
        <w:top w:val="single" w:sz="8" w:space="0" w:color="000000"/>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31">
    <w:name w:val="xl131"/>
    <w:basedOn w:val="a1"/>
    <w:rsid w:val="00040D91"/>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32">
    <w:name w:val="xl132"/>
    <w:basedOn w:val="a1"/>
    <w:rsid w:val="00040D91"/>
    <w:pPr>
      <w:pBdr>
        <w:left w:val="single" w:sz="8" w:space="0" w:color="auto"/>
        <w:bottom w:val="single" w:sz="8" w:space="0" w:color="000000"/>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33">
    <w:name w:val="xl133"/>
    <w:basedOn w:val="a1"/>
    <w:rsid w:val="00040D91"/>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18"/>
      <w:szCs w:val="18"/>
      <w:lang w:eastAsia="ru-RU"/>
    </w:rPr>
  </w:style>
  <w:style w:type="paragraph" w:customStyle="1" w:styleId="xl134">
    <w:name w:val="xl134"/>
    <w:basedOn w:val="a1"/>
    <w:rsid w:val="00040D91"/>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18"/>
      <w:szCs w:val="18"/>
      <w:lang w:eastAsia="ru-RU"/>
    </w:rPr>
  </w:style>
  <w:style w:type="paragraph" w:customStyle="1" w:styleId="xl135">
    <w:name w:val="xl135"/>
    <w:basedOn w:val="a1"/>
    <w:rsid w:val="00040D91"/>
    <w:pPr>
      <w:pBdr>
        <w:top w:val="single" w:sz="8" w:space="0" w:color="auto"/>
        <w:bottom w:val="single" w:sz="8" w:space="0" w:color="auto"/>
        <w:right w:val="single" w:sz="8" w:space="0" w:color="000000"/>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18"/>
      <w:szCs w:val="18"/>
      <w:lang w:eastAsia="ru-RU"/>
    </w:rPr>
  </w:style>
  <w:style w:type="paragraph" w:customStyle="1" w:styleId="xl136">
    <w:name w:val="xl136"/>
    <w:basedOn w:val="a1"/>
    <w:rsid w:val="00040D91"/>
    <w:pPr>
      <w:pBdr>
        <w:top w:val="single" w:sz="8" w:space="0" w:color="auto"/>
        <w:left w:val="single" w:sz="8" w:space="0" w:color="000000"/>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137">
    <w:name w:val="xl137"/>
    <w:basedOn w:val="a1"/>
    <w:rsid w:val="00040D91"/>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138">
    <w:name w:val="xl138"/>
    <w:basedOn w:val="a1"/>
    <w:rsid w:val="00040D91"/>
    <w:pPr>
      <w:pBdr>
        <w:top w:val="single" w:sz="8" w:space="0" w:color="auto"/>
        <w:bottom w:val="single" w:sz="8" w:space="0" w:color="auto"/>
        <w:right w:val="single" w:sz="8"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139">
    <w:name w:val="xl139"/>
    <w:basedOn w:val="a1"/>
    <w:rsid w:val="00040D91"/>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40">
    <w:name w:val="xl140"/>
    <w:basedOn w:val="a1"/>
    <w:rsid w:val="00040D91"/>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41">
    <w:name w:val="xl141"/>
    <w:basedOn w:val="a1"/>
    <w:rsid w:val="00040D91"/>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18"/>
      <w:szCs w:val="18"/>
      <w:lang w:eastAsia="ru-RU"/>
    </w:rPr>
  </w:style>
  <w:style w:type="paragraph" w:customStyle="1" w:styleId="xl142">
    <w:name w:val="xl142"/>
    <w:basedOn w:val="a1"/>
    <w:rsid w:val="00040D91"/>
    <w:pPr>
      <w:pBdr>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18"/>
      <w:szCs w:val="18"/>
      <w:lang w:eastAsia="ru-RU"/>
    </w:rPr>
  </w:style>
  <w:style w:type="paragraph" w:customStyle="1" w:styleId="xl143">
    <w:name w:val="xl143"/>
    <w:basedOn w:val="a1"/>
    <w:rsid w:val="00040D91"/>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18"/>
      <w:szCs w:val="18"/>
      <w:lang w:eastAsia="ru-RU"/>
    </w:rPr>
  </w:style>
  <w:style w:type="paragraph" w:customStyle="1" w:styleId="xl144">
    <w:name w:val="xl144"/>
    <w:basedOn w:val="a1"/>
    <w:rsid w:val="00040D91"/>
    <w:pPr>
      <w:pBdr>
        <w:bottom w:val="single" w:sz="8" w:space="0" w:color="auto"/>
        <w:right w:val="single" w:sz="8" w:space="0" w:color="000000"/>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18"/>
      <w:szCs w:val="18"/>
      <w:lang w:eastAsia="ru-RU"/>
    </w:rPr>
  </w:style>
  <w:style w:type="paragraph" w:customStyle="1" w:styleId="xl145">
    <w:name w:val="xl145"/>
    <w:basedOn w:val="a1"/>
    <w:rsid w:val="00040D91"/>
    <w:pPr>
      <w:pBdr>
        <w:left w:val="single" w:sz="8" w:space="0" w:color="000000"/>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146">
    <w:name w:val="xl146"/>
    <w:basedOn w:val="a1"/>
    <w:rsid w:val="00040D91"/>
    <w:pPr>
      <w:pBdr>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147">
    <w:name w:val="xl147"/>
    <w:basedOn w:val="a1"/>
    <w:rsid w:val="00040D91"/>
    <w:pPr>
      <w:pBdr>
        <w:bottom w:val="single" w:sz="8" w:space="0" w:color="auto"/>
        <w:right w:val="single" w:sz="8"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148">
    <w:name w:val="xl148"/>
    <w:basedOn w:val="a1"/>
    <w:rsid w:val="00040D91"/>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18"/>
      <w:szCs w:val="18"/>
      <w:lang w:eastAsia="ru-RU"/>
    </w:rPr>
  </w:style>
  <w:style w:type="paragraph" w:customStyle="1" w:styleId="xl149">
    <w:name w:val="xl149"/>
    <w:basedOn w:val="a1"/>
    <w:rsid w:val="00040D91"/>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18"/>
      <w:szCs w:val="18"/>
      <w:lang w:eastAsia="ru-RU"/>
    </w:rPr>
  </w:style>
  <w:style w:type="paragraph" w:customStyle="1" w:styleId="xl150">
    <w:name w:val="xl150"/>
    <w:basedOn w:val="a1"/>
    <w:rsid w:val="00040D91"/>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18"/>
      <w:szCs w:val="18"/>
      <w:lang w:eastAsia="ru-RU"/>
    </w:rPr>
  </w:style>
  <w:style w:type="paragraph" w:customStyle="1" w:styleId="122">
    <w:name w:val="Абзац списка12"/>
    <w:basedOn w:val="a1"/>
    <w:rsid w:val="00040D91"/>
    <w:pPr>
      <w:spacing w:after="200" w:line="276" w:lineRule="auto"/>
      <w:ind w:left="720"/>
    </w:pPr>
    <w:rPr>
      <w:rFonts w:ascii="Calibri" w:eastAsia="Times New Roman" w:hAnsi="Calibri" w:cs="Times New Roman"/>
      <w:lang w:val="en-US" w:bidi="en-US"/>
    </w:rPr>
  </w:style>
  <w:style w:type="character" w:customStyle="1" w:styleId="720">
    <w:name w:val="Знак Знак72"/>
    <w:rsid w:val="00040D91"/>
    <w:rPr>
      <w:rFonts w:ascii="Arial" w:hAnsi="Arial" w:cs="Arial"/>
      <w:b/>
      <w:bCs/>
      <w:kern w:val="1"/>
      <w:sz w:val="32"/>
      <w:szCs w:val="32"/>
      <w:lang w:val="ru-RU" w:eastAsia="ar-SA" w:bidi="ar-SA"/>
    </w:rPr>
  </w:style>
  <w:style w:type="character" w:customStyle="1" w:styleId="620">
    <w:name w:val="Знак Знак62"/>
    <w:rsid w:val="00040D91"/>
    <w:rPr>
      <w:rFonts w:ascii="Arial" w:hAnsi="Arial" w:cs="Arial"/>
      <w:b/>
      <w:bCs/>
      <w:i/>
      <w:iCs/>
      <w:sz w:val="28"/>
      <w:szCs w:val="28"/>
      <w:lang w:val="ru-RU" w:eastAsia="ar-SA" w:bidi="ar-SA"/>
    </w:rPr>
  </w:style>
  <w:style w:type="character" w:customStyle="1" w:styleId="520">
    <w:name w:val="Знак Знак52"/>
    <w:rsid w:val="00040D91"/>
    <w:rPr>
      <w:rFonts w:ascii="Arial" w:hAnsi="Arial" w:cs="Arial"/>
      <w:b/>
      <w:bCs/>
      <w:sz w:val="26"/>
      <w:szCs w:val="26"/>
      <w:lang w:val="ru-RU" w:eastAsia="ar-SA" w:bidi="ar-SA"/>
    </w:rPr>
  </w:style>
  <w:style w:type="character" w:customStyle="1" w:styleId="422">
    <w:name w:val="Знак Знак42"/>
    <w:rsid w:val="00040D91"/>
    <w:rPr>
      <w:rFonts w:ascii="Calibri" w:hAnsi="Calibri" w:cs="Times New Roman"/>
      <w:b/>
      <w:bCs/>
      <w:sz w:val="28"/>
      <w:szCs w:val="28"/>
      <w:lang w:eastAsia="ar-SA" w:bidi="ar-SA"/>
    </w:rPr>
  </w:style>
  <w:style w:type="character" w:customStyle="1" w:styleId="320">
    <w:name w:val="Знак Знак32"/>
    <w:rsid w:val="00040D91"/>
    <w:rPr>
      <w:rFonts w:ascii="Times New Roman" w:hAnsi="Times New Roman" w:cs="Times New Roman"/>
      <w:sz w:val="24"/>
    </w:rPr>
  </w:style>
  <w:style w:type="character" w:customStyle="1" w:styleId="221">
    <w:name w:val="Знак Знак22"/>
    <w:rsid w:val="00040D91"/>
    <w:rPr>
      <w:rFonts w:ascii="Times New Roman" w:hAnsi="Times New Roman" w:cs="Times New Roman"/>
      <w:sz w:val="28"/>
      <w:szCs w:val="28"/>
    </w:rPr>
  </w:style>
  <w:style w:type="character" w:customStyle="1" w:styleId="123">
    <w:name w:val="Знак Знак12"/>
    <w:rsid w:val="00040D91"/>
    <w:rPr>
      <w:rFonts w:ascii="Times New Roman" w:hAnsi="Times New Roman" w:cs="Times New Roman"/>
      <w:sz w:val="28"/>
      <w:szCs w:val="28"/>
    </w:rPr>
  </w:style>
  <w:style w:type="character" w:customStyle="1" w:styleId="94">
    <w:name w:val="Знак Знак9"/>
    <w:rsid w:val="00040D91"/>
    <w:rPr>
      <w:rFonts w:ascii="Arial" w:hAnsi="Arial" w:cs="Times New Roman"/>
      <w:sz w:val="18"/>
    </w:rPr>
  </w:style>
  <w:style w:type="paragraph" w:customStyle="1" w:styleId="124">
    <w:name w:val="Без интервала12"/>
    <w:rsid w:val="00040D91"/>
    <w:pPr>
      <w:spacing w:after="200" w:line="276" w:lineRule="auto"/>
    </w:pPr>
    <w:rPr>
      <w:rFonts w:ascii="Calibri" w:eastAsia="Times New Roman" w:hAnsi="Calibri" w:cs="Times New Roman"/>
    </w:rPr>
  </w:style>
  <w:style w:type="character" w:customStyle="1" w:styleId="1fa">
    <w:name w:val="Стиль1 Знак"/>
    <w:basedOn w:val="20"/>
    <w:link w:val="1f9"/>
    <w:locked/>
    <w:rsid w:val="00040D91"/>
    <w:rPr>
      <w:rFonts w:ascii="Cambria" w:eastAsia="Times New Roman" w:hAnsi="Cambria" w:cs="Times New Roman"/>
      <w:b/>
      <w:bCs/>
      <w:i w:val="0"/>
      <w:iCs w:val="0"/>
      <w:color w:val="000000"/>
      <w:kern w:val="32"/>
      <w:sz w:val="32"/>
      <w:szCs w:val="32"/>
      <w:lang w:eastAsia="ko-KR"/>
    </w:rPr>
  </w:style>
  <w:style w:type="paragraph" w:customStyle="1" w:styleId="affffb">
    <w:name w:val="Базовый"/>
    <w:rsid w:val="00040D91"/>
    <w:pPr>
      <w:tabs>
        <w:tab w:val="left" w:pos="708"/>
      </w:tabs>
      <w:suppressAutoHyphens/>
      <w:spacing w:after="0" w:line="100" w:lineRule="atLeast"/>
    </w:pPr>
    <w:rPr>
      <w:rFonts w:ascii="Times New Roman" w:eastAsia="Calibri" w:hAnsi="Times New Roman" w:cs="Times New Roman"/>
      <w:bCs/>
      <w:sz w:val="24"/>
      <w:szCs w:val="24"/>
      <w:lang w:eastAsia="ru-RU"/>
    </w:rPr>
  </w:style>
  <w:style w:type="table" w:styleId="-40">
    <w:name w:val="Light Shading Accent 4"/>
    <w:basedOn w:val="a3"/>
    <w:uiPriority w:val="60"/>
    <w:unhideWhenUsed/>
    <w:rsid w:val="00040D91"/>
    <w:pPr>
      <w:spacing w:after="0" w:line="240" w:lineRule="auto"/>
    </w:pPr>
    <w:rPr>
      <w:rFonts w:ascii="Calibri" w:eastAsia="Times New Roman" w:hAnsi="Calibri" w:cs="Times New Roman"/>
      <w:color w:val="BF8F00" w:themeColor="accent4" w:themeShade="BF"/>
      <w:sz w:val="20"/>
      <w:szCs w:val="20"/>
      <w:lang w:eastAsia="ru-RU"/>
    </w:rPr>
    <w:tblPr>
      <w:tblStyleRowBandSize w:val="1"/>
      <w:tblStyleColBandSize w:val="1"/>
      <w:tblInd w:w="0" w:type="dxa"/>
      <w:tblBorders>
        <w:top w:val="single" w:sz="8" w:space="0" w:color="FFC000" w:themeColor="accent4"/>
        <w:bottom w:val="single" w:sz="8" w:space="0" w:color="FFC000"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42">
    <w:name w:val="Light List Accent 4"/>
    <w:basedOn w:val="a3"/>
    <w:uiPriority w:val="61"/>
    <w:unhideWhenUsed/>
    <w:rsid w:val="00040D91"/>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8" w:space="0" w:color="FFC000" w:themeColor="accent4"/>
        <w:left w:val="single" w:sz="8" w:space="0" w:color="FFC000" w:themeColor="accent4"/>
        <w:bottom w:val="single" w:sz="8" w:space="0" w:color="FFC000" w:themeColor="accent4"/>
        <w:right w:val="single" w:sz="8" w:space="0" w:color="FFC000"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numbering" w:customStyle="1" w:styleId="300">
    <w:name w:val="Нет списка30"/>
    <w:next w:val="a4"/>
    <w:uiPriority w:val="99"/>
    <w:semiHidden/>
    <w:unhideWhenUsed/>
    <w:rsid w:val="00040D91"/>
  </w:style>
  <w:style w:type="table" w:customStyle="1" w:styleId="4112">
    <w:name w:val="Сетка таблицы4112"/>
    <w:basedOn w:val="a3"/>
    <w:next w:val="a7"/>
    <w:uiPriority w:val="59"/>
    <w:rsid w:val="00040D9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
    <w:name w:val="Сетка таблицы16"/>
    <w:basedOn w:val="a3"/>
    <w:next w:val="a7"/>
    <w:rsid w:val="00040D9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
    <w:name w:val="Светлая заливка - Акцент 111"/>
    <w:uiPriority w:val="99"/>
    <w:rsid w:val="00040D91"/>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1">
    <w:name w:val="Средняя заливка 1 - Акцент 41"/>
    <w:basedOn w:val="a3"/>
    <w:next w:val="1-4"/>
    <w:uiPriority w:val="63"/>
    <w:rsid w:val="00040D91"/>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11">
    <w:name w:val="Светлая сетка - Акцент 41"/>
    <w:basedOn w:val="a3"/>
    <w:next w:val="-4"/>
    <w:uiPriority w:val="62"/>
    <w:rsid w:val="00040D91"/>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0">
    <w:name w:val="Светлая заливка - Акцент 42"/>
    <w:basedOn w:val="a3"/>
    <w:next w:val="-40"/>
    <w:uiPriority w:val="60"/>
    <w:rsid w:val="00040D91"/>
    <w:pPr>
      <w:spacing w:after="0" w:line="240" w:lineRule="auto"/>
    </w:pPr>
    <w:rPr>
      <w:rFonts w:ascii="Times New Roman" w:eastAsia="Times New Roman" w:hAnsi="Times New Roman" w:cs="Times New Roman"/>
      <w:color w:val="BF8F0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6">
    <w:name w:val="Светлый список11"/>
    <w:basedOn w:val="a3"/>
    <w:uiPriority w:val="61"/>
    <w:rsid w:val="00040D91"/>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1">
    <w:name w:val="Светлый список - Акцент 42"/>
    <w:basedOn w:val="a3"/>
    <w:next w:val="-42"/>
    <w:uiPriority w:val="61"/>
    <w:rsid w:val="00040D91"/>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1130">
    <w:name w:val="Нет списка113"/>
    <w:next w:val="a4"/>
    <w:uiPriority w:val="99"/>
    <w:semiHidden/>
    <w:unhideWhenUsed/>
    <w:rsid w:val="00040D91"/>
  </w:style>
  <w:style w:type="numbering" w:customStyle="1" w:styleId="2100">
    <w:name w:val="Нет списка210"/>
    <w:next w:val="a4"/>
    <w:uiPriority w:val="99"/>
    <w:semiHidden/>
    <w:unhideWhenUsed/>
    <w:rsid w:val="00040D91"/>
  </w:style>
  <w:style w:type="character" w:customStyle="1" w:styleId="a6">
    <w:name w:val="Без интервала Знак"/>
    <w:basedOn w:val="a2"/>
    <w:link w:val="a5"/>
    <w:uiPriority w:val="1"/>
    <w:locked/>
    <w:rsid w:val="00040D91"/>
    <w:rPr>
      <w:rFonts w:ascii="Times New Roman" w:eastAsia="Times New Roman" w:hAnsi="Times New Roman" w:cs="Times New Roman"/>
      <w:color w:val="000000"/>
      <w:sz w:val="18"/>
      <w:szCs w:val="18"/>
      <w:lang w:eastAsia="ru-RU"/>
    </w:rPr>
  </w:style>
  <w:style w:type="numbering" w:customStyle="1" w:styleId="321">
    <w:name w:val="Нет списка32"/>
    <w:next w:val="a4"/>
    <w:uiPriority w:val="99"/>
    <w:semiHidden/>
    <w:unhideWhenUsed/>
    <w:rsid w:val="00040D91"/>
  </w:style>
  <w:style w:type="table" w:customStyle="1" w:styleId="171">
    <w:name w:val="Сетка таблицы17"/>
    <w:basedOn w:val="a3"/>
    <w:next w:val="a7"/>
    <w:uiPriority w:val="39"/>
    <w:rsid w:val="00040D9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c">
    <w:name w:val="Стиль второй"/>
    <w:basedOn w:val="a1"/>
    <w:autoRedefine/>
    <w:qFormat/>
    <w:rsid w:val="00040D91"/>
    <w:pPr>
      <w:tabs>
        <w:tab w:val="right" w:leader="dot" w:pos="9786"/>
      </w:tabs>
      <w:spacing w:after="0" w:line="240" w:lineRule="auto"/>
    </w:pPr>
    <w:rPr>
      <w:rFonts w:ascii="Times New Roman" w:eastAsia="MS Mincho" w:hAnsi="Times New Roman" w:cs="Times New Roman"/>
      <w:b/>
      <w:noProof/>
      <w:sz w:val="28"/>
      <w:szCs w:val="27"/>
      <w:lang w:eastAsia="ru-RU"/>
    </w:rPr>
  </w:style>
  <w:style w:type="numbering" w:customStyle="1" w:styleId="812">
    <w:name w:val="Нет списка81"/>
    <w:next w:val="a4"/>
    <w:uiPriority w:val="99"/>
    <w:semiHidden/>
    <w:unhideWhenUsed/>
    <w:rsid w:val="00040D91"/>
  </w:style>
  <w:style w:type="numbering" w:customStyle="1" w:styleId="911">
    <w:name w:val="Нет списка91"/>
    <w:next w:val="a4"/>
    <w:uiPriority w:val="99"/>
    <w:semiHidden/>
    <w:unhideWhenUsed/>
    <w:rsid w:val="00040D91"/>
  </w:style>
  <w:style w:type="numbering" w:customStyle="1" w:styleId="1011">
    <w:name w:val="Нет списка101"/>
    <w:next w:val="a4"/>
    <w:uiPriority w:val="99"/>
    <w:semiHidden/>
    <w:unhideWhenUsed/>
    <w:rsid w:val="00040D91"/>
  </w:style>
  <w:style w:type="numbering" w:customStyle="1" w:styleId="1210">
    <w:name w:val="Нет списка121"/>
    <w:next w:val="a4"/>
    <w:uiPriority w:val="99"/>
    <w:semiHidden/>
    <w:unhideWhenUsed/>
    <w:rsid w:val="00040D91"/>
  </w:style>
  <w:style w:type="numbering" w:customStyle="1" w:styleId="1310">
    <w:name w:val="Нет списка131"/>
    <w:next w:val="a4"/>
    <w:uiPriority w:val="99"/>
    <w:semiHidden/>
    <w:unhideWhenUsed/>
    <w:rsid w:val="00040D91"/>
  </w:style>
  <w:style w:type="numbering" w:customStyle="1" w:styleId="1410">
    <w:name w:val="Нет списка141"/>
    <w:next w:val="a4"/>
    <w:uiPriority w:val="99"/>
    <w:semiHidden/>
    <w:unhideWhenUsed/>
    <w:rsid w:val="00040D91"/>
  </w:style>
  <w:style w:type="numbering" w:customStyle="1" w:styleId="1510">
    <w:name w:val="Нет списка151"/>
    <w:next w:val="a4"/>
    <w:uiPriority w:val="99"/>
    <w:semiHidden/>
    <w:unhideWhenUsed/>
    <w:rsid w:val="00040D91"/>
  </w:style>
  <w:style w:type="numbering" w:customStyle="1" w:styleId="1610">
    <w:name w:val="Нет списка161"/>
    <w:next w:val="a4"/>
    <w:uiPriority w:val="99"/>
    <w:semiHidden/>
    <w:unhideWhenUsed/>
    <w:rsid w:val="00040D91"/>
  </w:style>
  <w:style w:type="numbering" w:customStyle="1" w:styleId="1710">
    <w:name w:val="Нет списка171"/>
    <w:next w:val="a4"/>
    <w:uiPriority w:val="99"/>
    <w:semiHidden/>
    <w:unhideWhenUsed/>
    <w:rsid w:val="00040D91"/>
  </w:style>
  <w:style w:type="numbering" w:customStyle="1" w:styleId="181">
    <w:name w:val="Нет списка181"/>
    <w:next w:val="a4"/>
    <w:uiPriority w:val="99"/>
    <w:semiHidden/>
    <w:unhideWhenUsed/>
    <w:rsid w:val="00040D91"/>
  </w:style>
  <w:style w:type="numbering" w:customStyle="1" w:styleId="191">
    <w:name w:val="Нет списка191"/>
    <w:next w:val="a4"/>
    <w:uiPriority w:val="99"/>
    <w:semiHidden/>
    <w:unhideWhenUsed/>
    <w:rsid w:val="00040D91"/>
  </w:style>
  <w:style w:type="numbering" w:customStyle="1" w:styleId="201">
    <w:name w:val="Нет списка201"/>
    <w:next w:val="a4"/>
    <w:uiPriority w:val="99"/>
    <w:semiHidden/>
    <w:unhideWhenUsed/>
    <w:rsid w:val="00040D91"/>
  </w:style>
  <w:style w:type="numbering" w:customStyle="1" w:styleId="2110">
    <w:name w:val="Нет списка211"/>
    <w:next w:val="a4"/>
    <w:uiPriority w:val="99"/>
    <w:semiHidden/>
    <w:unhideWhenUsed/>
    <w:rsid w:val="00040D91"/>
  </w:style>
  <w:style w:type="numbering" w:customStyle="1" w:styleId="2210">
    <w:name w:val="Нет списка221"/>
    <w:next w:val="a4"/>
    <w:uiPriority w:val="99"/>
    <w:semiHidden/>
    <w:unhideWhenUsed/>
    <w:rsid w:val="00040D91"/>
  </w:style>
  <w:style w:type="numbering" w:customStyle="1" w:styleId="231">
    <w:name w:val="Нет списка231"/>
    <w:next w:val="a4"/>
    <w:uiPriority w:val="99"/>
    <w:semiHidden/>
    <w:unhideWhenUsed/>
    <w:rsid w:val="00040D91"/>
  </w:style>
  <w:style w:type="numbering" w:customStyle="1" w:styleId="241">
    <w:name w:val="Нет списка241"/>
    <w:next w:val="a4"/>
    <w:uiPriority w:val="99"/>
    <w:semiHidden/>
    <w:unhideWhenUsed/>
    <w:rsid w:val="00040D91"/>
  </w:style>
  <w:style w:type="table" w:customStyle="1" w:styleId="1110">
    <w:name w:val="Сетка таблицы111"/>
    <w:basedOn w:val="a3"/>
    <w:next w:val="a7"/>
    <w:uiPriority w:val="39"/>
    <w:rsid w:val="00040D9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1">
    <w:name w:val="Нет списка251"/>
    <w:next w:val="a4"/>
    <w:uiPriority w:val="99"/>
    <w:semiHidden/>
    <w:unhideWhenUsed/>
    <w:rsid w:val="00040D91"/>
  </w:style>
  <w:style w:type="paragraph" w:customStyle="1" w:styleId="font5">
    <w:name w:val="font5"/>
    <w:basedOn w:val="a1"/>
    <w:rsid w:val="00040D91"/>
    <w:pPr>
      <w:spacing w:before="100" w:beforeAutospacing="1" w:after="100" w:afterAutospacing="1" w:line="240" w:lineRule="auto"/>
    </w:pPr>
    <w:rPr>
      <w:rFonts w:ascii="Arial Narrow" w:eastAsia="Times New Roman" w:hAnsi="Arial Narrow" w:cs="Times New Roman"/>
      <w:color w:val="000000"/>
      <w:sz w:val="12"/>
      <w:szCs w:val="12"/>
      <w:lang w:eastAsia="ru-RU"/>
    </w:rPr>
  </w:style>
  <w:style w:type="paragraph" w:customStyle="1" w:styleId="xl63">
    <w:name w:val="xl63"/>
    <w:basedOn w:val="a1"/>
    <w:rsid w:val="00040D91"/>
    <w:pPr>
      <w:spacing w:before="100" w:beforeAutospacing="1" w:after="100" w:afterAutospacing="1" w:line="240" w:lineRule="auto"/>
      <w:textAlignment w:val="center"/>
    </w:pPr>
    <w:rPr>
      <w:rFonts w:ascii="Arial Narrow" w:eastAsia="Times New Roman" w:hAnsi="Arial Narrow" w:cs="Times New Roman"/>
      <w:b/>
      <w:bCs/>
      <w:color w:val="000000"/>
      <w:sz w:val="12"/>
      <w:szCs w:val="12"/>
      <w:lang w:eastAsia="ru-RU"/>
    </w:rPr>
  </w:style>
  <w:style w:type="paragraph" w:customStyle="1" w:styleId="713">
    <w:name w:val="Заголовок 71"/>
    <w:basedOn w:val="a1"/>
    <w:next w:val="a1"/>
    <w:uiPriority w:val="9"/>
    <w:semiHidden/>
    <w:unhideWhenUsed/>
    <w:qFormat/>
    <w:rsid w:val="00040D91"/>
    <w:pPr>
      <w:keepNext/>
      <w:keepLines/>
      <w:widowControl w:val="0"/>
      <w:autoSpaceDE w:val="0"/>
      <w:autoSpaceDN w:val="0"/>
      <w:adjustRightInd w:val="0"/>
      <w:spacing w:before="40" w:after="0" w:line="240" w:lineRule="auto"/>
      <w:outlineLvl w:val="6"/>
    </w:pPr>
    <w:rPr>
      <w:rFonts w:ascii="Calibri Light" w:eastAsia="Times New Roman" w:hAnsi="Calibri Light" w:cs="Times New Roman"/>
      <w:i/>
      <w:iCs/>
      <w:color w:val="1F3763"/>
      <w:sz w:val="18"/>
      <w:szCs w:val="18"/>
      <w:lang w:eastAsia="ru-RU"/>
    </w:rPr>
  </w:style>
  <w:style w:type="paragraph" w:customStyle="1" w:styleId="813">
    <w:name w:val="Заголовок 81"/>
    <w:basedOn w:val="a1"/>
    <w:next w:val="a1"/>
    <w:uiPriority w:val="9"/>
    <w:semiHidden/>
    <w:unhideWhenUsed/>
    <w:qFormat/>
    <w:rsid w:val="00040D91"/>
    <w:pPr>
      <w:keepNext/>
      <w:keepLines/>
      <w:widowControl w:val="0"/>
      <w:autoSpaceDE w:val="0"/>
      <w:autoSpaceDN w:val="0"/>
      <w:adjustRightInd w:val="0"/>
      <w:spacing w:before="40" w:after="0" w:line="240" w:lineRule="auto"/>
      <w:outlineLvl w:val="7"/>
    </w:pPr>
    <w:rPr>
      <w:rFonts w:ascii="Calibri Light" w:eastAsia="Times New Roman" w:hAnsi="Calibri Light" w:cs="Times New Roman"/>
      <w:color w:val="272727"/>
      <w:sz w:val="21"/>
      <w:szCs w:val="21"/>
      <w:lang w:eastAsia="ru-RU"/>
    </w:rPr>
  </w:style>
  <w:style w:type="paragraph" w:customStyle="1" w:styleId="912">
    <w:name w:val="Заголовок 91"/>
    <w:basedOn w:val="a1"/>
    <w:next w:val="a1"/>
    <w:uiPriority w:val="9"/>
    <w:semiHidden/>
    <w:unhideWhenUsed/>
    <w:qFormat/>
    <w:rsid w:val="00040D91"/>
    <w:pPr>
      <w:keepNext/>
      <w:keepLines/>
      <w:widowControl w:val="0"/>
      <w:autoSpaceDE w:val="0"/>
      <w:autoSpaceDN w:val="0"/>
      <w:adjustRightInd w:val="0"/>
      <w:spacing w:before="40" w:after="0" w:line="240" w:lineRule="auto"/>
      <w:outlineLvl w:val="8"/>
    </w:pPr>
    <w:rPr>
      <w:rFonts w:ascii="Calibri Light" w:eastAsia="Times New Roman" w:hAnsi="Calibri Light" w:cs="Times New Roman"/>
      <w:i/>
      <w:iCs/>
      <w:color w:val="272727"/>
      <w:sz w:val="21"/>
      <w:szCs w:val="21"/>
      <w:lang w:eastAsia="ru-RU"/>
    </w:rPr>
  </w:style>
  <w:style w:type="character" w:customStyle="1" w:styleId="2f3">
    <w:name w:val="Текст сноски Знак2"/>
    <w:aliases w:val="Текст сноски Знак1 Знак1,Текст сноски Знак Знак Знак1,Текст сноски Знак1 Знак Знак Знак1,Текст сноски Знак Знак Знак Знак Знак1,Текст сноски Знак1 Знак Знак Знак Знак1 Знак1,Текст сноски Знак Знак Знак Знак Знак Знак1 Знак1"/>
    <w:basedOn w:val="a2"/>
    <w:semiHidden/>
    <w:rsid w:val="00040D91"/>
    <w:rPr>
      <w:rFonts w:ascii="Times New Roman" w:eastAsia="Times New Roman" w:hAnsi="Times New Roman"/>
      <w:color w:val="000000"/>
      <w:lang w:eastAsia="ru-RU"/>
    </w:rPr>
  </w:style>
  <w:style w:type="character" w:customStyle="1" w:styleId="1fd">
    <w:name w:val="Текст примечания Знак1"/>
    <w:basedOn w:val="a2"/>
    <w:uiPriority w:val="99"/>
    <w:semiHidden/>
    <w:rsid w:val="00040D91"/>
    <w:rPr>
      <w:rFonts w:ascii="Times New Roman" w:eastAsia="Times New Roman" w:hAnsi="Times New Roman" w:cs="Times New Roman"/>
      <w:color w:val="000000"/>
      <w:sz w:val="20"/>
      <w:szCs w:val="20"/>
      <w:lang w:eastAsia="ru-RU"/>
    </w:rPr>
  </w:style>
  <w:style w:type="character" w:customStyle="1" w:styleId="714">
    <w:name w:val="Заголовок 7 Знак1"/>
    <w:basedOn w:val="a2"/>
    <w:uiPriority w:val="9"/>
    <w:semiHidden/>
    <w:rsid w:val="00040D91"/>
    <w:rPr>
      <w:rFonts w:ascii="Calibri Light" w:eastAsia="Times New Roman" w:hAnsi="Calibri Light" w:cs="Times New Roman"/>
      <w:i/>
      <w:iCs/>
      <w:color w:val="1F3763"/>
      <w:sz w:val="18"/>
      <w:szCs w:val="18"/>
      <w:lang w:eastAsia="ru-RU"/>
    </w:rPr>
  </w:style>
  <w:style w:type="character" w:customStyle="1" w:styleId="814">
    <w:name w:val="Заголовок 8 Знак1"/>
    <w:basedOn w:val="a2"/>
    <w:uiPriority w:val="9"/>
    <w:semiHidden/>
    <w:rsid w:val="00040D91"/>
    <w:rPr>
      <w:rFonts w:ascii="Calibri Light" w:eastAsia="Times New Roman" w:hAnsi="Calibri Light" w:cs="Times New Roman"/>
      <w:color w:val="272727"/>
      <w:sz w:val="21"/>
      <w:szCs w:val="21"/>
      <w:lang w:eastAsia="ru-RU"/>
    </w:rPr>
  </w:style>
  <w:style w:type="character" w:customStyle="1" w:styleId="913">
    <w:name w:val="Заголовок 9 Знак1"/>
    <w:basedOn w:val="a2"/>
    <w:uiPriority w:val="9"/>
    <w:semiHidden/>
    <w:rsid w:val="00040D91"/>
    <w:rPr>
      <w:rFonts w:ascii="Calibri Light" w:eastAsia="Times New Roman" w:hAnsi="Calibri Light" w:cs="Times New Roman"/>
      <w:i/>
      <w:iCs/>
      <w:color w:val="272727"/>
      <w:sz w:val="21"/>
      <w:szCs w:val="21"/>
      <w:lang w:eastAsia="ru-RU"/>
    </w:rPr>
  </w:style>
  <w:style w:type="character" w:customStyle="1" w:styleId="1fe">
    <w:name w:val="Верхний колонтитул Знак1"/>
    <w:basedOn w:val="a2"/>
    <w:semiHidden/>
    <w:rsid w:val="00040D91"/>
    <w:rPr>
      <w:rFonts w:ascii="Times New Roman" w:eastAsia="Times New Roman" w:hAnsi="Times New Roman" w:cs="Times New Roman"/>
      <w:color w:val="000000"/>
      <w:sz w:val="18"/>
      <w:szCs w:val="18"/>
      <w:lang w:eastAsia="ru-RU"/>
    </w:rPr>
  </w:style>
  <w:style w:type="character" w:customStyle="1" w:styleId="1ff">
    <w:name w:val="Нижний колонтитул Знак1"/>
    <w:basedOn w:val="a2"/>
    <w:uiPriority w:val="99"/>
    <w:semiHidden/>
    <w:rsid w:val="00040D91"/>
    <w:rPr>
      <w:rFonts w:ascii="Times New Roman" w:eastAsia="Times New Roman" w:hAnsi="Times New Roman" w:cs="Times New Roman"/>
      <w:color w:val="000000"/>
      <w:sz w:val="18"/>
      <w:szCs w:val="18"/>
      <w:lang w:eastAsia="ru-RU"/>
    </w:rPr>
  </w:style>
  <w:style w:type="character" w:customStyle="1" w:styleId="1ff0">
    <w:name w:val="Заголовок Знак1"/>
    <w:basedOn w:val="a2"/>
    <w:uiPriority w:val="10"/>
    <w:rsid w:val="00040D91"/>
    <w:rPr>
      <w:rFonts w:ascii="Calibri Light" w:eastAsia="Times New Roman" w:hAnsi="Calibri Light" w:cs="Times New Roman"/>
      <w:spacing w:val="-10"/>
      <w:kern w:val="28"/>
      <w:sz w:val="56"/>
      <w:szCs w:val="56"/>
      <w:lang w:eastAsia="ru-RU"/>
    </w:rPr>
  </w:style>
  <w:style w:type="character" w:customStyle="1" w:styleId="313">
    <w:name w:val="Основной текст 3 Знак1"/>
    <w:basedOn w:val="a2"/>
    <w:semiHidden/>
    <w:rsid w:val="00040D91"/>
    <w:rPr>
      <w:rFonts w:ascii="Times New Roman" w:eastAsia="Times New Roman" w:hAnsi="Times New Roman" w:cs="Times New Roman"/>
      <w:color w:val="000000"/>
      <w:sz w:val="16"/>
      <w:szCs w:val="16"/>
      <w:lang w:eastAsia="ru-RU"/>
    </w:rPr>
  </w:style>
  <w:style w:type="character" w:customStyle="1" w:styleId="1ff1">
    <w:name w:val="Тема примечания Знак1"/>
    <w:basedOn w:val="1fd"/>
    <w:uiPriority w:val="99"/>
    <w:semiHidden/>
    <w:rsid w:val="00040D91"/>
    <w:rPr>
      <w:rFonts w:ascii="Times New Roman" w:eastAsia="Times New Roman" w:hAnsi="Times New Roman" w:cs="Times New Roman"/>
      <w:color w:val="000000"/>
      <w:sz w:val="20"/>
      <w:szCs w:val="20"/>
      <w:lang w:eastAsia="ru-RU"/>
    </w:rPr>
  </w:style>
  <w:style w:type="character" w:customStyle="1" w:styleId="1ff2">
    <w:name w:val="Текст выноски Знак1"/>
    <w:basedOn w:val="a2"/>
    <w:uiPriority w:val="99"/>
    <w:semiHidden/>
    <w:rsid w:val="00040D91"/>
    <w:rPr>
      <w:rFonts w:ascii="Segoe UI" w:eastAsia="Times New Roman" w:hAnsi="Segoe UI" w:cs="Segoe UI"/>
      <w:color w:val="000000"/>
      <w:sz w:val="18"/>
      <w:szCs w:val="18"/>
      <w:lang w:eastAsia="ru-RU"/>
    </w:rPr>
  </w:style>
  <w:style w:type="paragraph" w:customStyle="1" w:styleId="1ff3">
    <w:name w:val="Подзаголовок1"/>
    <w:basedOn w:val="a1"/>
    <w:next w:val="a1"/>
    <w:uiPriority w:val="11"/>
    <w:qFormat/>
    <w:rsid w:val="00040D91"/>
    <w:pPr>
      <w:widowControl w:val="0"/>
      <w:numPr>
        <w:ilvl w:val="1"/>
      </w:numPr>
      <w:autoSpaceDE w:val="0"/>
      <w:autoSpaceDN w:val="0"/>
      <w:adjustRightInd w:val="0"/>
      <w:spacing w:line="240" w:lineRule="auto"/>
    </w:pPr>
    <w:rPr>
      <w:rFonts w:ascii="Cambria" w:eastAsia="Times New Roman" w:hAnsi="Cambria" w:cs="Times New Roman"/>
      <w:bCs/>
      <w:i/>
      <w:iCs/>
      <w:color w:val="4F81BD"/>
      <w:spacing w:val="15"/>
      <w:sz w:val="24"/>
      <w:szCs w:val="24"/>
      <w:lang w:eastAsia="ru-RU"/>
    </w:rPr>
  </w:style>
  <w:style w:type="character" w:customStyle="1" w:styleId="1ff4">
    <w:name w:val="Подзаголовок Знак1"/>
    <w:basedOn w:val="a2"/>
    <w:uiPriority w:val="11"/>
    <w:rsid w:val="00040D91"/>
    <w:rPr>
      <w:rFonts w:eastAsia="Times New Roman"/>
      <w:color w:val="5A5A5A"/>
      <w:spacing w:val="15"/>
      <w:lang w:eastAsia="ru-RU"/>
    </w:rPr>
  </w:style>
  <w:style w:type="character" w:customStyle="1" w:styleId="1ff5">
    <w:name w:val="Основной текст с отступом Знак1"/>
    <w:basedOn w:val="a2"/>
    <w:semiHidden/>
    <w:rsid w:val="00040D91"/>
  </w:style>
  <w:style w:type="paragraph" w:customStyle="1" w:styleId="217">
    <w:name w:val="Цитата 21"/>
    <w:basedOn w:val="a1"/>
    <w:next w:val="a1"/>
    <w:link w:val="QuoteChar"/>
    <w:uiPriority w:val="29"/>
    <w:qFormat/>
    <w:rsid w:val="00040D91"/>
    <w:pPr>
      <w:widowControl w:val="0"/>
      <w:autoSpaceDE w:val="0"/>
      <w:autoSpaceDN w:val="0"/>
      <w:adjustRightInd w:val="0"/>
      <w:spacing w:before="200" w:line="240" w:lineRule="auto"/>
      <w:ind w:left="864" w:right="864"/>
      <w:jc w:val="center"/>
    </w:pPr>
    <w:rPr>
      <w:rFonts w:ascii="Calibri" w:eastAsia="Times New Roman" w:hAnsi="Calibri" w:cs="Times New Roman"/>
      <w:i/>
      <w:sz w:val="24"/>
      <w:szCs w:val="24"/>
      <w:lang w:eastAsia="ru-RU"/>
    </w:rPr>
  </w:style>
  <w:style w:type="character" w:customStyle="1" w:styleId="218">
    <w:name w:val="Цитата 2 Знак1"/>
    <w:basedOn w:val="a2"/>
    <w:uiPriority w:val="29"/>
    <w:rsid w:val="00040D91"/>
    <w:rPr>
      <w:rFonts w:ascii="Times New Roman" w:eastAsia="Times New Roman" w:hAnsi="Times New Roman" w:cs="Times New Roman"/>
      <w:i/>
      <w:iCs/>
      <w:color w:val="404040"/>
      <w:sz w:val="18"/>
      <w:szCs w:val="18"/>
      <w:lang w:eastAsia="ru-RU"/>
    </w:rPr>
  </w:style>
  <w:style w:type="paragraph" w:customStyle="1" w:styleId="1ff6">
    <w:name w:val="Выделенная цитата1"/>
    <w:basedOn w:val="a1"/>
    <w:next w:val="a1"/>
    <w:link w:val="IntenseQuoteChar"/>
    <w:uiPriority w:val="30"/>
    <w:qFormat/>
    <w:rsid w:val="00040D91"/>
    <w:pPr>
      <w:widowControl w:val="0"/>
      <w:pBdr>
        <w:top w:val="single" w:sz="4" w:space="10" w:color="4472C4"/>
        <w:bottom w:val="single" w:sz="4" w:space="10" w:color="4472C4"/>
      </w:pBdr>
      <w:autoSpaceDE w:val="0"/>
      <w:autoSpaceDN w:val="0"/>
      <w:adjustRightInd w:val="0"/>
      <w:spacing w:before="360" w:after="360" w:line="240" w:lineRule="auto"/>
      <w:ind w:left="864" w:right="864"/>
      <w:jc w:val="center"/>
    </w:pPr>
    <w:rPr>
      <w:rFonts w:ascii="Calibri" w:eastAsia="Times New Roman" w:hAnsi="Calibri" w:cs="Times New Roman"/>
      <w:b/>
      <w:i/>
      <w:sz w:val="24"/>
      <w:szCs w:val="20"/>
      <w:lang w:eastAsia="ru-RU"/>
    </w:rPr>
  </w:style>
  <w:style w:type="character" w:customStyle="1" w:styleId="1ff7">
    <w:name w:val="Выделенная цитата Знак1"/>
    <w:basedOn w:val="a2"/>
    <w:uiPriority w:val="30"/>
    <w:rsid w:val="00040D91"/>
    <w:rPr>
      <w:rFonts w:ascii="Times New Roman" w:eastAsia="Times New Roman" w:hAnsi="Times New Roman" w:cs="Times New Roman"/>
      <w:i/>
      <w:iCs/>
      <w:color w:val="4472C4"/>
      <w:sz w:val="18"/>
      <w:szCs w:val="18"/>
      <w:lang w:eastAsia="ru-RU"/>
    </w:rPr>
  </w:style>
  <w:style w:type="table" w:customStyle="1" w:styleId="-6513">
    <w:name w:val="Список-таблица 6 цветная — акцент 513"/>
    <w:basedOn w:val="a3"/>
    <w:uiPriority w:val="51"/>
    <w:rsid w:val="00040D91"/>
    <w:pPr>
      <w:spacing w:after="0" w:line="240" w:lineRule="auto"/>
    </w:pPr>
    <w:rPr>
      <w:rFonts w:ascii="Calibri" w:eastAsia="Times New Roman" w:hAnsi="Calibri" w:cs="Times New Roman"/>
      <w:color w:val="2E74B5"/>
      <w:sz w:val="20"/>
      <w:szCs w:val="20"/>
    </w:rPr>
    <w:tblPr>
      <w:tblStyleRowBandSize w:val="1"/>
      <w:tblStyleColBandSize w:val="1"/>
      <w:tblInd w:w="0" w:type="dxa"/>
      <w:tblBorders>
        <w:top w:val="single" w:sz="4" w:space="0" w:color="5B9BD5"/>
        <w:bottom w:val="single" w:sz="4" w:space="0" w:color="5B9BD5"/>
      </w:tblBorders>
      <w:tblCellMar>
        <w:top w:w="0" w:type="dxa"/>
        <w:left w:w="108" w:type="dxa"/>
        <w:bottom w:w="0" w:type="dxa"/>
        <w:right w:w="108" w:type="dxa"/>
      </w:tblCellMar>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4130">
    <w:name w:val="Таблица простая 413"/>
    <w:basedOn w:val="a3"/>
    <w:uiPriority w:val="44"/>
    <w:rsid w:val="00040D91"/>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30">
    <w:name w:val="Таблица простая 213"/>
    <w:basedOn w:val="a3"/>
    <w:uiPriority w:val="42"/>
    <w:rsid w:val="00040D91"/>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131">
    <w:name w:val="Сетка таблицы413"/>
    <w:basedOn w:val="a3"/>
    <w:uiPriority w:val="59"/>
    <w:rsid w:val="00040D9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0">
    <w:name w:val="Сетка таблицы4121"/>
    <w:basedOn w:val="a3"/>
    <w:uiPriority w:val="59"/>
    <w:rsid w:val="00040D9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0">
    <w:name w:val="Светлая заливка - Акцент 411"/>
    <w:basedOn w:val="a3"/>
    <w:uiPriority w:val="60"/>
    <w:rsid w:val="00040D91"/>
    <w:pPr>
      <w:spacing w:after="0" w:line="240" w:lineRule="auto"/>
    </w:pPr>
    <w:rPr>
      <w:rFonts w:ascii="Times New Roman" w:eastAsia="Times New Roman" w:hAnsi="Times New Roman" w:cs="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4111">
    <w:name w:val="Светлый список - Акцент 411"/>
    <w:basedOn w:val="a3"/>
    <w:uiPriority w:val="61"/>
    <w:rsid w:val="00040D91"/>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8064A2"/>
      </w:tcPr>
    </w:tblStylePr>
    <w:tblStylePr w:type="lastRow">
      <w:pPr>
        <w:spacing w:beforeLines="0" w:beforeAutospacing="0" w:afterLines="0" w:afterAutospacing="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character" w:customStyle="1" w:styleId="721">
    <w:name w:val="Заголовок 7 Знак2"/>
    <w:basedOn w:val="a2"/>
    <w:uiPriority w:val="9"/>
    <w:semiHidden/>
    <w:rsid w:val="00040D91"/>
    <w:rPr>
      <w:rFonts w:asciiTheme="majorHAnsi" w:eastAsiaTheme="majorEastAsia" w:hAnsiTheme="majorHAnsi" w:cstheme="majorBidi"/>
      <w:i/>
      <w:iCs/>
      <w:color w:val="1F3763" w:themeColor="accent1" w:themeShade="7F"/>
    </w:rPr>
  </w:style>
  <w:style w:type="character" w:customStyle="1" w:styleId="820">
    <w:name w:val="Заголовок 8 Знак2"/>
    <w:basedOn w:val="a2"/>
    <w:uiPriority w:val="9"/>
    <w:semiHidden/>
    <w:rsid w:val="00040D91"/>
    <w:rPr>
      <w:rFonts w:asciiTheme="majorHAnsi" w:eastAsiaTheme="majorEastAsia" w:hAnsiTheme="majorHAnsi" w:cstheme="majorBidi"/>
      <w:color w:val="272727" w:themeColor="text1" w:themeTint="D8"/>
      <w:sz w:val="21"/>
      <w:szCs w:val="21"/>
    </w:rPr>
  </w:style>
  <w:style w:type="character" w:customStyle="1" w:styleId="920">
    <w:name w:val="Заголовок 9 Знак2"/>
    <w:basedOn w:val="a2"/>
    <w:uiPriority w:val="9"/>
    <w:semiHidden/>
    <w:rsid w:val="00040D91"/>
    <w:rPr>
      <w:rFonts w:asciiTheme="majorHAnsi" w:eastAsiaTheme="majorEastAsia" w:hAnsiTheme="majorHAnsi" w:cstheme="majorBidi"/>
      <w:i/>
      <w:iCs/>
      <w:color w:val="272727" w:themeColor="text1" w:themeTint="D8"/>
      <w:sz w:val="21"/>
      <w:szCs w:val="21"/>
    </w:rPr>
  </w:style>
  <w:style w:type="character" w:customStyle="1" w:styleId="2f4">
    <w:name w:val="Подзаголовок Знак2"/>
    <w:basedOn w:val="a2"/>
    <w:uiPriority w:val="11"/>
    <w:rsid w:val="00040D91"/>
    <w:rPr>
      <w:rFonts w:eastAsiaTheme="minorEastAsia"/>
      <w:color w:val="5A5A5A" w:themeColor="text1" w:themeTint="A5"/>
      <w:spacing w:val="15"/>
    </w:rPr>
  </w:style>
  <w:style w:type="character" w:customStyle="1" w:styleId="222">
    <w:name w:val="Цитата 2 Знак2"/>
    <w:basedOn w:val="a2"/>
    <w:uiPriority w:val="29"/>
    <w:rsid w:val="00040D91"/>
    <w:rPr>
      <w:i/>
      <w:iCs/>
      <w:color w:val="404040" w:themeColor="text1" w:themeTint="BF"/>
    </w:rPr>
  </w:style>
  <w:style w:type="character" w:customStyle="1" w:styleId="2f5">
    <w:name w:val="Выделенная цитата Знак2"/>
    <w:basedOn w:val="a2"/>
    <w:uiPriority w:val="30"/>
    <w:rsid w:val="00040D91"/>
    <w:rPr>
      <w:i/>
      <w:iCs/>
      <w:color w:val="4472C4" w:themeColor="accent1"/>
    </w:rPr>
  </w:style>
  <w:style w:type="paragraph" w:customStyle="1" w:styleId="affffd">
    <w:name w:val="Знак"/>
    <w:basedOn w:val="a1"/>
    <w:rsid w:val="00040D91"/>
    <w:pPr>
      <w:spacing w:line="240" w:lineRule="exact"/>
    </w:pPr>
    <w:rPr>
      <w:rFonts w:ascii="Verdana" w:eastAsia="Times New Roman" w:hAnsi="Verdana" w:cs="Verdana"/>
      <w:sz w:val="20"/>
      <w:szCs w:val="20"/>
      <w:lang w:val="en-US"/>
    </w:rPr>
  </w:style>
  <w:style w:type="paragraph" w:customStyle="1" w:styleId="affffe">
    <w:name w:val="Алексей"/>
    <w:basedOn w:val="a1"/>
    <w:qFormat/>
    <w:rsid w:val="00B07AB8"/>
    <w:pPr>
      <w:spacing w:after="0" w:line="360" w:lineRule="auto"/>
      <w:ind w:firstLine="709"/>
      <w:jc w:val="both"/>
    </w:pPr>
    <w:rPr>
      <w:rFonts w:ascii="Times New Roman" w:eastAsia="Times New Roman" w:hAnsi="Times New Roman" w:cs="Times New Roman"/>
      <w:sz w:val="28"/>
      <w:szCs w:val="28"/>
      <w:lang w:eastAsia="ru-RU"/>
    </w:rPr>
  </w:style>
  <w:style w:type="character" w:customStyle="1" w:styleId="1ff8">
    <w:name w:val="Название Знак1"/>
    <w:uiPriority w:val="10"/>
    <w:rsid w:val="004D5720"/>
    <w:rPr>
      <w:rFonts w:ascii="Times New Roman" w:hAnsi="Times New Roman"/>
      <w:sz w:val="24"/>
      <w:szCs w:val="24"/>
    </w:rPr>
  </w:style>
  <w:style w:type="paragraph" w:customStyle="1" w:styleId="-125">
    <w:name w:val="Текст-125 Знак Знак"/>
    <w:basedOn w:val="a1"/>
    <w:link w:val="-1250"/>
    <w:rsid w:val="004D5720"/>
    <w:pPr>
      <w:spacing w:after="0" w:line="288" w:lineRule="auto"/>
      <w:ind w:firstLine="709"/>
      <w:jc w:val="both"/>
    </w:pPr>
    <w:rPr>
      <w:rFonts w:ascii="Arial" w:eastAsia="Times New Roman" w:hAnsi="Arial" w:cs="Times New Roman"/>
      <w:sz w:val="24"/>
      <w:szCs w:val="24"/>
      <w:lang w:eastAsia="ru-RU"/>
    </w:rPr>
  </w:style>
  <w:style w:type="character" w:customStyle="1" w:styleId="-1250">
    <w:name w:val="Текст-125 Знак Знак Знак"/>
    <w:link w:val="-125"/>
    <w:rsid w:val="004D5720"/>
    <w:rPr>
      <w:rFonts w:ascii="Arial" w:eastAsia="Times New Roman" w:hAnsi="Arial" w:cs="Times New Roman"/>
      <w:sz w:val="24"/>
      <w:szCs w:val="24"/>
      <w:lang w:eastAsia="ru-RU"/>
    </w:rPr>
  </w:style>
  <w:style w:type="paragraph" w:styleId="afffff">
    <w:name w:val="Plain Text"/>
    <w:basedOn w:val="a1"/>
    <w:link w:val="afffff0"/>
    <w:rsid w:val="004D5720"/>
    <w:pPr>
      <w:spacing w:after="0" w:line="240" w:lineRule="auto"/>
    </w:pPr>
    <w:rPr>
      <w:rFonts w:ascii="Courier New" w:eastAsia="Times New Roman" w:hAnsi="Courier New" w:cs="Courier New"/>
      <w:sz w:val="20"/>
      <w:szCs w:val="20"/>
      <w:lang w:eastAsia="ru-RU"/>
    </w:rPr>
  </w:style>
  <w:style w:type="character" w:customStyle="1" w:styleId="afffff0">
    <w:name w:val="Текст Знак"/>
    <w:basedOn w:val="a2"/>
    <w:link w:val="afffff"/>
    <w:rsid w:val="004D5720"/>
    <w:rPr>
      <w:rFonts w:ascii="Courier New" w:eastAsia="Times New Roman" w:hAnsi="Courier New" w:cs="Courier New"/>
      <w:sz w:val="20"/>
      <w:szCs w:val="20"/>
      <w:lang w:eastAsia="ru-RU"/>
    </w:rPr>
  </w:style>
  <w:style w:type="paragraph" w:styleId="2f6">
    <w:name w:val="Body Text 2"/>
    <w:basedOn w:val="a1"/>
    <w:link w:val="2f7"/>
    <w:uiPriority w:val="99"/>
    <w:rsid w:val="004D5720"/>
    <w:pPr>
      <w:spacing w:after="0" w:line="240" w:lineRule="auto"/>
      <w:ind w:right="-1332"/>
      <w:jc w:val="center"/>
    </w:pPr>
    <w:rPr>
      <w:rFonts w:ascii="Times New Roman" w:eastAsia="Times New Roman" w:hAnsi="Times New Roman" w:cs="Times New Roman"/>
      <w:b/>
      <w:sz w:val="24"/>
      <w:szCs w:val="20"/>
      <w:lang w:eastAsia="ru-RU"/>
    </w:rPr>
  </w:style>
  <w:style w:type="character" w:customStyle="1" w:styleId="2f7">
    <w:name w:val="Основной текст 2 Знак"/>
    <w:basedOn w:val="a2"/>
    <w:link w:val="2f6"/>
    <w:uiPriority w:val="99"/>
    <w:rsid w:val="004D5720"/>
    <w:rPr>
      <w:rFonts w:ascii="Times New Roman" w:eastAsia="Times New Roman" w:hAnsi="Times New Roman" w:cs="Times New Roman"/>
      <w:b/>
      <w:sz w:val="24"/>
      <w:szCs w:val="20"/>
      <w:lang w:eastAsia="ru-RU"/>
    </w:rPr>
  </w:style>
  <w:style w:type="paragraph" w:styleId="3d">
    <w:name w:val="Body Text Indent 3"/>
    <w:basedOn w:val="a1"/>
    <w:link w:val="3e"/>
    <w:rsid w:val="004D5720"/>
    <w:pPr>
      <w:spacing w:after="120" w:line="240" w:lineRule="auto"/>
      <w:ind w:left="283"/>
    </w:pPr>
    <w:rPr>
      <w:rFonts w:ascii="Times New Roman" w:eastAsia="Times New Roman" w:hAnsi="Times New Roman" w:cs="Times New Roman"/>
      <w:sz w:val="16"/>
      <w:szCs w:val="16"/>
      <w:lang w:eastAsia="ru-RU"/>
    </w:rPr>
  </w:style>
  <w:style w:type="character" w:customStyle="1" w:styleId="3e">
    <w:name w:val="Основной текст с отступом 3 Знак"/>
    <w:basedOn w:val="a2"/>
    <w:link w:val="3d"/>
    <w:rsid w:val="004D5720"/>
    <w:rPr>
      <w:rFonts w:ascii="Times New Roman" w:eastAsia="Times New Roman" w:hAnsi="Times New Roman" w:cs="Times New Roman"/>
      <w:sz w:val="16"/>
      <w:szCs w:val="16"/>
      <w:lang w:eastAsia="ru-RU"/>
    </w:rPr>
  </w:style>
  <w:style w:type="character" w:customStyle="1" w:styleId="-1251">
    <w:name w:val="Текст-125 Знак Знак Знак Знак Знак Знак"/>
    <w:link w:val="-1252"/>
    <w:locked/>
    <w:rsid w:val="004D5720"/>
    <w:rPr>
      <w:rFonts w:ascii="Arial" w:hAnsi="Arial"/>
      <w:sz w:val="24"/>
      <w:szCs w:val="24"/>
    </w:rPr>
  </w:style>
  <w:style w:type="paragraph" w:customStyle="1" w:styleId="-1252">
    <w:name w:val="Текст-125 Знак Знак Знак Знак Знак"/>
    <w:basedOn w:val="a1"/>
    <w:link w:val="-1251"/>
    <w:rsid w:val="004D5720"/>
    <w:pPr>
      <w:spacing w:after="0" w:line="288" w:lineRule="auto"/>
      <w:ind w:firstLine="709"/>
      <w:jc w:val="both"/>
    </w:pPr>
    <w:rPr>
      <w:rFonts w:ascii="Arial" w:hAnsi="Arial"/>
      <w:sz w:val="24"/>
      <w:szCs w:val="24"/>
    </w:rPr>
  </w:style>
  <w:style w:type="paragraph" w:customStyle="1" w:styleId="-1253">
    <w:name w:val="Текст-125 Знак"/>
    <w:basedOn w:val="a1"/>
    <w:rsid w:val="004D5720"/>
    <w:pPr>
      <w:spacing w:after="0" w:line="288" w:lineRule="auto"/>
      <w:ind w:firstLine="709"/>
      <w:jc w:val="both"/>
    </w:pPr>
    <w:rPr>
      <w:rFonts w:ascii="Arial" w:eastAsia="Times New Roman" w:hAnsi="Arial" w:cs="Times New Roman"/>
      <w:sz w:val="24"/>
      <w:szCs w:val="20"/>
      <w:lang w:eastAsia="ru-RU"/>
    </w:rPr>
  </w:style>
  <w:style w:type="character" w:customStyle="1" w:styleId="Heading1Char">
    <w:name w:val="Heading 1 Char"/>
    <w:locked/>
    <w:rsid w:val="004D5720"/>
    <w:rPr>
      <w:rFonts w:cs="Times New Roman"/>
      <w:smallCaps/>
      <w:spacing w:val="5"/>
      <w:sz w:val="36"/>
      <w:szCs w:val="36"/>
    </w:rPr>
  </w:style>
  <w:style w:type="character" w:customStyle="1" w:styleId="Heading6Char">
    <w:name w:val="Heading 6 Char"/>
    <w:semiHidden/>
    <w:locked/>
    <w:rsid w:val="004D5720"/>
    <w:rPr>
      <w:rFonts w:cs="Times New Roman"/>
      <w:b/>
      <w:bCs/>
      <w:color w:val="595959"/>
      <w:spacing w:val="5"/>
      <w:shd w:val="clear" w:color="auto" w:fill="FFFFFF"/>
    </w:rPr>
  </w:style>
  <w:style w:type="character" w:customStyle="1" w:styleId="FooterChar">
    <w:name w:val="Footer Char"/>
    <w:locked/>
    <w:rsid w:val="004D5720"/>
    <w:rPr>
      <w:rFonts w:ascii="Times New Roman" w:hAnsi="Times New Roman" w:cs="Times New Roman"/>
      <w:sz w:val="20"/>
      <w:szCs w:val="20"/>
      <w:lang w:eastAsia="ru-RU"/>
    </w:rPr>
  </w:style>
  <w:style w:type="character" w:customStyle="1" w:styleId="QuoteChar">
    <w:name w:val="Quote Char"/>
    <w:link w:val="217"/>
    <w:locked/>
    <w:rsid w:val="004D5720"/>
    <w:rPr>
      <w:rFonts w:ascii="Calibri" w:eastAsia="Times New Roman" w:hAnsi="Calibri" w:cs="Times New Roman"/>
      <w:i/>
      <w:sz w:val="24"/>
      <w:szCs w:val="24"/>
      <w:lang w:eastAsia="ru-RU"/>
    </w:rPr>
  </w:style>
  <w:style w:type="character" w:customStyle="1" w:styleId="IntenseQuoteChar">
    <w:name w:val="Intense Quote Char"/>
    <w:link w:val="1ff6"/>
    <w:locked/>
    <w:rsid w:val="004D5720"/>
    <w:rPr>
      <w:rFonts w:ascii="Calibri" w:eastAsia="Times New Roman" w:hAnsi="Calibri" w:cs="Times New Roman"/>
      <w:b/>
      <w:i/>
      <w:sz w:val="24"/>
      <w:szCs w:val="20"/>
      <w:lang w:eastAsia="ru-RU"/>
    </w:rPr>
  </w:style>
  <w:style w:type="character" w:customStyle="1" w:styleId="1ff9">
    <w:name w:val="Слабое выделение1"/>
    <w:rsid w:val="004D5720"/>
    <w:rPr>
      <w:rFonts w:cs="Times New Roman"/>
      <w:i/>
      <w:iCs/>
    </w:rPr>
  </w:style>
  <w:style w:type="character" w:customStyle="1" w:styleId="1ffa">
    <w:name w:val="Сильное выделение1"/>
    <w:rsid w:val="004D5720"/>
    <w:rPr>
      <w:rFonts w:cs="Times New Roman"/>
      <w:b/>
      <w:bCs/>
      <w:i/>
      <w:iCs/>
    </w:rPr>
  </w:style>
  <w:style w:type="character" w:customStyle="1" w:styleId="1ffb">
    <w:name w:val="Слабая ссылка1"/>
    <w:rsid w:val="004D5720"/>
    <w:rPr>
      <w:rFonts w:cs="Times New Roman"/>
      <w:smallCaps/>
    </w:rPr>
  </w:style>
  <w:style w:type="character" w:customStyle="1" w:styleId="1ffc">
    <w:name w:val="Сильная ссылка1"/>
    <w:rsid w:val="004D5720"/>
    <w:rPr>
      <w:rFonts w:cs="Times New Roman"/>
      <w:b/>
      <w:bCs/>
      <w:smallCaps/>
    </w:rPr>
  </w:style>
  <w:style w:type="character" w:customStyle="1" w:styleId="1ffd">
    <w:name w:val="Название книги1"/>
    <w:rsid w:val="004D5720"/>
    <w:rPr>
      <w:rFonts w:cs="Times New Roman"/>
      <w:i/>
      <w:iCs/>
      <w:smallCaps/>
      <w:spacing w:val="5"/>
    </w:rPr>
  </w:style>
  <w:style w:type="character" w:customStyle="1" w:styleId="FootnoteTextChar">
    <w:name w:val="Footnote Text Char"/>
    <w:semiHidden/>
    <w:locked/>
    <w:rsid w:val="004D5720"/>
    <w:rPr>
      <w:rFonts w:ascii="Times New Roman" w:hAnsi="Times New Roman" w:cs="Times New Roman"/>
    </w:rPr>
  </w:style>
  <w:style w:type="character" w:customStyle="1" w:styleId="75">
    <w:name w:val="Основной текст (7)_"/>
    <w:link w:val="76"/>
    <w:rsid w:val="004D5720"/>
    <w:rPr>
      <w:spacing w:val="6"/>
      <w:shd w:val="clear" w:color="auto" w:fill="FFFFFF"/>
    </w:rPr>
  </w:style>
  <w:style w:type="character" w:customStyle="1" w:styleId="77">
    <w:name w:val="Основной текст (7) + Курсив"/>
    <w:aliases w:val="Интервал 0 pt9"/>
    <w:rsid w:val="004D5720"/>
    <w:rPr>
      <w:i/>
      <w:iCs/>
      <w:spacing w:val="0"/>
      <w:sz w:val="22"/>
      <w:szCs w:val="22"/>
      <w:lang w:bidi="ar-SA"/>
    </w:rPr>
  </w:style>
  <w:style w:type="character" w:customStyle="1" w:styleId="70pt">
    <w:name w:val="Основной текст (7) + Интервал 0 pt"/>
    <w:rsid w:val="004D5720"/>
    <w:rPr>
      <w:spacing w:val="2"/>
      <w:sz w:val="22"/>
      <w:szCs w:val="22"/>
      <w:lang w:bidi="ar-SA"/>
    </w:rPr>
  </w:style>
  <w:style w:type="paragraph" w:customStyle="1" w:styleId="76">
    <w:name w:val="Основной текст (7)"/>
    <w:basedOn w:val="a1"/>
    <w:link w:val="75"/>
    <w:rsid w:val="004D5720"/>
    <w:pPr>
      <w:widowControl w:val="0"/>
      <w:shd w:val="clear" w:color="auto" w:fill="FFFFFF"/>
      <w:spacing w:after="0" w:line="276" w:lineRule="exact"/>
      <w:jc w:val="both"/>
    </w:pPr>
    <w:rPr>
      <w:spacing w:val="6"/>
    </w:rPr>
  </w:style>
  <w:style w:type="character" w:customStyle="1" w:styleId="1ffe">
    <w:name w:val="Заголовок №1_"/>
    <w:link w:val="1fff"/>
    <w:rsid w:val="004D5720"/>
    <w:rPr>
      <w:b/>
      <w:bCs/>
      <w:spacing w:val="3"/>
      <w:shd w:val="clear" w:color="auto" w:fill="FFFFFF"/>
    </w:rPr>
  </w:style>
  <w:style w:type="paragraph" w:customStyle="1" w:styleId="1fff">
    <w:name w:val="Заголовок №1"/>
    <w:basedOn w:val="a1"/>
    <w:link w:val="1ffe"/>
    <w:rsid w:val="004D5720"/>
    <w:pPr>
      <w:widowControl w:val="0"/>
      <w:shd w:val="clear" w:color="auto" w:fill="FFFFFF"/>
      <w:spacing w:after="0" w:line="276" w:lineRule="exact"/>
      <w:ind w:firstLine="820"/>
      <w:outlineLvl w:val="0"/>
    </w:pPr>
    <w:rPr>
      <w:b/>
      <w:bCs/>
      <w:spacing w:val="3"/>
    </w:rPr>
  </w:style>
  <w:style w:type="character" w:customStyle="1" w:styleId="17pt">
    <w:name w:val="Основной текст + 17 pt"/>
    <w:rsid w:val="004D5720"/>
    <w:rPr>
      <w:rFonts w:ascii="Times New Roman" w:hAnsi="Times New Roman" w:cs="Times New Roman"/>
      <w:sz w:val="34"/>
      <w:szCs w:val="34"/>
      <w:u w:val="none"/>
      <w:lang w:bidi="ar-SA"/>
    </w:rPr>
  </w:style>
  <w:style w:type="paragraph" w:customStyle="1" w:styleId="3f">
    <w:name w:val="Заголовок3"/>
    <w:basedOn w:val="a1"/>
    <w:rsid w:val="004D5720"/>
    <w:pPr>
      <w:spacing w:after="0" w:line="240" w:lineRule="auto"/>
      <w:ind w:firstLine="720"/>
      <w:jc w:val="both"/>
    </w:pPr>
    <w:rPr>
      <w:rFonts w:ascii="Times New Roman" w:eastAsia="Times New Roman" w:hAnsi="Times New Roman" w:cs="Times New Roman"/>
      <w:sz w:val="28"/>
      <w:szCs w:val="28"/>
      <w:lang w:eastAsia="ru-RU"/>
    </w:rPr>
  </w:style>
  <w:style w:type="paragraph" w:customStyle="1" w:styleId="232">
    <w:name w:val="Заголовок 23"/>
    <w:basedOn w:val="a1"/>
    <w:rsid w:val="004D5720"/>
    <w:pPr>
      <w:spacing w:after="0" w:line="240" w:lineRule="auto"/>
      <w:ind w:firstLine="720"/>
      <w:jc w:val="both"/>
    </w:pPr>
    <w:rPr>
      <w:rFonts w:ascii="Times New Roman" w:eastAsia="Times New Roman" w:hAnsi="Times New Roman" w:cs="Times New Roman"/>
      <w:sz w:val="28"/>
      <w:szCs w:val="28"/>
      <w:lang w:eastAsia="ru-RU"/>
    </w:rPr>
  </w:style>
  <w:style w:type="paragraph" w:customStyle="1" w:styleId="06">
    <w:name w:val="06__Текст"/>
    <w:basedOn w:val="a1"/>
    <w:rsid w:val="004D5720"/>
    <w:pPr>
      <w:tabs>
        <w:tab w:val="left" w:pos="10206"/>
      </w:tabs>
      <w:spacing w:before="120" w:after="120" w:line="360" w:lineRule="auto"/>
      <w:ind w:left="284" w:right="57" w:firstLine="709"/>
      <w:jc w:val="both"/>
    </w:pPr>
    <w:rPr>
      <w:rFonts w:ascii="Times New Roman" w:eastAsia="Calibri" w:hAnsi="Times New Roman" w:cs="Times New Roman"/>
      <w:sz w:val="24"/>
      <w:szCs w:val="24"/>
    </w:rPr>
  </w:style>
  <w:style w:type="paragraph" w:customStyle="1" w:styleId="08">
    <w:name w:val="08__Таблица заголовок"/>
    <w:basedOn w:val="06"/>
    <w:rsid w:val="004D5720"/>
    <w:pPr>
      <w:ind w:firstLine="0"/>
      <w:jc w:val="left"/>
    </w:pPr>
  </w:style>
  <w:style w:type="paragraph" w:customStyle="1" w:styleId="09">
    <w:name w:val="09__Картинка"/>
    <w:basedOn w:val="08"/>
    <w:rsid w:val="004D5720"/>
    <w:pPr>
      <w:jc w:val="center"/>
    </w:pPr>
  </w:style>
  <w:style w:type="character" w:customStyle="1" w:styleId="apple-converted-space">
    <w:name w:val="apple-converted-space"/>
    <w:basedOn w:val="a2"/>
    <w:rsid w:val="004D5720"/>
  </w:style>
  <w:style w:type="character" w:customStyle="1" w:styleId="afffff1">
    <w:name w:val="Гипертекстовая ссылка"/>
    <w:rsid w:val="004D5720"/>
    <w:rPr>
      <w:rFonts w:cs="Times New Roman"/>
      <w:b/>
      <w:bCs/>
      <w:color w:val="008000"/>
    </w:rPr>
  </w:style>
  <w:style w:type="paragraph" w:styleId="2f8">
    <w:name w:val="Body Text Indent 2"/>
    <w:basedOn w:val="a1"/>
    <w:link w:val="2f9"/>
    <w:uiPriority w:val="99"/>
    <w:rsid w:val="004D5720"/>
    <w:pPr>
      <w:spacing w:after="120" w:line="480" w:lineRule="auto"/>
      <w:ind w:left="283"/>
    </w:pPr>
    <w:rPr>
      <w:rFonts w:ascii="Times New Roman" w:eastAsia="Times New Roman" w:hAnsi="Times New Roman" w:cs="Times New Roman"/>
      <w:sz w:val="24"/>
      <w:szCs w:val="24"/>
      <w:lang w:eastAsia="ru-RU"/>
    </w:rPr>
  </w:style>
  <w:style w:type="character" w:customStyle="1" w:styleId="2f9">
    <w:name w:val="Основной текст с отступом 2 Знак"/>
    <w:basedOn w:val="a2"/>
    <w:link w:val="2f8"/>
    <w:uiPriority w:val="99"/>
    <w:rsid w:val="004D5720"/>
    <w:rPr>
      <w:rFonts w:ascii="Times New Roman" w:eastAsia="Times New Roman" w:hAnsi="Times New Roman" w:cs="Times New Roman"/>
      <w:sz w:val="24"/>
      <w:szCs w:val="24"/>
      <w:lang w:eastAsia="ru-RU"/>
    </w:rPr>
  </w:style>
  <w:style w:type="paragraph" w:styleId="2fa">
    <w:name w:val="List 2"/>
    <w:basedOn w:val="a1"/>
    <w:rsid w:val="004D5720"/>
    <w:pPr>
      <w:spacing w:after="0" w:line="240" w:lineRule="auto"/>
      <w:ind w:left="566" w:hanging="283"/>
    </w:pPr>
    <w:rPr>
      <w:rFonts w:ascii="Times New Roman" w:eastAsia="Times New Roman" w:hAnsi="Times New Roman" w:cs="Times New Roman"/>
      <w:sz w:val="28"/>
      <w:szCs w:val="20"/>
      <w:lang w:eastAsia="ru-RU"/>
    </w:rPr>
  </w:style>
  <w:style w:type="paragraph" w:styleId="3f0">
    <w:name w:val="List Continue 3"/>
    <w:basedOn w:val="a1"/>
    <w:rsid w:val="004D5720"/>
    <w:pPr>
      <w:spacing w:after="120" w:line="240" w:lineRule="auto"/>
      <w:ind w:left="849"/>
    </w:pPr>
    <w:rPr>
      <w:rFonts w:ascii="Times New Roman" w:eastAsia="Times New Roman" w:hAnsi="Times New Roman" w:cs="Times New Roman"/>
      <w:sz w:val="28"/>
      <w:szCs w:val="20"/>
      <w:lang w:eastAsia="ru-RU"/>
    </w:rPr>
  </w:style>
  <w:style w:type="paragraph" w:styleId="3f1">
    <w:name w:val="List 3"/>
    <w:basedOn w:val="a1"/>
    <w:rsid w:val="004D5720"/>
    <w:pPr>
      <w:spacing w:after="0" w:line="240" w:lineRule="auto"/>
      <w:ind w:left="849" w:hanging="283"/>
    </w:pPr>
    <w:rPr>
      <w:rFonts w:ascii="Times New Roman" w:eastAsia="Times New Roman" w:hAnsi="Times New Roman" w:cs="Times New Roman"/>
      <w:sz w:val="28"/>
      <w:szCs w:val="20"/>
      <w:lang w:eastAsia="ru-RU"/>
    </w:rPr>
  </w:style>
  <w:style w:type="character" w:customStyle="1" w:styleId="1fff0">
    <w:name w:val="Основной текст Знак1"/>
    <w:locked/>
    <w:rsid w:val="004D5720"/>
    <w:rPr>
      <w:rFonts w:ascii="Times New Roman" w:hAnsi="Times New Roman" w:cs="Times New Roman"/>
      <w:spacing w:val="4"/>
      <w:sz w:val="20"/>
      <w:szCs w:val="20"/>
      <w:shd w:val="clear" w:color="auto" w:fill="FFFFFF"/>
    </w:rPr>
  </w:style>
  <w:style w:type="character" w:customStyle="1" w:styleId="0pt">
    <w:name w:val="Основной текст + Интервал 0 pt"/>
    <w:rsid w:val="004D5720"/>
    <w:rPr>
      <w:rFonts w:ascii="Times New Roman" w:hAnsi="Times New Roman" w:cs="Times New Roman"/>
      <w:spacing w:val="5"/>
      <w:sz w:val="20"/>
      <w:szCs w:val="20"/>
      <w:u w:val="none"/>
      <w:effect w:val="none"/>
      <w:shd w:val="clear" w:color="auto" w:fill="FFFFFF"/>
    </w:rPr>
  </w:style>
  <w:style w:type="character" w:customStyle="1" w:styleId="0pt1">
    <w:name w:val="Основной текст + Интервал 0 pt1"/>
    <w:rsid w:val="004D5720"/>
    <w:rPr>
      <w:rFonts w:ascii="Times New Roman" w:hAnsi="Times New Roman" w:cs="Times New Roman"/>
      <w:spacing w:val="6"/>
      <w:sz w:val="20"/>
      <w:szCs w:val="20"/>
      <w:u w:val="none"/>
      <w:effect w:val="none"/>
      <w:shd w:val="clear" w:color="auto" w:fill="FFFFFF"/>
    </w:rPr>
  </w:style>
  <w:style w:type="paragraph" w:customStyle="1" w:styleId="msonormalcxspmiddle">
    <w:name w:val="msonormalcxspmiddle"/>
    <w:basedOn w:val="a1"/>
    <w:rsid w:val="004D572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
    <w:name w:val="List Bullet"/>
    <w:basedOn w:val="a1"/>
    <w:rsid w:val="004D5720"/>
    <w:pPr>
      <w:numPr>
        <w:numId w:val="3"/>
      </w:numPr>
      <w:spacing w:after="0" w:line="240" w:lineRule="auto"/>
    </w:pPr>
    <w:rPr>
      <w:rFonts w:ascii="Times New Roman" w:eastAsia="Times New Roman" w:hAnsi="Times New Roman" w:cs="Times New Roman"/>
      <w:sz w:val="24"/>
      <w:szCs w:val="24"/>
      <w:lang w:eastAsia="ru-RU"/>
    </w:rPr>
  </w:style>
  <w:style w:type="paragraph" w:customStyle="1" w:styleId="p3">
    <w:name w:val="p3"/>
    <w:basedOn w:val="a1"/>
    <w:rsid w:val="004D572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1">
    <w:name w:val="s1"/>
    <w:rsid w:val="004D5720"/>
  </w:style>
  <w:style w:type="paragraph" w:customStyle="1" w:styleId="afffff2">
    <w:name w:val="Таблица центр"/>
    <w:basedOn w:val="a1"/>
    <w:rsid w:val="004D5720"/>
    <w:pPr>
      <w:spacing w:before="80" w:after="80" w:line="240" w:lineRule="auto"/>
      <w:jc w:val="center"/>
    </w:pPr>
    <w:rPr>
      <w:rFonts w:ascii="Arial" w:eastAsia="Times New Roman" w:hAnsi="Arial" w:cs="Times New Roman"/>
      <w:szCs w:val="20"/>
      <w:lang w:eastAsia="ru-RU"/>
    </w:rPr>
  </w:style>
  <w:style w:type="paragraph" w:customStyle="1" w:styleId="05">
    <w:name w:val="Таблица 0.5"/>
    <w:basedOn w:val="a1"/>
    <w:rsid w:val="004D5720"/>
    <w:pPr>
      <w:spacing w:before="80" w:after="80" w:line="240" w:lineRule="auto"/>
      <w:ind w:left="284"/>
    </w:pPr>
    <w:rPr>
      <w:rFonts w:ascii="Arial" w:eastAsia="Times New Roman" w:hAnsi="Arial" w:cs="Times New Roman"/>
      <w:szCs w:val="20"/>
      <w:lang w:eastAsia="ru-RU"/>
    </w:rPr>
  </w:style>
  <w:style w:type="paragraph" w:customStyle="1" w:styleId="0-">
    <w:name w:val="Таблица 0-ж"/>
    <w:basedOn w:val="a1"/>
    <w:rsid w:val="004D5720"/>
    <w:pPr>
      <w:spacing w:before="80" w:after="80" w:line="240" w:lineRule="auto"/>
    </w:pPr>
    <w:rPr>
      <w:rFonts w:ascii="Arial" w:eastAsia="Times New Roman" w:hAnsi="Arial" w:cs="Times New Roman"/>
      <w:b/>
      <w:szCs w:val="20"/>
      <w:lang w:eastAsia="ru-RU"/>
    </w:rPr>
  </w:style>
  <w:style w:type="paragraph" w:customStyle="1" w:styleId="-0">
    <w:name w:val="Таблица центр-ж"/>
    <w:basedOn w:val="afffff2"/>
    <w:rsid w:val="004D5720"/>
    <w:rPr>
      <w:b/>
    </w:rPr>
  </w:style>
  <w:style w:type="paragraph" w:customStyle="1" w:styleId="afffff3">
    <w:name w:val="заг табл"/>
    <w:basedOn w:val="a1"/>
    <w:rsid w:val="004D5720"/>
    <w:pPr>
      <w:spacing w:after="240" w:line="288" w:lineRule="auto"/>
      <w:jc w:val="center"/>
    </w:pPr>
    <w:rPr>
      <w:rFonts w:ascii="Arial" w:eastAsia="Times New Roman" w:hAnsi="Arial" w:cs="Times New Roman"/>
      <w:b/>
      <w:sz w:val="24"/>
      <w:szCs w:val="20"/>
      <w:lang w:eastAsia="ru-RU"/>
    </w:rPr>
  </w:style>
  <w:style w:type="paragraph" w:customStyle="1" w:styleId="afffff4">
    <w:name w:val="подзаг таб"/>
    <w:basedOn w:val="a1"/>
    <w:rsid w:val="004D5720"/>
    <w:pPr>
      <w:spacing w:after="0" w:line="288" w:lineRule="auto"/>
      <w:jc w:val="center"/>
    </w:pPr>
    <w:rPr>
      <w:rFonts w:ascii="Arial" w:eastAsia="Times New Roman" w:hAnsi="Arial" w:cs="Times New Roman"/>
      <w:szCs w:val="20"/>
      <w:lang w:eastAsia="ru-RU"/>
    </w:rPr>
  </w:style>
  <w:style w:type="character" w:customStyle="1" w:styleId="afffff5">
    <w:name w:val="Основной текст_"/>
    <w:link w:val="2fb"/>
    <w:rsid w:val="004D5720"/>
    <w:rPr>
      <w:sz w:val="28"/>
      <w:szCs w:val="28"/>
      <w:shd w:val="clear" w:color="auto" w:fill="FFFFFF"/>
    </w:rPr>
  </w:style>
  <w:style w:type="character" w:customStyle="1" w:styleId="Exact">
    <w:name w:val="Основной текст Exact"/>
    <w:rsid w:val="004D5720"/>
    <w:rPr>
      <w:rFonts w:ascii="Times New Roman" w:eastAsia="Times New Roman" w:hAnsi="Times New Roman" w:cs="Times New Roman"/>
      <w:b w:val="0"/>
      <w:bCs w:val="0"/>
      <w:i w:val="0"/>
      <w:iCs w:val="0"/>
      <w:smallCaps w:val="0"/>
      <w:strike w:val="0"/>
      <w:sz w:val="26"/>
      <w:szCs w:val="26"/>
      <w:u w:val="none"/>
    </w:rPr>
  </w:style>
  <w:style w:type="character" w:customStyle="1" w:styleId="1fff1">
    <w:name w:val="Основной текст1"/>
    <w:rsid w:val="004D5720"/>
    <w:rPr>
      <w:rFonts w:ascii="Times New Roman" w:eastAsia="Times New Roman" w:hAnsi="Times New Roman" w:cs="Times New Roman"/>
      <w:color w:val="000000"/>
      <w:spacing w:val="0"/>
      <w:w w:val="100"/>
      <w:position w:val="0"/>
      <w:sz w:val="28"/>
      <w:szCs w:val="28"/>
      <w:u w:val="single"/>
      <w:shd w:val="clear" w:color="auto" w:fill="FFFFFF"/>
      <w:lang w:val="ru-RU" w:eastAsia="ru-RU" w:bidi="ru-RU"/>
    </w:rPr>
  </w:style>
  <w:style w:type="paragraph" w:customStyle="1" w:styleId="2fb">
    <w:name w:val="Основной текст2"/>
    <w:basedOn w:val="a1"/>
    <w:link w:val="afffff5"/>
    <w:rsid w:val="004D5720"/>
    <w:pPr>
      <w:widowControl w:val="0"/>
      <w:shd w:val="clear" w:color="auto" w:fill="FFFFFF"/>
      <w:spacing w:before="360" w:after="360" w:line="0" w:lineRule="atLeast"/>
      <w:ind w:hanging="1580"/>
      <w:jc w:val="center"/>
    </w:pPr>
    <w:rPr>
      <w:sz w:val="28"/>
      <w:szCs w:val="28"/>
    </w:rPr>
  </w:style>
  <w:style w:type="paragraph" w:customStyle="1" w:styleId="1fff2">
    <w:name w:val="заголовок 1"/>
    <w:basedOn w:val="a1"/>
    <w:next w:val="a1"/>
    <w:rsid w:val="004D5720"/>
    <w:pPr>
      <w:keepNext/>
      <w:autoSpaceDE w:val="0"/>
      <w:autoSpaceDN w:val="0"/>
      <w:spacing w:after="0" w:line="240" w:lineRule="auto"/>
      <w:jc w:val="both"/>
      <w:outlineLvl w:val="0"/>
    </w:pPr>
    <w:rPr>
      <w:rFonts w:ascii="Times New Roman" w:eastAsia="Times New Roman" w:hAnsi="Times New Roman" w:cs="Times New Roman"/>
      <w:sz w:val="24"/>
      <w:szCs w:val="24"/>
      <w:lang w:eastAsia="ru-RU"/>
    </w:rPr>
  </w:style>
  <w:style w:type="paragraph" w:customStyle="1" w:styleId="142">
    <w:name w:val="Обычный+14 пт"/>
    <w:basedOn w:val="a1"/>
    <w:rsid w:val="004D5720"/>
    <w:pPr>
      <w:spacing w:after="0" w:line="240" w:lineRule="auto"/>
    </w:pPr>
    <w:rPr>
      <w:rFonts w:ascii="Times New Roman" w:eastAsia="Times New Roman" w:hAnsi="Times New Roman" w:cs="Times New Roman"/>
      <w:w w:val="90"/>
      <w:sz w:val="28"/>
      <w:szCs w:val="24"/>
      <w:lang w:eastAsia="ru-RU"/>
    </w:rPr>
  </w:style>
  <w:style w:type="paragraph" w:customStyle="1" w:styleId="ConsPlusNonformat">
    <w:name w:val="ConsPlusNonformat"/>
    <w:uiPriority w:val="99"/>
    <w:rsid w:val="004D5720"/>
    <w:pPr>
      <w:autoSpaceDE w:val="0"/>
      <w:autoSpaceDN w:val="0"/>
      <w:adjustRightInd w:val="0"/>
      <w:spacing w:after="0" w:line="240" w:lineRule="auto"/>
    </w:pPr>
    <w:rPr>
      <w:rFonts w:ascii="Courier New" w:eastAsia="Calibri" w:hAnsi="Courier New" w:cs="Courier New"/>
      <w:sz w:val="20"/>
      <w:szCs w:val="20"/>
      <w:lang w:eastAsia="ru-RU"/>
    </w:rPr>
  </w:style>
  <w:style w:type="character" w:customStyle="1" w:styleId="FontStyle13">
    <w:name w:val="Font Style13"/>
    <w:uiPriority w:val="99"/>
    <w:rsid w:val="004D5720"/>
    <w:rPr>
      <w:rFonts w:ascii="Arial" w:hAnsi="Arial" w:cs="Arial"/>
      <w:sz w:val="22"/>
      <w:szCs w:val="22"/>
    </w:rPr>
  </w:style>
  <w:style w:type="paragraph" w:customStyle="1" w:styleId="Style2">
    <w:name w:val="Style2"/>
    <w:basedOn w:val="a1"/>
    <w:uiPriority w:val="99"/>
    <w:rsid w:val="004D5720"/>
    <w:pPr>
      <w:widowControl w:val="0"/>
      <w:autoSpaceDE w:val="0"/>
      <w:autoSpaceDN w:val="0"/>
      <w:adjustRightInd w:val="0"/>
      <w:spacing w:after="0" w:line="277" w:lineRule="exact"/>
      <w:ind w:firstLine="557"/>
      <w:jc w:val="both"/>
    </w:pPr>
    <w:rPr>
      <w:rFonts w:ascii="Times New Roman" w:eastAsia="Times New Roman" w:hAnsi="Times New Roman" w:cs="Times New Roman"/>
      <w:sz w:val="24"/>
      <w:szCs w:val="24"/>
      <w:lang w:eastAsia="ru-RU"/>
    </w:rPr>
  </w:style>
  <w:style w:type="paragraph" w:customStyle="1" w:styleId="Style4">
    <w:name w:val="Style4"/>
    <w:basedOn w:val="a1"/>
    <w:uiPriority w:val="99"/>
    <w:rsid w:val="004D5720"/>
    <w:pPr>
      <w:widowControl w:val="0"/>
      <w:autoSpaceDE w:val="0"/>
      <w:autoSpaceDN w:val="0"/>
      <w:adjustRightInd w:val="0"/>
      <w:spacing w:after="0" w:line="278" w:lineRule="exact"/>
      <w:ind w:firstLine="562"/>
      <w:jc w:val="both"/>
    </w:pPr>
    <w:rPr>
      <w:rFonts w:ascii="Times New Roman" w:eastAsia="Times New Roman" w:hAnsi="Times New Roman" w:cs="Times New Roman"/>
      <w:sz w:val="24"/>
      <w:szCs w:val="24"/>
      <w:lang w:eastAsia="ru-RU"/>
    </w:rPr>
  </w:style>
  <w:style w:type="character" w:customStyle="1" w:styleId="FontStyle12">
    <w:name w:val="Font Style12"/>
    <w:uiPriority w:val="99"/>
    <w:rsid w:val="004D5720"/>
    <w:rPr>
      <w:rFonts w:ascii="Times New Roman" w:hAnsi="Times New Roman" w:cs="Times New Roman"/>
      <w:i/>
      <w:iCs/>
      <w:sz w:val="22"/>
      <w:szCs w:val="22"/>
    </w:rPr>
  </w:style>
  <w:style w:type="paragraph" w:customStyle="1" w:styleId="Style8">
    <w:name w:val="Style8"/>
    <w:basedOn w:val="a1"/>
    <w:uiPriority w:val="99"/>
    <w:rsid w:val="004D5720"/>
    <w:pPr>
      <w:widowControl w:val="0"/>
      <w:autoSpaceDE w:val="0"/>
      <w:autoSpaceDN w:val="0"/>
      <w:adjustRightInd w:val="0"/>
      <w:spacing w:after="0" w:line="274" w:lineRule="exact"/>
      <w:jc w:val="center"/>
    </w:pPr>
    <w:rPr>
      <w:rFonts w:ascii="Arial" w:eastAsia="Times New Roman" w:hAnsi="Arial" w:cs="Arial"/>
      <w:sz w:val="24"/>
      <w:szCs w:val="24"/>
      <w:lang w:eastAsia="ru-RU"/>
    </w:rPr>
  </w:style>
  <w:style w:type="table" w:customStyle="1" w:styleId="DefaultTable">
    <w:name w:val="Default Table"/>
    <w:rsid w:val="004D5720"/>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
    <w:name w:val="Нет списка111111"/>
    <w:next w:val="a4"/>
    <w:uiPriority w:val="99"/>
    <w:semiHidden/>
    <w:unhideWhenUsed/>
    <w:rsid w:val="00A64028"/>
  </w:style>
  <w:style w:type="table" w:customStyle="1" w:styleId="-4210">
    <w:name w:val="Светлая заливка - Акцент 421"/>
    <w:basedOn w:val="a3"/>
    <w:next w:val="-40"/>
    <w:uiPriority w:val="60"/>
    <w:rsid w:val="00A64028"/>
    <w:pPr>
      <w:spacing w:after="0" w:line="240" w:lineRule="auto"/>
    </w:pPr>
    <w:rPr>
      <w:rFonts w:ascii="Times New Roman" w:eastAsia="Times New Roman" w:hAnsi="Times New Roman" w:cs="Times New Roman"/>
      <w:color w:val="BF8F0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11">
    <w:name w:val="Светлый список - Акцент 421"/>
    <w:basedOn w:val="a3"/>
    <w:next w:val="-42"/>
    <w:uiPriority w:val="61"/>
    <w:rsid w:val="00A64028"/>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330">
    <w:name w:val="Нет списка33"/>
    <w:next w:val="a4"/>
    <w:uiPriority w:val="99"/>
    <w:semiHidden/>
    <w:unhideWhenUsed/>
    <w:rsid w:val="00A64028"/>
  </w:style>
  <w:style w:type="numbering" w:customStyle="1" w:styleId="1140">
    <w:name w:val="Нет списка114"/>
    <w:next w:val="a4"/>
    <w:uiPriority w:val="99"/>
    <w:semiHidden/>
    <w:unhideWhenUsed/>
    <w:rsid w:val="00A64028"/>
  </w:style>
  <w:style w:type="table" w:customStyle="1" w:styleId="182">
    <w:name w:val="Сетка таблицы18"/>
    <w:basedOn w:val="a3"/>
    <w:next w:val="a7"/>
    <w:uiPriority w:val="59"/>
    <w:rsid w:val="00A64028"/>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4">
    <w:name w:val="Список-таблица 6 цветная — акцент 514"/>
    <w:basedOn w:val="a3"/>
    <w:uiPriority w:val="51"/>
    <w:rsid w:val="00A64028"/>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40">
    <w:name w:val="Таблица простая 414"/>
    <w:basedOn w:val="a3"/>
    <w:uiPriority w:val="44"/>
    <w:rsid w:val="00A64028"/>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40">
    <w:name w:val="Таблица простая 214"/>
    <w:basedOn w:val="a3"/>
    <w:uiPriority w:val="42"/>
    <w:rsid w:val="00A64028"/>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40">
    <w:name w:val="Сетка таблицы44"/>
    <w:basedOn w:val="a3"/>
    <w:next w:val="a7"/>
    <w:uiPriority w:val="59"/>
    <w:rsid w:val="00A6402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1">
    <w:name w:val="Сетка таблицы414"/>
    <w:basedOn w:val="a3"/>
    <w:next w:val="a7"/>
    <w:uiPriority w:val="59"/>
    <w:rsid w:val="00A640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0">
    <w:name w:val="Нет списка115"/>
    <w:next w:val="a4"/>
    <w:uiPriority w:val="99"/>
    <w:semiHidden/>
    <w:unhideWhenUsed/>
    <w:rsid w:val="00A64028"/>
  </w:style>
  <w:style w:type="numbering" w:customStyle="1" w:styleId="1112">
    <w:name w:val="Нет списка1112"/>
    <w:next w:val="a4"/>
    <w:uiPriority w:val="99"/>
    <w:semiHidden/>
    <w:unhideWhenUsed/>
    <w:rsid w:val="00A64028"/>
  </w:style>
  <w:style w:type="table" w:customStyle="1" w:styleId="192">
    <w:name w:val="Сетка таблицы19"/>
    <w:basedOn w:val="a3"/>
    <w:next w:val="a7"/>
    <w:uiPriority w:val="59"/>
    <w:rsid w:val="00A64028"/>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2">
    <w:name w:val="Список-таблица 6 цветная — акцент 5112"/>
    <w:basedOn w:val="a3"/>
    <w:uiPriority w:val="51"/>
    <w:rsid w:val="00A64028"/>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20">
    <w:name w:val="Таблица простая 4112"/>
    <w:basedOn w:val="a3"/>
    <w:uiPriority w:val="44"/>
    <w:rsid w:val="00A64028"/>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2">
    <w:name w:val="Таблица простая 2112"/>
    <w:basedOn w:val="a3"/>
    <w:uiPriority w:val="42"/>
    <w:rsid w:val="00A64028"/>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20">
    <w:name w:val="Сетка таблицы422"/>
    <w:basedOn w:val="a3"/>
    <w:next w:val="a7"/>
    <w:uiPriority w:val="59"/>
    <w:rsid w:val="00A6402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
    <w:name w:val="Сетка таблицы4113"/>
    <w:basedOn w:val="a3"/>
    <w:next w:val="a7"/>
    <w:uiPriority w:val="59"/>
    <w:rsid w:val="00A640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1">
    <w:name w:val="Нет списка212"/>
    <w:next w:val="a4"/>
    <w:uiPriority w:val="99"/>
    <w:semiHidden/>
    <w:unhideWhenUsed/>
    <w:rsid w:val="00A64028"/>
  </w:style>
  <w:style w:type="table" w:customStyle="1" w:styleId="223">
    <w:name w:val="Сетка таблицы22"/>
    <w:basedOn w:val="a3"/>
    <w:next w:val="a7"/>
    <w:uiPriority w:val="39"/>
    <w:rsid w:val="00A640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
    <w:name w:val="Сетка таблицы32"/>
    <w:basedOn w:val="a3"/>
    <w:next w:val="a7"/>
    <w:uiPriority w:val="39"/>
    <w:rsid w:val="00A640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40">
    <w:name w:val="Нет списка34"/>
    <w:next w:val="a4"/>
    <w:uiPriority w:val="99"/>
    <w:semiHidden/>
    <w:unhideWhenUsed/>
    <w:rsid w:val="00A64028"/>
  </w:style>
  <w:style w:type="table" w:customStyle="1" w:styleId="521">
    <w:name w:val="Сетка таблицы52"/>
    <w:basedOn w:val="a3"/>
    <w:next w:val="a7"/>
    <w:uiPriority w:val="39"/>
    <w:rsid w:val="00A640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23">
    <w:name w:val="Нет списка42"/>
    <w:next w:val="a4"/>
    <w:uiPriority w:val="99"/>
    <w:semiHidden/>
    <w:unhideWhenUsed/>
    <w:rsid w:val="00A64028"/>
  </w:style>
  <w:style w:type="table" w:customStyle="1" w:styleId="621">
    <w:name w:val="Сетка таблицы62"/>
    <w:basedOn w:val="a3"/>
    <w:next w:val="a7"/>
    <w:uiPriority w:val="39"/>
    <w:rsid w:val="00A640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2">
    <w:name w:val="Нет списка52"/>
    <w:next w:val="a4"/>
    <w:uiPriority w:val="99"/>
    <w:semiHidden/>
    <w:unhideWhenUsed/>
    <w:rsid w:val="00A64028"/>
  </w:style>
  <w:style w:type="table" w:customStyle="1" w:styleId="722">
    <w:name w:val="Сетка таблицы72"/>
    <w:basedOn w:val="a3"/>
    <w:next w:val="a7"/>
    <w:uiPriority w:val="39"/>
    <w:rsid w:val="00A640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
    <w:basedOn w:val="a3"/>
    <w:next w:val="a7"/>
    <w:uiPriority w:val="39"/>
    <w:rsid w:val="00A640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2">
    <w:name w:val="Нет списка62"/>
    <w:next w:val="a4"/>
    <w:uiPriority w:val="99"/>
    <w:semiHidden/>
    <w:unhideWhenUsed/>
    <w:rsid w:val="00A64028"/>
  </w:style>
  <w:style w:type="table" w:customStyle="1" w:styleId="921">
    <w:name w:val="Сетка таблицы92"/>
    <w:basedOn w:val="a3"/>
    <w:next w:val="a7"/>
    <w:uiPriority w:val="39"/>
    <w:rsid w:val="00A640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3">
    <w:name w:val="Нет списка72"/>
    <w:next w:val="a4"/>
    <w:uiPriority w:val="99"/>
    <w:semiHidden/>
    <w:unhideWhenUsed/>
    <w:rsid w:val="00A64028"/>
  </w:style>
  <w:style w:type="table" w:customStyle="1" w:styleId="102">
    <w:name w:val="Сетка таблицы102"/>
    <w:basedOn w:val="a3"/>
    <w:next w:val="a7"/>
    <w:uiPriority w:val="39"/>
    <w:rsid w:val="00A640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22">
    <w:name w:val="Нет списка82"/>
    <w:next w:val="a4"/>
    <w:uiPriority w:val="99"/>
    <w:semiHidden/>
    <w:unhideWhenUsed/>
    <w:rsid w:val="00A64028"/>
  </w:style>
  <w:style w:type="numbering" w:customStyle="1" w:styleId="922">
    <w:name w:val="Нет списка92"/>
    <w:next w:val="a4"/>
    <w:uiPriority w:val="99"/>
    <w:semiHidden/>
    <w:unhideWhenUsed/>
    <w:rsid w:val="00A64028"/>
  </w:style>
  <w:style w:type="numbering" w:customStyle="1" w:styleId="1020">
    <w:name w:val="Нет списка102"/>
    <w:next w:val="a4"/>
    <w:uiPriority w:val="99"/>
    <w:semiHidden/>
    <w:unhideWhenUsed/>
    <w:rsid w:val="00A64028"/>
  </w:style>
  <w:style w:type="numbering" w:customStyle="1" w:styleId="1220">
    <w:name w:val="Нет списка122"/>
    <w:next w:val="a4"/>
    <w:uiPriority w:val="99"/>
    <w:semiHidden/>
    <w:unhideWhenUsed/>
    <w:rsid w:val="00A64028"/>
  </w:style>
  <w:style w:type="numbering" w:customStyle="1" w:styleId="132">
    <w:name w:val="Нет списка132"/>
    <w:next w:val="a4"/>
    <w:uiPriority w:val="99"/>
    <w:semiHidden/>
    <w:unhideWhenUsed/>
    <w:rsid w:val="00A64028"/>
  </w:style>
  <w:style w:type="numbering" w:customStyle="1" w:styleId="1420">
    <w:name w:val="Нет списка142"/>
    <w:next w:val="a4"/>
    <w:uiPriority w:val="99"/>
    <w:semiHidden/>
    <w:unhideWhenUsed/>
    <w:rsid w:val="00A64028"/>
  </w:style>
  <w:style w:type="numbering" w:customStyle="1" w:styleId="152">
    <w:name w:val="Нет списка152"/>
    <w:next w:val="a4"/>
    <w:uiPriority w:val="99"/>
    <w:semiHidden/>
    <w:unhideWhenUsed/>
    <w:rsid w:val="00A64028"/>
  </w:style>
  <w:style w:type="numbering" w:customStyle="1" w:styleId="162">
    <w:name w:val="Нет списка162"/>
    <w:next w:val="a4"/>
    <w:uiPriority w:val="99"/>
    <w:semiHidden/>
    <w:unhideWhenUsed/>
    <w:rsid w:val="00A64028"/>
  </w:style>
  <w:style w:type="numbering" w:customStyle="1" w:styleId="172">
    <w:name w:val="Нет списка172"/>
    <w:next w:val="a4"/>
    <w:uiPriority w:val="99"/>
    <w:semiHidden/>
    <w:unhideWhenUsed/>
    <w:rsid w:val="00A64028"/>
  </w:style>
  <w:style w:type="numbering" w:customStyle="1" w:styleId="1820">
    <w:name w:val="Нет списка182"/>
    <w:next w:val="a4"/>
    <w:uiPriority w:val="99"/>
    <w:semiHidden/>
    <w:unhideWhenUsed/>
    <w:rsid w:val="00A64028"/>
  </w:style>
  <w:style w:type="numbering" w:customStyle="1" w:styleId="1920">
    <w:name w:val="Нет списка192"/>
    <w:next w:val="a4"/>
    <w:uiPriority w:val="99"/>
    <w:semiHidden/>
    <w:unhideWhenUsed/>
    <w:rsid w:val="00A64028"/>
  </w:style>
  <w:style w:type="numbering" w:customStyle="1" w:styleId="202">
    <w:name w:val="Нет списка202"/>
    <w:next w:val="a4"/>
    <w:uiPriority w:val="99"/>
    <w:semiHidden/>
    <w:unhideWhenUsed/>
    <w:rsid w:val="00A64028"/>
  </w:style>
  <w:style w:type="numbering" w:customStyle="1" w:styleId="2131">
    <w:name w:val="Нет списка213"/>
    <w:next w:val="a4"/>
    <w:uiPriority w:val="99"/>
    <w:semiHidden/>
    <w:unhideWhenUsed/>
    <w:rsid w:val="00A64028"/>
  </w:style>
  <w:style w:type="numbering" w:customStyle="1" w:styleId="2220">
    <w:name w:val="Нет списка222"/>
    <w:next w:val="a4"/>
    <w:uiPriority w:val="99"/>
    <w:semiHidden/>
    <w:unhideWhenUsed/>
    <w:rsid w:val="00A64028"/>
  </w:style>
  <w:style w:type="numbering" w:customStyle="1" w:styleId="2320">
    <w:name w:val="Нет списка232"/>
    <w:next w:val="a4"/>
    <w:uiPriority w:val="99"/>
    <w:semiHidden/>
    <w:unhideWhenUsed/>
    <w:rsid w:val="00A64028"/>
  </w:style>
  <w:style w:type="numbering" w:customStyle="1" w:styleId="242">
    <w:name w:val="Нет списка242"/>
    <w:next w:val="a4"/>
    <w:uiPriority w:val="99"/>
    <w:semiHidden/>
    <w:unhideWhenUsed/>
    <w:rsid w:val="00A64028"/>
  </w:style>
  <w:style w:type="table" w:customStyle="1" w:styleId="1121">
    <w:name w:val="Сетка таблицы112"/>
    <w:basedOn w:val="a3"/>
    <w:next w:val="a7"/>
    <w:uiPriority w:val="39"/>
    <w:rsid w:val="00A640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2">
    <w:name w:val="Нет списка252"/>
    <w:next w:val="a4"/>
    <w:uiPriority w:val="99"/>
    <w:semiHidden/>
    <w:unhideWhenUsed/>
    <w:rsid w:val="00A64028"/>
  </w:style>
  <w:style w:type="table" w:customStyle="1" w:styleId="1211">
    <w:name w:val="Сетка таблицы121"/>
    <w:basedOn w:val="a3"/>
    <w:next w:val="a7"/>
    <w:uiPriority w:val="39"/>
    <w:rsid w:val="00A640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1">
    <w:name w:val="Нет списка261"/>
    <w:next w:val="a4"/>
    <w:uiPriority w:val="99"/>
    <w:semiHidden/>
    <w:unhideWhenUsed/>
    <w:rsid w:val="00A64028"/>
  </w:style>
  <w:style w:type="numbering" w:customStyle="1" w:styleId="1101">
    <w:name w:val="Нет списка1101"/>
    <w:next w:val="a4"/>
    <w:uiPriority w:val="99"/>
    <w:semiHidden/>
    <w:unhideWhenUsed/>
    <w:rsid w:val="00A64028"/>
  </w:style>
  <w:style w:type="table" w:customStyle="1" w:styleId="1311">
    <w:name w:val="Сетка таблицы131"/>
    <w:basedOn w:val="a3"/>
    <w:next w:val="a7"/>
    <w:uiPriority w:val="39"/>
    <w:rsid w:val="00A64028"/>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1">
    <w:name w:val="Список-таблица 6 цветная — акцент 5121"/>
    <w:basedOn w:val="a3"/>
    <w:uiPriority w:val="51"/>
    <w:rsid w:val="00A64028"/>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11">
    <w:name w:val="Таблица простая 4121"/>
    <w:basedOn w:val="a3"/>
    <w:uiPriority w:val="44"/>
    <w:rsid w:val="00A64028"/>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10">
    <w:name w:val="Таблица простая 2121"/>
    <w:basedOn w:val="a3"/>
    <w:uiPriority w:val="42"/>
    <w:rsid w:val="00A64028"/>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1">
    <w:name w:val="Сетка таблицы431"/>
    <w:basedOn w:val="a3"/>
    <w:next w:val="a7"/>
    <w:uiPriority w:val="59"/>
    <w:rsid w:val="00A6402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2">
    <w:name w:val="Сетка таблицы4122"/>
    <w:basedOn w:val="a3"/>
    <w:next w:val="a7"/>
    <w:uiPriority w:val="59"/>
    <w:rsid w:val="00A640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
    <w:name w:val="Нет списка1111111"/>
    <w:next w:val="a4"/>
    <w:uiPriority w:val="99"/>
    <w:semiHidden/>
    <w:unhideWhenUsed/>
    <w:rsid w:val="00A64028"/>
  </w:style>
  <w:style w:type="numbering" w:customStyle="1" w:styleId="11111111">
    <w:name w:val="Нет списка11111111"/>
    <w:next w:val="a4"/>
    <w:uiPriority w:val="99"/>
    <w:semiHidden/>
    <w:unhideWhenUsed/>
    <w:rsid w:val="00A64028"/>
  </w:style>
  <w:style w:type="table" w:customStyle="1" w:styleId="1411">
    <w:name w:val="Сетка таблицы141"/>
    <w:basedOn w:val="a3"/>
    <w:next w:val="a7"/>
    <w:uiPriority w:val="59"/>
    <w:rsid w:val="00A64028"/>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1">
    <w:name w:val="Список-таблица 6 цветная — акцент 51111"/>
    <w:basedOn w:val="a3"/>
    <w:uiPriority w:val="51"/>
    <w:rsid w:val="00A64028"/>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10">
    <w:name w:val="Таблица простая 41111"/>
    <w:basedOn w:val="a3"/>
    <w:uiPriority w:val="44"/>
    <w:rsid w:val="00A64028"/>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1">
    <w:name w:val="Таблица простая 21111"/>
    <w:basedOn w:val="a3"/>
    <w:uiPriority w:val="42"/>
    <w:rsid w:val="00A64028"/>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1">
    <w:name w:val="Сетка таблицы4211"/>
    <w:basedOn w:val="a3"/>
    <w:next w:val="a7"/>
    <w:uiPriority w:val="59"/>
    <w:rsid w:val="00A6402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1">
    <w:name w:val="Сетка таблицы41111"/>
    <w:basedOn w:val="a3"/>
    <w:next w:val="a7"/>
    <w:uiPriority w:val="59"/>
    <w:rsid w:val="00A640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
    <w:name w:val="Нет списка271"/>
    <w:next w:val="a4"/>
    <w:uiPriority w:val="99"/>
    <w:semiHidden/>
    <w:unhideWhenUsed/>
    <w:rsid w:val="00A64028"/>
  </w:style>
  <w:style w:type="table" w:customStyle="1" w:styleId="2113">
    <w:name w:val="Сетка таблицы211"/>
    <w:basedOn w:val="a3"/>
    <w:next w:val="a7"/>
    <w:uiPriority w:val="39"/>
    <w:rsid w:val="00A640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0">
    <w:name w:val="Сетка таблицы311"/>
    <w:basedOn w:val="a3"/>
    <w:next w:val="a7"/>
    <w:uiPriority w:val="39"/>
    <w:rsid w:val="00A640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1">
    <w:name w:val="Нет списка311"/>
    <w:next w:val="a4"/>
    <w:uiPriority w:val="99"/>
    <w:semiHidden/>
    <w:unhideWhenUsed/>
    <w:rsid w:val="00A64028"/>
  </w:style>
  <w:style w:type="table" w:customStyle="1" w:styleId="5110">
    <w:name w:val="Сетка таблицы511"/>
    <w:basedOn w:val="a3"/>
    <w:next w:val="a7"/>
    <w:uiPriority w:val="39"/>
    <w:rsid w:val="00A640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14">
    <w:name w:val="Нет списка411"/>
    <w:next w:val="a4"/>
    <w:uiPriority w:val="99"/>
    <w:semiHidden/>
    <w:unhideWhenUsed/>
    <w:rsid w:val="00A64028"/>
  </w:style>
  <w:style w:type="table" w:customStyle="1" w:styleId="6110">
    <w:name w:val="Сетка таблицы611"/>
    <w:basedOn w:val="a3"/>
    <w:next w:val="a7"/>
    <w:uiPriority w:val="39"/>
    <w:rsid w:val="00A640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11">
    <w:name w:val="Нет списка511"/>
    <w:next w:val="a4"/>
    <w:uiPriority w:val="99"/>
    <w:semiHidden/>
    <w:unhideWhenUsed/>
    <w:rsid w:val="00A64028"/>
  </w:style>
  <w:style w:type="table" w:customStyle="1" w:styleId="7110">
    <w:name w:val="Сетка таблицы711"/>
    <w:basedOn w:val="a3"/>
    <w:next w:val="a7"/>
    <w:uiPriority w:val="39"/>
    <w:rsid w:val="00A640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basedOn w:val="a3"/>
    <w:next w:val="a7"/>
    <w:uiPriority w:val="39"/>
    <w:rsid w:val="00A640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11">
    <w:name w:val="Нет списка611"/>
    <w:next w:val="a4"/>
    <w:uiPriority w:val="99"/>
    <w:semiHidden/>
    <w:unhideWhenUsed/>
    <w:rsid w:val="00A64028"/>
  </w:style>
  <w:style w:type="table" w:customStyle="1" w:styleId="9110">
    <w:name w:val="Сетка таблицы911"/>
    <w:basedOn w:val="a3"/>
    <w:next w:val="a7"/>
    <w:uiPriority w:val="39"/>
    <w:rsid w:val="00A640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11">
    <w:name w:val="Нет списка711"/>
    <w:next w:val="a4"/>
    <w:uiPriority w:val="99"/>
    <w:semiHidden/>
    <w:unhideWhenUsed/>
    <w:rsid w:val="00A64028"/>
  </w:style>
  <w:style w:type="table" w:customStyle="1" w:styleId="10110">
    <w:name w:val="Сетка таблицы1011"/>
    <w:basedOn w:val="a3"/>
    <w:next w:val="a7"/>
    <w:uiPriority w:val="39"/>
    <w:rsid w:val="00A640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1">
    <w:name w:val="Нет списка281"/>
    <w:next w:val="a4"/>
    <w:uiPriority w:val="99"/>
    <w:semiHidden/>
    <w:unhideWhenUsed/>
    <w:rsid w:val="00A64028"/>
  </w:style>
  <w:style w:type="table" w:customStyle="1" w:styleId="1511">
    <w:name w:val="Сетка таблицы151"/>
    <w:basedOn w:val="a3"/>
    <w:next w:val="a7"/>
    <w:rsid w:val="00A6402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
    <w:name w:val="Светлая заливка - Акцент 112"/>
    <w:uiPriority w:val="99"/>
    <w:rsid w:val="00A64028"/>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2">
    <w:name w:val="Средняя заливка 1 - Акцент 42"/>
    <w:basedOn w:val="a3"/>
    <w:next w:val="1-4"/>
    <w:uiPriority w:val="63"/>
    <w:rsid w:val="00A64028"/>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22">
    <w:name w:val="Светлая сетка - Акцент 42"/>
    <w:basedOn w:val="a3"/>
    <w:next w:val="-4"/>
    <w:uiPriority w:val="62"/>
    <w:rsid w:val="00A64028"/>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12">
    <w:name w:val="Светлая заливка - Акцент 412"/>
    <w:basedOn w:val="a3"/>
    <w:next w:val="-40"/>
    <w:uiPriority w:val="60"/>
    <w:rsid w:val="00A64028"/>
    <w:pPr>
      <w:spacing w:after="0" w:line="240" w:lineRule="auto"/>
    </w:pPr>
    <w:rPr>
      <w:rFonts w:ascii="Times New Roman" w:eastAsia="Times New Roman" w:hAnsi="Times New Roman" w:cs="Times New Roman"/>
      <w:color w:val="5F497A"/>
      <w:lang w:eastAsia="ru-RU"/>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25">
    <w:name w:val="Светлый список12"/>
    <w:basedOn w:val="a3"/>
    <w:uiPriority w:val="61"/>
    <w:rsid w:val="00A64028"/>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20">
    <w:name w:val="Светлый список - Акцент 412"/>
    <w:basedOn w:val="a3"/>
    <w:next w:val="-42"/>
    <w:uiPriority w:val="61"/>
    <w:rsid w:val="00A64028"/>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numbering" w:customStyle="1" w:styleId="11210">
    <w:name w:val="Нет списка1121"/>
    <w:next w:val="a4"/>
    <w:uiPriority w:val="99"/>
    <w:semiHidden/>
    <w:unhideWhenUsed/>
    <w:rsid w:val="00A64028"/>
  </w:style>
  <w:style w:type="numbering" w:customStyle="1" w:styleId="291">
    <w:name w:val="Нет списка291"/>
    <w:next w:val="a4"/>
    <w:uiPriority w:val="99"/>
    <w:semiHidden/>
    <w:unhideWhenUsed/>
    <w:rsid w:val="00A64028"/>
  </w:style>
  <w:style w:type="table" w:customStyle="1" w:styleId="-42110">
    <w:name w:val="Светлая заливка - Акцент 4211"/>
    <w:basedOn w:val="a3"/>
    <w:next w:val="-40"/>
    <w:uiPriority w:val="60"/>
    <w:unhideWhenUsed/>
    <w:rsid w:val="00A64028"/>
    <w:pPr>
      <w:spacing w:after="0" w:line="240" w:lineRule="auto"/>
    </w:pPr>
    <w:rPr>
      <w:rFonts w:ascii="Calibri" w:eastAsia="Times New Roman" w:hAnsi="Calibri" w:cs="Times New Roman"/>
      <w:color w:val="BF8F00"/>
      <w:sz w:val="20"/>
      <w:szCs w:val="2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111">
    <w:name w:val="Светлый список - Акцент 4211"/>
    <w:basedOn w:val="a3"/>
    <w:next w:val="-42"/>
    <w:uiPriority w:val="61"/>
    <w:unhideWhenUsed/>
    <w:rsid w:val="00A64028"/>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301">
    <w:name w:val="Нет списка301"/>
    <w:next w:val="a4"/>
    <w:uiPriority w:val="99"/>
    <w:semiHidden/>
    <w:unhideWhenUsed/>
    <w:rsid w:val="00A64028"/>
  </w:style>
  <w:style w:type="table" w:customStyle="1" w:styleId="41121">
    <w:name w:val="Сетка таблицы41121"/>
    <w:basedOn w:val="a3"/>
    <w:next w:val="a7"/>
    <w:uiPriority w:val="59"/>
    <w:rsid w:val="00A640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
    <w:name w:val="Сетка таблицы161"/>
    <w:basedOn w:val="a3"/>
    <w:next w:val="a7"/>
    <w:rsid w:val="00A640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
    <w:name w:val="Светлая заливка - Акцент 1111"/>
    <w:uiPriority w:val="99"/>
    <w:rsid w:val="00A64028"/>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11">
    <w:name w:val="Средняя заливка 1 - Акцент 411"/>
    <w:basedOn w:val="a3"/>
    <w:next w:val="1-4"/>
    <w:uiPriority w:val="63"/>
    <w:rsid w:val="00A64028"/>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112">
    <w:name w:val="Светлая сетка - Акцент 411"/>
    <w:basedOn w:val="a3"/>
    <w:next w:val="-4"/>
    <w:uiPriority w:val="62"/>
    <w:rsid w:val="00A64028"/>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1110">
    <w:name w:val="Светлая заливка - Акцент 42111"/>
    <w:basedOn w:val="a3"/>
    <w:next w:val="-40"/>
    <w:uiPriority w:val="60"/>
    <w:rsid w:val="00A64028"/>
    <w:pPr>
      <w:spacing w:after="0" w:line="240" w:lineRule="auto"/>
    </w:pPr>
    <w:rPr>
      <w:rFonts w:ascii="Times New Roman" w:eastAsia="Times New Roman" w:hAnsi="Times New Roman" w:cs="Times New Roman"/>
      <w:color w:val="BF8F0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13">
    <w:name w:val="Светлый список111"/>
    <w:basedOn w:val="a3"/>
    <w:uiPriority w:val="61"/>
    <w:rsid w:val="00A64028"/>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1111">
    <w:name w:val="Светлый список - Акцент 42111"/>
    <w:basedOn w:val="a3"/>
    <w:next w:val="-42"/>
    <w:uiPriority w:val="61"/>
    <w:rsid w:val="00A64028"/>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1131">
    <w:name w:val="Нет списка1131"/>
    <w:next w:val="a4"/>
    <w:uiPriority w:val="99"/>
    <w:semiHidden/>
    <w:unhideWhenUsed/>
    <w:rsid w:val="00A64028"/>
  </w:style>
  <w:style w:type="numbering" w:customStyle="1" w:styleId="2101">
    <w:name w:val="Нет списка2101"/>
    <w:next w:val="a4"/>
    <w:uiPriority w:val="99"/>
    <w:semiHidden/>
    <w:unhideWhenUsed/>
    <w:rsid w:val="00A64028"/>
  </w:style>
  <w:style w:type="numbering" w:customStyle="1" w:styleId="3210">
    <w:name w:val="Нет списка321"/>
    <w:next w:val="a4"/>
    <w:uiPriority w:val="99"/>
    <w:semiHidden/>
    <w:unhideWhenUsed/>
    <w:rsid w:val="00A64028"/>
  </w:style>
  <w:style w:type="table" w:customStyle="1" w:styleId="1711">
    <w:name w:val="Сетка таблицы171"/>
    <w:basedOn w:val="a3"/>
    <w:next w:val="a7"/>
    <w:uiPriority w:val="39"/>
    <w:rsid w:val="00A6402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424">
    <w:name w:val="Заголовок 4 Знак2"/>
    <w:basedOn w:val="a2"/>
    <w:uiPriority w:val="9"/>
    <w:semiHidden/>
    <w:rsid w:val="00A64028"/>
    <w:rPr>
      <w:rFonts w:ascii="Calibri Light" w:eastAsia="Times New Roman" w:hAnsi="Calibri Light" w:cs="Times New Roman"/>
      <w:i/>
      <w:iCs/>
      <w:color w:val="2F5496"/>
    </w:rPr>
  </w:style>
  <w:style w:type="table" w:customStyle="1" w:styleId="-43">
    <w:name w:val="Светлая заливка - Акцент 43"/>
    <w:basedOn w:val="a3"/>
    <w:next w:val="-40"/>
    <w:uiPriority w:val="60"/>
    <w:semiHidden/>
    <w:unhideWhenUsed/>
    <w:rsid w:val="00A64028"/>
    <w:pPr>
      <w:spacing w:after="0" w:line="240" w:lineRule="auto"/>
    </w:pPr>
    <w:rPr>
      <w:rFonts w:ascii="Calibri" w:eastAsia="Calibri" w:hAnsi="Calibri" w:cs="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30">
    <w:name w:val="Светлый список - Акцент 43"/>
    <w:basedOn w:val="a3"/>
    <w:next w:val="-42"/>
    <w:uiPriority w:val="61"/>
    <w:semiHidden/>
    <w:unhideWhenUsed/>
    <w:rsid w:val="00A64028"/>
    <w:pPr>
      <w:spacing w:after="0" w:line="240" w:lineRule="auto"/>
    </w:pPr>
    <w:rPr>
      <w:rFonts w:ascii="Calibri" w:eastAsia="Calibri" w:hAnsi="Calibri" w:cs="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character" w:customStyle="1" w:styleId="432">
    <w:name w:val="Заголовок 4 Знак3"/>
    <w:basedOn w:val="a2"/>
    <w:uiPriority w:val="9"/>
    <w:semiHidden/>
    <w:rsid w:val="00A64028"/>
    <w:rPr>
      <w:rFonts w:asciiTheme="majorHAnsi" w:eastAsiaTheme="majorEastAsia" w:hAnsiTheme="majorHAnsi" w:cstheme="majorBidi"/>
      <w:i/>
      <w:iCs/>
      <w:color w:val="2F5496" w:themeColor="accent1" w:themeShade="BF"/>
    </w:rPr>
  </w:style>
  <w:style w:type="paragraph" w:customStyle="1" w:styleId="xl58">
    <w:name w:val="xl58"/>
    <w:basedOn w:val="a1"/>
    <w:rsid w:val="00A64028"/>
    <w:pPr>
      <w:spacing w:before="100" w:beforeAutospacing="1" w:after="100" w:afterAutospacing="1" w:line="240" w:lineRule="auto"/>
      <w:jc w:val="center"/>
      <w:textAlignment w:val="center"/>
    </w:pPr>
    <w:rPr>
      <w:rFonts w:ascii="Arial Narrow" w:eastAsia="Times New Roman" w:hAnsi="Arial Narrow" w:cs="Times New Roman"/>
      <w:b/>
      <w:bCs/>
      <w:color w:val="000080"/>
      <w:sz w:val="24"/>
      <w:szCs w:val="24"/>
      <w:lang w:eastAsia="ru-RU"/>
    </w:rPr>
  </w:style>
  <w:style w:type="paragraph" w:customStyle="1" w:styleId="xl59">
    <w:name w:val="xl59"/>
    <w:basedOn w:val="a1"/>
    <w:rsid w:val="00A64028"/>
    <w:pPr>
      <w:spacing w:before="100" w:beforeAutospacing="1" w:after="100" w:afterAutospacing="1" w:line="240" w:lineRule="auto"/>
      <w:textAlignment w:val="top"/>
    </w:pPr>
    <w:rPr>
      <w:rFonts w:ascii="Arial Narrow" w:eastAsia="Times New Roman" w:hAnsi="Arial Narrow" w:cs="Times New Roman"/>
      <w:color w:val="000000"/>
      <w:sz w:val="24"/>
      <w:szCs w:val="24"/>
      <w:lang w:eastAsia="ru-RU"/>
    </w:rPr>
  </w:style>
  <w:style w:type="paragraph" w:customStyle="1" w:styleId="xl60">
    <w:name w:val="xl60"/>
    <w:basedOn w:val="a1"/>
    <w:rsid w:val="00A64028"/>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textAlignment w:val="center"/>
    </w:pPr>
    <w:rPr>
      <w:rFonts w:ascii="Arial Narrow" w:eastAsia="Times New Roman" w:hAnsi="Arial Narrow" w:cs="Times New Roman"/>
      <w:b/>
      <w:bCs/>
      <w:color w:val="000000"/>
      <w:sz w:val="24"/>
      <w:szCs w:val="24"/>
      <w:lang w:eastAsia="ru-RU"/>
    </w:rPr>
  </w:style>
  <w:style w:type="paragraph" w:customStyle="1" w:styleId="xl61">
    <w:name w:val="xl61"/>
    <w:basedOn w:val="a1"/>
    <w:rsid w:val="00A64028"/>
    <w:pPr>
      <w:spacing w:before="100" w:beforeAutospacing="1" w:after="100" w:afterAutospacing="1" w:line="240" w:lineRule="auto"/>
    </w:pPr>
    <w:rPr>
      <w:rFonts w:ascii="Arial Narrow" w:eastAsia="Times New Roman" w:hAnsi="Arial Narrow" w:cs="Times New Roman"/>
      <w:sz w:val="24"/>
      <w:szCs w:val="24"/>
      <w:lang w:eastAsia="ru-RU"/>
    </w:rPr>
  </w:style>
  <w:style w:type="paragraph" w:customStyle="1" w:styleId="xl62">
    <w:name w:val="xl62"/>
    <w:basedOn w:val="a1"/>
    <w:rsid w:val="00A6402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b/>
      <w:bCs/>
      <w:color w:val="000000"/>
      <w:sz w:val="24"/>
      <w:szCs w:val="24"/>
      <w:lang w:eastAsia="ru-RU"/>
    </w:rPr>
  </w:style>
  <w:style w:type="numbering" w:customStyle="1" w:styleId="350">
    <w:name w:val="Нет списка35"/>
    <w:next w:val="a4"/>
    <w:uiPriority w:val="99"/>
    <w:semiHidden/>
    <w:unhideWhenUsed/>
    <w:rsid w:val="00A64028"/>
  </w:style>
</w:styles>
</file>

<file path=word/webSettings.xml><?xml version="1.0" encoding="utf-8"?>
<w:webSettings xmlns:r="http://schemas.openxmlformats.org/officeDocument/2006/relationships" xmlns:w="http://schemas.openxmlformats.org/wordprocessingml/2006/main">
  <w:divs>
    <w:div w:id="10767674">
      <w:bodyDiv w:val="1"/>
      <w:marLeft w:val="0"/>
      <w:marRight w:val="0"/>
      <w:marTop w:val="0"/>
      <w:marBottom w:val="0"/>
      <w:divBdr>
        <w:top w:val="none" w:sz="0" w:space="0" w:color="auto"/>
        <w:left w:val="none" w:sz="0" w:space="0" w:color="auto"/>
        <w:bottom w:val="none" w:sz="0" w:space="0" w:color="auto"/>
        <w:right w:val="none" w:sz="0" w:space="0" w:color="auto"/>
      </w:divBdr>
    </w:div>
    <w:div w:id="11591512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6.xml"/><Relationship Id="rId117" Type="http://schemas.microsoft.com/office/2011/relationships/commentsExtended" Target="commentsExtended.xml"/><Relationship Id="rId21" Type="http://schemas.openxmlformats.org/officeDocument/2006/relationships/chart" Target="charts/chart1.xml"/><Relationship Id="rId42" Type="http://schemas.openxmlformats.org/officeDocument/2006/relationships/chart" Target="charts/chart22.xml"/><Relationship Id="rId47" Type="http://schemas.openxmlformats.org/officeDocument/2006/relationships/chart" Target="charts/chart27.xml"/><Relationship Id="rId63" Type="http://schemas.openxmlformats.org/officeDocument/2006/relationships/chart" Target="charts/chart43.xml"/><Relationship Id="rId68" Type="http://schemas.openxmlformats.org/officeDocument/2006/relationships/chart" Target="charts/chart48.xml"/><Relationship Id="rId84" Type="http://schemas.openxmlformats.org/officeDocument/2006/relationships/chart" Target="charts/chart64.xml"/><Relationship Id="rId89" Type="http://schemas.openxmlformats.org/officeDocument/2006/relationships/chart" Target="charts/chart69.xml"/><Relationship Id="rId112" Type="http://schemas.openxmlformats.org/officeDocument/2006/relationships/footer" Target="footer4.xml"/><Relationship Id="rId16" Type="http://schemas.openxmlformats.org/officeDocument/2006/relationships/hyperlink" Target="http://www.tarif.nso.ru/page/144" TargetMode="External"/><Relationship Id="rId107" Type="http://schemas.openxmlformats.org/officeDocument/2006/relationships/hyperlink" Target="http://fas.gov.ru/activity/tariffregulation/reestr-subektov-estestvennyix-monopolij.html" TargetMode="External"/><Relationship Id="rId11" Type="http://schemas.openxmlformats.org/officeDocument/2006/relationships/hyperlink" Target="http://www.fstrf.ru/about/activity/reestr" TargetMode="External"/><Relationship Id="rId24" Type="http://schemas.openxmlformats.org/officeDocument/2006/relationships/chart" Target="charts/chart4.xml"/><Relationship Id="rId32" Type="http://schemas.openxmlformats.org/officeDocument/2006/relationships/chart" Target="charts/chart12.xml"/><Relationship Id="rId37" Type="http://schemas.openxmlformats.org/officeDocument/2006/relationships/chart" Target="charts/chart17.xml"/><Relationship Id="rId40" Type="http://schemas.openxmlformats.org/officeDocument/2006/relationships/chart" Target="charts/chart20.xml"/><Relationship Id="rId45" Type="http://schemas.openxmlformats.org/officeDocument/2006/relationships/chart" Target="charts/chart25.xml"/><Relationship Id="rId53" Type="http://schemas.openxmlformats.org/officeDocument/2006/relationships/chart" Target="charts/chart33.xml"/><Relationship Id="rId58" Type="http://schemas.openxmlformats.org/officeDocument/2006/relationships/chart" Target="charts/chart38.xml"/><Relationship Id="rId66" Type="http://schemas.openxmlformats.org/officeDocument/2006/relationships/chart" Target="charts/chart46.xml"/><Relationship Id="rId74" Type="http://schemas.openxmlformats.org/officeDocument/2006/relationships/chart" Target="charts/chart54.xml"/><Relationship Id="rId79" Type="http://schemas.openxmlformats.org/officeDocument/2006/relationships/chart" Target="charts/chart59.xml"/><Relationship Id="rId87" Type="http://schemas.openxmlformats.org/officeDocument/2006/relationships/chart" Target="charts/chart67.xml"/><Relationship Id="rId102" Type="http://schemas.openxmlformats.org/officeDocument/2006/relationships/footer" Target="footer2.xml"/><Relationship Id="rId110" Type="http://schemas.openxmlformats.org/officeDocument/2006/relationships/hyperlink" Target="http://www.zdravnsk.ru" TargetMode="External"/><Relationship Id="rId5" Type="http://schemas.openxmlformats.org/officeDocument/2006/relationships/webSettings" Target="webSettings.xml"/><Relationship Id="rId61" Type="http://schemas.openxmlformats.org/officeDocument/2006/relationships/chart" Target="charts/chart41.xml"/><Relationship Id="rId82" Type="http://schemas.openxmlformats.org/officeDocument/2006/relationships/chart" Target="charts/chart62.xml"/><Relationship Id="rId90" Type="http://schemas.openxmlformats.org/officeDocument/2006/relationships/chart" Target="charts/chart70.xml"/><Relationship Id="rId95" Type="http://schemas.openxmlformats.org/officeDocument/2006/relationships/chart" Target="charts/chart75.xml"/><Relationship Id="rId19" Type="http://schemas.openxmlformats.org/officeDocument/2006/relationships/hyperlink" Target="http://tarif.nso.ru/page/60" TargetMode="External"/><Relationship Id="rId14" Type="http://schemas.openxmlformats.org/officeDocument/2006/relationships/hyperlink" Target="http://www.tarif.nso.ru/page/144" TargetMode="External"/><Relationship Id="rId22" Type="http://schemas.openxmlformats.org/officeDocument/2006/relationships/chart" Target="charts/chart2.xml"/><Relationship Id="rId27" Type="http://schemas.openxmlformats.org/officeDocument/2006/relationships/chart" Target="charts/chart7.xml"/><Relationship Id="rId30" Type="http://schemas.openxmlformats.org/officeDocument/2006/relationships/chart" Target="charts/chart10.xml"/><Relationship Id="rId35" Type="http://schemas.openxmlformats.org/officeDocument/2006/relationships/chart" Target="charts/chart15.xml"/><Relationship Id="rId43" Type="http://schemas.openxmlformats.org/officeDocument/2006/relationships/chart" Target="charts/chart23.xml"/><Relationship Id="rId48" Type="http://schemas.openxmlformats.org/officeDocument/2006/relationships/chart" Target="charts/chart28.xml"/><Relationship Id="rId56" Type="http://schemas.openxmlformats.org/officeDocument/2006/relationships/chart" Target="charts/chart36.xml"/><Relationship Id="rId64" Type="http://schemas.openxmlformats.org/officeDocument/2006/relationships/chart" Target="charts/chart44.xml"/><Relationship Id="rId69" Type="http://schemas.openxmlformats.org/officeDocument/2006/relationships/chart" Target="charts/chart49.xml"/><Relationship Id="rId77" Type="http://schemas.openxmlformats.org/officeDocument/2006/relationships/chart" Target="charts/chart57.xml"/><Relationship Id="rId100" Type="http://schemas.openxmlformats.org/officeDocument/2006/relationships/header" Target="header2.xml"/><Relationship Id="rId105" Type="http://schemas.openxmlformats.org/officeDocument/2006/relationships/chart" Target="charts/chart76.xml"/><Relationship Id="rId113"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chart" Target="charts/chart31.xml"/><Relationship Id="rId72" Type="http://schemas.openxmlformats.org/officeDocument/2006/relationships/chart" Target="charts/chart52.xml"/><Relationship Id="rId80" Type="http://schemas.openxmlformats.org/officeDocument/2006/relationships/chart" Target="charts/chart60.xml"/><Relationship Id="rId85" Type="http://schemas.openxmlformats.org/officeDocument/2006/relationships/chart" Target="charts/chart65.xml"/><Relationship Id="rId93" Type="http://schemas.openxmlformats.org/officeDocument/2006/relationships/chart" Target="charts/chart73.xml"/><Relationship Id="rId98" Type="http://schemas.openxmlformats.org/officeDocument/2006/relationships/header" Target="header1.xml"/><Relationship Id="rId3" Type="http://schemas.openxmlformats.org/officeDocument/2006/relationships/styles" Target="styles.xml"/><Relationship Id="rId12" Type="http://schemas.openxmlformats.org/officeDocument/2006/relationships/hyperlink" Target="http://tarif.nso.ru/page/60" TargetMode="External"/><Relationship Id="rId17" Type="http://schemas.openxmlformats.org/officeDocument/2006/relationships/hyperlink" Target="http://tarif.nso.ru/page/60" TargetMode="External"/><Relationship Id="rId25" Type="http://schemas.openxmlformats.org/officeDocument/2006/relationships/chart" Target="charts/chart5.xml"/><Relationship Id="rId33" Type="http://schemas.openxmlformats.org/officeDocument/2006/relationships/chart" Target="charts/chart13.xml"/><Relationship Id="rId38" Type="http://schemas.openxmlformats.org/officeDocument/2006/relationships/chart" Target="charts/chart18.xml"/><Relationship Id="rId46" Type="http://schemas.openxmlformats.org/officeDocument/2006/relationships/chart" Target="charts/chart26.xml"/><Relationship Id="rId59" Type="http://schemas.openxmlformats.org/officeDocument/2006/relationships/chart" Target="charts/chart39.xml"/><Relationship Id="rId67" Type="http://schemas.openxmlformats.org/officeDocument/2006/relationships/chart" Target="charts/chart47.xml"/><Relationship Id="rId103" Type="http://schemas.openxmlformats.org/officeDocument/2006/relationships/header" Target="header4.xml"/><Relationship Id="rId108" Type="http://schemas.openxmlformats.org/officeDocument/2006/relationships/hyperlink" Target="http://websib.ru/" TargetMode="External"/><Relationship Id="rId116" Type="http://schemas.microsoft.com/office/2011/relationships/people" Target="people.xml"/><Relationship Id="rId20" Type="http://schemas.openxmlformats.org/officeDocument/2006/relationships/hyperlink" Target="http://tarif.nso.ru/page/60" TargetMode="External"/><Relationship Id="rId41" Type="http://schemas.openxmlformats.org/officeDocument/2006/relationships/chart" Target="charts/chart21.xml"/><Relationship Id="rId54" Type="http://schemas.openxmlformats.org/officeDocument/2006/relationships/chart" Target="charts/chart34.xml"/><Relationship Id="rId62" Type="http://schemas.openxmlformats.org/officeDocument/2006/relationships/chart" Target="charts/chart42.xml"/><Relationship Id="rId70" Type="http://schemas.openxmlformats.org/officeDocument/2006/relationships/chart" Target="charts/chart50.xml"/><Relationship Id="rId75" Type="http://schemas.openxmlformats.org/officeDocument/2006/relationships/chart" Target="charts/chart55.xml"/><Relationship Id="rId83" Type="http://schemas.openxmlformats.org/officeDocument/2006/relationships/chart" Target="charts/chart63.xml"/><Relationship Id="rId88" Type="http://schemas.openxmlformats.org/officeDocument/2006/relationships/chart" Target="charts/chart68.xml"/><Relationship Id="rId91" Type="http://schemas.openxmlformats.org/officeDocument/2006/relationships/chart" Target="charts/chart71.xml"/><Relationship Id="rId96" Type="http://schemas.openxmlformats.org/officeDocument/2006/relationships/hyperlink" Target="http://fas.gov.ru/activity/tariffregulation/reestr-subektov-estestvennyix-monopolij.html" TargetMode="External"/><Relationship Id="rId111"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tarif.nso.ru/page/60" TargetMode="External"/><Relationship Id="rId23" Type="http://schemas.openxmlformats.org/officeDocument/2006/relationships/chart" Target="charts/chart3.xml"/><Relationship Id="rId28" Type="http://schemas.openxmlformats.org/officeDocument/2006/relationships/chart" Target="charts/chart8.xml"/><Relationship Id="rId36" Type="http://schemas.openxmlformats.org/officeDocument/2006/relationships/chart" Target="charts/chart16.xml"/><Relationship Id="rId49" Type="http://schemas.openxmlformats.org/officeDocument/2006/relationships/chart" Target="charts/chart29.xml"/><Relationship Id="rId57" Type="http://schemas.openxmlformats.org/officeDocument/2006/relationships/chart" Target="charts/chart37.xml"/><Relationship Id="rId106" Type="http://schemas.openxmlformats.org/officeDocument/2006/relationships/chart" Target="charts/chart77.xml"/><Relationship Id="rId114" Type="http://schemas.openxmlformats.org/officeDocument/2006/relationships/theme" Target="theme/theme1.xml"/><Relationship Id="rId10" Type="http://schemas.openxmlformats.org/officeDocument/2006/relationships/hyperlink" Target="http://fas.gov.ru/activity/tariffregulation/reestr-subektov-estestvennyix-monopolij.html" TargetMode="External"/><Relationship Id="rId31" Type="http://schemas.openxmlformats.org/officeDocument/2006/relationships/chart" Target="charts/chart11.xml"/><Relationship Id="rId44" Type="http://schemas.openxmlformats.org/officeDocument/2006/relationships/chart" Target="charts/chart24.xml"/><Relationship Id="rId52" Type="http://schemas.openxmlformats.org/officeDocument/2006/relationships/chart" Target="charts/chart32.xml"/><Relationship Id="rId60" Type="http://schemas.openxmlformats.org/officeDocument/2006/relationships/chart" Target="charts/chart40.xml"/><Relationship Id="rId65" Type="http://schemas.openxmlformats.org/officeDocument/2006/relationships/chart" Target="charts/chart45.xml"/><Relationship Id="rId73" Type="http://schemas.openxmlformats.org/officeDocument/2006/relationships/chart" Target="charts/chart53.xml"/><Relationship Id="rId78" Type="http://schemas.openxmlformats.org/officeDocument/2006/relationships/chart" Target="charts/chart58.xml"/><Relationship Id="rId81" Type="http://schemas.openxmlformats.org/officeDocument/2006/relationships/chart" Target="charts/chart61.xml"/><Relationship Id="rId86" Type="http://schemas.openxmlformats.org/officeDocument/2006/relationships/chart" Target="charts/chart66.xml"/><Relationship Id="rId94" Type="http://schemas.openxmlformats.org/officeDocument/2006/relationships/chart" Target="charts/chart74.xml"/><Relationship Id="rId99" Type="http://schemas.openxmlformats.org/officeDocument/2006/relationships/footer" Target="footer1.xml"/><Relationship Id="rId101"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www.tarif.nso.ru/page/144" TargetMode="External"/><Relationship Id="rId18" Type="http://schemas.openxmlformats.org/officeDocument/2006/relationships/hyperlink" Target="http://www.tarif.nso.ru/page/144" TargetMode="External"/><Relationship Id="rId39" Type="http://schemas.openxmlformats.org/officeDocument/2006/relationships/chart" Target="charts/chart19.xml"/><Relationship Id="rId109" Type="http://schemas.openxmlformats.org/officeDocument/2006/relationships/hyperlink" Target="http://websib.ru/" TargetMode="External"/><Relationship Id="rId34" Type="http://schemas.openxmlformats.org/officeDocument/2006/relationships/chart" Target="charts/chart14.xml"/><Relationship Id="rId50" Type="http://schemas.openxmlformats.org/officeDocument/2006/relationships/chart" Target="charts/chart30.xml"/><Relationship Id="rId55" Type="http://schemas.openxmlformats.org/officeDocument/2006/relationships/chart" Target="charts/chart35.xml"/><Relationship Id="rId76" Type="http://schemas.openxmlformats.org/officeDocument/2006/relationships/chart" Target="charts/chart56.xml"/><Relationship Id="rId97" Type="http://schemas.openxmlformats.org/officeDocument/2006/relationships/hyperlink" Target="http://www.fstrf.ru/about/activity/reestr" TargetMode="External"/><Relationship Id="rId104" Type="http://schemas.openxmlformats.org/officeDocument/2006/relationships/footer" Target="footer3.xml"/><Relationship Id="rId7" Type="http://schemas.openxmlformats.org/officeDocument/2006/relationships/endnotes" Target="endnotes.xml"/><Relationship Id="rId71" Type="http://schemas.openxmlformats.org/officeDocument/2006/relationships/chart" Target="charts/chart51.xml"/><Relationship Id="rId92" Type="http://schemas.openxmlformats.org/officeDocument/2006/relationships/chart" Target="charts/chart72.xml"/><Relationship Id="rId2" Type="http://schemas.openxmlformats.org/officeDocument/2006/relationships/numbering" Target="numbering.xml"/><Relationship Id="rId29" Type="http://schemas.openxmlformats.org/officeDocument/2006/relationships/chart" Target="charts/chart9.xml"/></Relationships>
</file>

<file path=word/charts/_rels/chart10.xml.rels><?xml version="1.0" encoding="UTF-8" standalone="yes"?>
<Relationships xmlns="http://schemas.openxmlformats.org/package/2006/relationships"><Relationship Id="rId2" Type="http://schemas.openxmlformats.org/officeDocument/2006/relationships/package" Target="../embeddings/_____Microsoft_Office_Excel6.xlsx"/><Relationship Id="rId1" Type="http://schemas.openxmlformats.org/officeDocument/2006/relationships/themeOverride" Target="../theme/themeOverride8.xml"/></Relationships>
</file>

<file path=word/charts/_rels/chart11.xml.rels><?xml version="1.0" encoding="UTF-8" standalone="yes"?>
<Relationships xmlns="http://schemas.openxmlformats.org/package/2006/relationships"><Relationship Id="rId2" Type="http://schemas.openxmlformats.org/officeDocument/2006/relationships/package" Target="../embeddings/_____Microsoft_Office_Excel7.xlsx"/><Relationship Id="rId1" Type="http://schemas.openxmlformats.org/officeDocument/2006/relationships/themeOverride" Target="../theme/themeOverride9.xml"/></Relationships>
</file>

<file path=word/charts/_rels/chart12.xml.rels><?xml version="1.0" encoding="UTF-8" standalone="yes"?>
<Relationships xmlns="http://schemas.openxmlformats.org/package/2006/relationships"><Relationship Id="rId1" Type="http://schemas.openxmlformats.org/officeDocument/2006/relationships/themeOverride" Target="../theme/themeOverride10.xml"/></Relationships>
</file>

<file path=word/charts/_rels/chart13.xml.rels><?xml version="1.0" encoding="UTF-8" standalone="yes"?>
<Relationships xmlns="http://schemas.openxmlformats.org/package/2006/relationships"><Relationship Id="rId2" Type="http://schemas.openxmlformats.org/officeDocument/2006/relationships/package" Target="../embeddings/_____Microsoft_Office_Excel8.xlsx"/><Relationship Id="rId1" Type="http://schemas.openxmlformats.org/officeDocument/2006/relationships/themeOverride" Target="../theme/themeOverride11.xml"/></Relationships>
</file>

<file path=word/charts/_rels/chart14.xml.rels><?xml version="1.0" encoding="UTF-8" standalone="yes"?>
<Relationships xmlns="http://schemas.openxmlformats.org/package/2006/relationships"><Relationship Id="rId1" Type="http://schemas.openxmlformats.org/officeDocument/2006/relationships/themeOverride" Target="../theme/themeOverride12.xml"/></Relationships>
</file>

<file path=word/charts/_rels/chart15.xml.rels><?xml version="1.0" encoding="UTF-8" standalone="yes"?>
<Relationships xmlns="http://schemas.openxmlformats.org/package/2006/relationships"><Relationship Id="rId2" Type="http://schemas.openxmlformats.org/officeDocument/2006/relationships/package" Target="../embeddings/_____Microsoft_Office_Excel9.xlsx"/><Relationship Id="rId1" Type="http://schemas.openxmlformats.org/officeDocument/2006/relationships/themeOverride" Target="../theme/themeOverride13.xml"/></Relationships>
</file>

<file path=word/charts/_rels/chart16.xml.rels><?xml version="1.0" encoding="UTF-8" standalone="yes"?>
<Relationships xmlns="http://schemas.openxmlformats.org/package/2006/relationships"><Relationship Id="rId1" Type="http://schemas.openxmlformats.org/officeDocument/2006/relationships/themeOverride" Target="../theme/themeOverride14.xml"/></Relationships>
</file>

<file path=word/charts/_rels/chart17.xml.rels><?xml version="1.0" encoding="UTF-8" standalone="yes"?>
<Relationships xmlns="http://schemas.openxmlformats.org/package/2006/relationships"><Relationship Id="rId2" Type="http://schemas.openxmlformats.org/officeDocument/2006/relationships/package" Target="../embeddings/_____Microsoft_Office_Excel10.xlsx"/><Relationship Id="rId1" Type="http://schemas.openxmlformats.org/officeDocument/2006/relationships/themeOverride" Target="../theme/themeOverride15.xml"/></Relationships>
</file>

<file path=word/charts/_rels/chart18.xml.rels><?xml version="1.0" encoding="UTF-8" standalone="yes"?>
<Relationships xmlns="http://schemas.openxmlformats.org/package/2006/relationships"><Relationship Id="rId2" Type="http://schemas.openxmlformats.org/officeDocument/2006/relationships/package" Target="../embeddings/_____Microsoft_Office_Excel11.xlsx"/><Relationship Id="rId1" Type="http://schemas.openxmlformats.org/officeDocument/2006/relationships/themeOverride" Target="../theme/themeOverride16.xml"/></Relationships>
</file>

<file path=word/charts/_rels/chart19.xml.rels><?xml version="1.0" encoding="UTF-8" standalone="yes"?>
<Relationships xmlns="http://schemas.openxmlformats.org/package/2006/relationships"><Relationship Id="rId1" Type="http://schemas.openxmlformats.org/officeDocument/2006/relationships/themeOverride" Target="../theme/themeOverride17.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Office_Excel1.xlsx"/><Relationship Id="rId1" Type="http://schemas.openxmlformats.org/officeDocument/2006/relationships/themeOverride" Target="../theme/themeOverride1.xml"/></Relationships>
</file>

<file path=word/charts/_rels/chart20.xml.rels><?xml version="1.0" encoding="UTF-8" standalone="yes"?>
<Relationships xmlns="http://schemas.openxmlformats.org/package/2006/relationships"><Relationship Id="rId2" Type="http://schemas.openxmlformats.org/officeDocument/2006/relationships/package" Target="../embeddings/_____Microsoft_Office_Excel12.xlsx"/><Relationship Id="rId1" Type="http://schemas.openxmlformats.org/officeDocument/2006/relationships/themeOverride" Target="../theme/themeOverride18.xml"/></Relationships>
</file>

<file path=word/charts/_rels/chart21.xml.rels><?xml version="1.0" encoding="UTF-8" standalone="yes"?>
<Relationships xmlns="http://schemas.openxmlformats.org/package/2006/relationships"><Relationship Id="rId2" Type="http://schemas.openxmlformats.org/officeDocument/2006/relationships/package" Target="../embeddings/_____Microsoft_Office_Excel13.xlsx"/><Relationship Id="rId1" Type="http://schemas.openxmlformats.org/officeDocument/2006/relationships/themeOverride" Target="../theme/themeOverride19.xml"/></Relationships>
</file>

<file path=word/charts/_rels/chart22.xml.rels><?xml version="1.0" encoding="UTF-8" standalone="yes"?>
<Relationships xmlns="http://schemas.openxmlformats.org/package/2006/relationships"><Relationship Id="rId1" Type="http://schemas.openxmlformats.org/officeDocument/2006/relationships/themeOverride" Target="../theme/themeOverride20.xml"/></Relationships>
</file>

<file path=word/charts/_rels/chart23.xml.rels><?xml version="1.0" encoding="UTF-8" standalone="yes"?>
<Relationships xmlns="http://schemas.openxmlformats.org/package/2006/relationships"><Relationship Id="rId2" Type="http://schemas.openxmlformats.org/officeDocument/2006/relationships/package" Target="../embeddings/_____Microsoft_Office_Excel14.xlsx"/><Relationship Id="rId1" Type="http://schemas.openxmlformats.org/officeDocument/2006/relationships/themeOverride" Target="../theme/themeOverride21.xml"/></Relationships>
</file>

<file path=word/charts/_rels/chart24.xml.rels><?xml version="1.0" encoding="UTF-8" standalone="yes"?>
<Relationships xmlns="http://schemas.openxmlformats.org/package/2006/relationships"><Relationship Id="rId2" Type="http://schemas.openxmlformats.org/officeDocument/2006/relationships/package" Target="../embeddings/_____Microsoft_Office_Excel15.xlsx"/><Relationship Id="rId1" Type="http://schemas.openxmlformats.org/officeDocument/2006/relationships/themeOverride" Target="../theme/themeOverride22.xml"/></Relationships>
</file>

<file path=word/charts/_rels/chart25.xml.rels><?xml version="1.0" encoding="UTF-8" standalone="yes"?>
<Relationships xmlns="http://schemas.openxmlformats.org/package/2006/relationships"><Relationship Id="rId1" Type="http://schemas.openxmlformats.org/officeDocument/2006/relationships/themeOverride" Target="../theme/themeOverride23.xml"/></Relationships>
</file>

<file path=word/charts/_rels/chart26.xml.rels><?xml version="1.0" encoding="UTF-8" standalone="yes"?>
<Relationships xmlns="http://schemas.openxmlformats.org/package/2006/relationships"><Relationship Id="rId2" Type="http://schemas.openxmlformats.org/officeDocument/2006/relationships/package" Target="../embeddings/_____Microsoft_Office_Excel16.xlsx"/><Relationship Id="rId1" Type="http://schemas.openxmlformats.org/officeDocument/2006/relationships/themeOverride" Target="../theme/themeOverride24.xml"/></Relationships>
</file>

<file path=word/charts/_rels/chart27.xml.rels><?xml version="1.0" encoding="UTF-8" standalone="yes"?>
<Relationships xmlns="http://schemas.openxmlformats.org/package/2006/relationships"><Relationship Id="rId1" Type="http://schemas.openxmlformats.org/officeDocument/2006/relationships/themeOverride" Target="../theme/themeOverride25.xml"/></Relationships>
</file>

<file path=word/charts/_rels/chart28.xml.rels><?xml version="1.0" encoding="UTF-8" standalone="yes"?>
<Relationships xmlns="http://schemas.openxmlformats.org/package/2006/relationships"><Relationship Id="rId2" Type="http://schemas.openxmlformats.org/officeDocument/2006/relationships/package" Target="../embeddings/_____Microsoft_Office_Excel17.xlsx"/><Relationship Id="rId1" Type="http://schemas.openxmlformats.org/officeDocument/2006/relationships/themeOverride" Target="../theme/themeOverride26.xml"/></Relationships>
</file>

<file path=word/charts/_rels/chart29.xml.rels><?xml version="1.0" encoding="UTF-8" standalone="yes"?>
<Relationships xmlns="http://schemas.openxmlformats.org/package/2006/relationships"><Relationship Id="rId1" Type="http://schemas.openxmlformats.org/officeDocument/2006/relationships/themeOverride" Target="../theme/themeOverride27.xml"/></Relationships>
</file>

<file path=word/charts/_rels/chart3.xml.rels><?xml version="1.0" encoding="UTF-8" standalone="yes"?>
<Relationships xmlns="http://schemas.openxmlformats.org/package/2006/relationships"><Relationship Id="rId1" Type="http://schemas.openxmlformats.org/officeDocument/2006/relationships/themeOverride" Target="../theme/themeOverride2.xml"/></Relationships>
</file>

<file path=word/charts/_rels/chart30.xml.rels><?xml version="1.0" encoding="UTF-8" standalone="yes"?>
<Relationships xmlns="http://schemas.openxmlformats.org/package/2006/relationships"><Relationship Id="rId2" Type="http://schemas.openxmlformats.org/officeDocument/2006/relationships/package" Target="../embeddings/_____Microsoft_Office_Excel18.xlsx"/><Relationship Id="rId1" Type="http://schemas.openxmlformats.org/officeDocument/2006/relationships/themeOverride" Target="../theme/themeOverride28.xml"/></Relationships>
</file>

<file path=word/charts/_rels/chart31.xml.rels><?xml version="1.0" encoding="UTF-8" standalone="yes"?>
<Relationships xmlns="http://schemas.openxmlformats.org/package/2006/relationships"><Relationship Id="rId2" Type="http://schemas.openxmlformats.org/officeDocument/2006/relationships/package" Target="../embeddings/_____Microsoft_Office_Excel19.xlsx"/><Relationship Id="rId1" Type="http://schemas.openxmlformats.org/officeDocument/2006/relationships/themeOverride" Target="../theme/themeOverride29.xml"/></Relationships>
</file>

<file path=word/charts/_rels/chart32.xml.rels><?xml version="1.0" encoding="UTF-8" standalone="yes"?>
<Relationships xmlns="http://schemas.openxmlformats.org/package/2006/relationships"><Relationship Id="rId2" Type="http://schemas.openxmlformats.org/officeDocument/2006/relationships/package" Target="../embeddings/_____Microsoft_Office_Excel20.xlsx"/><Relationship Id="rId1" Type="http://schemas.openxmlformats.org/officeDocument/2006/relationships/themeOverride" Target="../theme/themeOverride30.xml"/></Relationships>
</file>

<file path=word/charts/_rels/chart33.xml.rels><?xml version="1.0" encoding="UTF-8" standalone="yes"?>
<Relationships xmlns="http://schemas.openxmlformats.org/package/2006/relationships"><Relationship Id="rId2" Type="http://schemas.openxmlformats.org/officeDocument/2006/relationships/package" Target="../embeddings/_____Microsoft_Office_Excel21.xlsx"/><Relationship Id="rId1" Type="http://schemas.openxmlformats.org/officeDocument/2006/relationships/themeOverride" Target="../theme/themeOverride31.xml"/></Relationships>
</file>

<file path=word/charts/_rels/chart34.xml.rels><?xml version="1.0" encoding="UTF-8" standalone="yes"?>
<Relationships xmlns="http://schemas.openxmlformats.org/package/2006/relationships"><Relationship Id="rId2" Type="http://schemas.openxmlformats.org/officeDocument/2006/relationships/package" Target="../embeddings/_____Microsoft_Office_Excel22.xlsx"/><Relationship Id="rId1" Type="http://schemas.openxmlformats.org/officeDocument/2006/relationships/themeOverride" Target="../theme/themeOverride32.xml"/></Relationships>
</file>

<file path=word/charts/_rels/chart35.xml.rels><?xml version="1.0" encoding="UTF-8" standalone="yes"?>
<Relationships xmlns="http://schemas.openxmlformats.org/package/2006/relationships"><Relationship Id="rId1" Type="http://schemas.openxmlformats.org/officeDocument/2006/relationships/themeOverride" Target="../theme/themeOverride33.xml"/></Relationships>
</file>

<file path=word/charts/_rels/chart36.xml.rels><?xml version="1.0" encoding="UTF-8" standalone="yes"?>
<Relationships xmlns="http://schemas.openxmlformats.org/package/2006/relationships"><Relationship Id="rId2" Type="http://schemas.openxmlformats.org/officeDocument/2006/relationships/package" Target="../embeddings/_____Microsoft_Office_Excel23.xlsx"/><Relationship Id="rId1" Type="http://schemas.openxmlformats.org/officeDocument/2006/relationships/themeOverride" Target="../theme/themeOverride34.xml"/></Relationships>
</file>

<file path=word/charts/_rels/chart37.xml.rels><?xml version="1.0" encoding="UTF-8" standalone="yes"?>
<Relationships xmlns="http://schemas.openxmlformats.org/package/2006/relationships"><Relationship Id="rId2" Type="http://schemas.openxmlformats.org/officeDocument/2006/relationships/package" Target="../embeddings/_____Microsoft_Office_Excel24.xlsx"/><Relationship Id="rId1" Type="http://schemas.openxmlformats.org/officeDocument/2006/relationships/themeOverride" Target="../theme/themeOverride35.xml"/></Relationships>
</file>

<file path=word/charts/_rels/chart38.xml.rels><?xml version="1.0" encoding="UTF-8" standalone="yes"?>
<Relationships xmlns="http://schemas.openxmlformats.org/package/2006/relationships"><Relationship Id="rId1" Type="http://schemas.openxmlformats.org/officeDocument/2006/relationships/themeOverride" Target="../theme/themeOverride36.xml"/></Relationships>
</file>

<file path=word/charts/_rels/chart39.xml.rels><?xml version="1.0" encoding="UTF-8" standalone="yes"?>
<Relationships xmlns="http://schemas.openxmlformats.org/package/2006/relationships"><Relationship Id="rId2" Type="http://schemas.openxmlformats.org/officeDocument/2006/relationships/package" Target="../embeddings/_____Microsoft_Office_Excel25.xlsx"/><Relationship Id="rId1" Type="http://schemas.openxmlformats.org/officeDocument/2006/relationships/themeOverride" Target="../theme/themeOverride37.xml"/></Relationships>
</file>

<file path=word/charts/_rels/chart4.xml.rels><?xml version="1.0" encoding="UTF-8" standalone="yes"?>
<Relationships xmlns="http://schemas.openxmlformats.org/package/2006/relationships"><Relationship Id="rId2" Type="http://schemas.openxmlformats.org/officeDocument/2006/relationships/package" Target="../embeddings/_____Microsoft_Office_Excel2.xlsx"/><Relationship Id="rId1" Type="http://schemas.openxmlformats.org/officeDocument/2006/relationships/themeOverride" Target="../theme/themeOverride3.xml"/></Relationships>
</file>

<file path=word/charts/_rels/chart40.xml.rels><?xml version="1.0" encoding="UTF-8" standalone="yes"?>
<Relationships xmlns="http://schemas.openxmlformats.org/package/2006/relationships"><Relationship Id="rId1" Type="http://schemas.openxmlformats.org/officeDocument/2006/relationships/themeOverride" Target="../theme/themeOverride38.xml"/></Relationships>
</file>

<file path=word/charts/_rels/chart41.xml.rels><?xml version="1.0" encoding="UTF-8" standalone="yes"?>
<Relationships xmlns="http://schemas.openxmlformats.org/package/2006/relationships"><Relationship Id="rId2" Type="http://schemas.openxmlformats.org/officeDocument/2006/relationships/package" Target="../embeddings/_____Microsoft_Office_Excel26.xlsx"/><Relationship Id="rId1" Type="http://schemas.openxmlformats.org/officeDocument/2006/relationships/themeOverride" Target="../theme/themeOverride39.xml"/></Relationships>
</file>

<file path=word/charts/_rels/chart42.xml.rels><?xml version="1.0" encoding="UTF-8" standalone="yes"?>
<Relationships xmlns="http://schemas.openxmlformats.org/package/2006/relationships"><Relationship Id="rId1" Type="http://schemas.openxmlformats.org/officeDocument/2006/relationships/themeOverride" Target="../theme/themeOverride40.xml"/></Relationships>
</file>

<file path=word/charts/_rels/chart43.xml.rels><?xml version="1.0" encoding="UTF-8" standalone="yes"?>
<Relationships xmlns="http://schemas.openxmlformats.org/package/2006/relationships"><Relationship Id="rId2" Type="http://schemas.openxmlformats.org/officeDocument/2006/relationships/package" Target="../embeddings/_____Microsoft_Office_Excel27.xlsx"/><Relationship Id="rId1" Type="http://schemas.openxmlformats.org/officeDocument/2006/relationships/themeOverride" Target="../theme/themeOverride41.xml"/></Relationships>
</file>

<file path=word/charts/_rels/chart44.xml.rels><?xml version="1.0" encoding="UTF-8" standalone="yes"?>
<Relationships xmlns="http://schemas.openxmlformats.org/package/2006/relationships"><Relationship Id="rId2" Type="http://schemas.openxmlformats.org/officeDocument/2006/relationships/package" Target="../embeddings/_____Microsoft_Office_Excel28.xlsx"/><Relationship Id="rId1" Type="http://schemas.openxmlformats.org/officeDocument/2006/relationships/themeOverride" Target="../theme/themeOverride42.xml"/></Relationships>
</file>

<file path=word/charts/_rels/chart45.xml.rels><?xml version="1.0" encoding="UTF-8" standalone="yes"?>
<Relationships xmlns="http://schemas.openxmlformats.org/package/2006/relationships"><Relationship Id="rId1" Type="http://schemas.openxmlformats.org/officeDocument/2006/relationships/themeOverride" Target="../theme/themeOverride43.xml"/></Relationships>
</file>

<file path=word/charts/_rels/chart46.xml.rels><?xml version="1.0" encoding="UTF-8" standalone="yes"?>
<Relationships xmlns="http://schemas.openxmlformats.org/package/2006/relationships"><Relationship Id="rId2" Type="http://schemas.openxmlformats.org/officeDocument/2006/relationships/package" Target="../embeddings/_____Microsoft_Office_Excel29.xlsx"/><Relationship Id="rId1" Type="http://schemas.openxmlformats.org/officeDocument/2006/relationships/themeOverride" Target="../theme/themeOverride44.xml"/></Relationships>
</file>

<file path=word/charts/_rels/chart47.xml.rels><?xml version="1.0" encoding="UTF-8" standalone="yes"?>
<Relationships xmlns="http://schemas.openxmlformats.org/package/2006/relationships"><Relationship Id="rId2" Type="http://schemas.openxmlformats.org/officeDocument/2006/relationships/package" Target="../embeddings/_____Microsoft_Office_Excel30.xlsx"/><Relationship Id="rId1" Type="http://schemas.openxmlformats.org/officeDocument/2006/relationships/themeOverride" Target="../theme/themeOverride45.xml"/></Relationships>
</file>

<file path=word/charts/_rels/chart48.xml.rels><?xml version="1.0" encoding="UTF-8" standalone="yes"?>
<Relationships xmlns="http://schemas.openxmlformats.org/package/2006/relationships"><Relationship Id="rId1" Type="http://schemas.openxmlformats.org/officeDocument/2006/relationships/themeOverride" Target="../theme/themeOverride46.xml"/></Relationships>
</file>

<file path=word/charts/_rels/chart49.xml.rels><?xml version="1.0" encoding="UTF-8" standalone="yes"?>
<Relationships xmlns="http://schemas.openxmlformats.org/package/2006/relationships"><Relationship Id="rId2" Type="http://schemas.openxmlformats.org/officeDocument/2006/relationships/package" Target="../embeddings/_____Microsoft_Office_Excel31.xlsx"/><Relationship Id="rId1" Type="http://schemas.openxmlformats.org/officeDocument/2006/relationships/themeOverride" Target="../theme/themeOverride47.xml"/></Relationships>
</file>

<file path=word/charts/_rels/chart5.xml.rels><?xml version="1.0" encoding="UTF-8" standalone="yes"?>
<Relationships xmlns="http://schemas.openxmlformats.org/package/2006/relationships"><Relationship Id="rId2" Type="http://schemas.openxmlformats.org/officeDocument/2006/relationships/package" Target="../embeddings/_____Microsoft_Office_Excel3.xlsx"/><Relationship Id="rId1" Type="http://schemas.openxmlformats.org/officeDocument/2006/relationships/themeOverride" Target="../theme/themeOverride4.xml"/></Relationships>
</file>

<file path=word/charts/_rels/chart50.xml.rels><?xml version="1.0" encoding="UTF-8" standalone="yes"?>
<Relationships xmlns="http://schemas.openxmlformats.org/package/2006/relationships"><Relationship Id="rId2" Type="http://schemas.openxmlformats.org/officeDocument/2006/relationships/package" Target="../embeddings/_____Microsoft_Office_Excel32.xlsx"/><Relationship Id="rId1" Type="http://schemas.openxmlformats.org/officeDocument/2006/relationships/themeOverride" Target="../theme/themeOverride48.xml"/></Relationships>
</file>

<file path=word/charts/_rels/chart51.xml.rels><?xml version="1.0" encoding="UTF-8" standalone="yes"?>
<Relationships xmlns="http://schemas.openxmlformats.org/package/2006/relationships"><Relationship Id="rId1" Type="http://schemas.openxmlformats.org/officeDocument/2006/relationships/themeOverride" Target="../theme/themeOverride49.xml"/></Relationships>
</file>

<file path=word/charts/_rels/chart52.xml.rels><?xml version="1.0" encoding="UTF-8" standalone="yes"?>
<Relationships xmlns="http://schemas.openxmlformats.org/package/2006/relationships"><Relationship Id="rId2" Type="http://schemas.openxmlformats.org/officeDocument/2006/relationships/package" Target="../embeddings/_____Microsoft_Office_Excel33.xlsx"/><Relationship Id="rId1" Type="http://schemas.openxmlformats.org/officeDocument/2006/relationships/themeOverride" Target="../theme/themeOverride50.xml"/></Relationships>
</file>

<file path=word/charts/_rels/chart53.xml.rels><?xml version="1.0" encoding="UTF-8" standalone="yes"?>
<Relationships xmlns="http://schemas.openxmlformats.org/package/2006/relationships"><Relationship Id="rId1" Type="http://schemas.openxmlformats.org/officeDocument/2006/relationships/themeOverride" Target="../theme/themeOverride51.xml"/></Relationships>
</file>

<file path=word/charts/_rels/chart54.xml.rels><?xml version="1.0" encoding="UTF-8" standalone="yes"?>
<Relationships xmlns="http://schemas.openxmlformats.org/package/2006/relationships"><Relationship Id="rId2" Type="http://schemas.openxmlformats.org/officeDocument/2006/relationships/package" Target="../embeddings/_____Microsoft_Office_Excel34.xlsx"/><Relationship Id="rId1" Type="http://schemas.openxmlformats.org/officeDocument/2006/relationships/themeOverride" Target="../theme/themeOverride52.xml"/></Relationships>
</file>

<file path=word/charts/_rels/chart55.xml.rels><?xml version="1.0" encoding="UTF-8" standalone="yes"?>
<Relationships xmlns="http://schemas.openxmlformats.org/package/2006/relationships"><Relationship Id="rId1" Type="http://schemas.openxmlformats.org/officeDocument/2006/relationships/themeOverride" Target="../theme/themeOverride53.xml"/></Relationships>
</file>

<file path=word/charts/_rels/chart56.xml.rels><?xml version="1.0" encoding="UTF-8" standalone="yes"?>
<Relationships xmlns="http://schemas.openxmlformats.org/package/2006/relationships"><Relationship Id="rId2" Type="http://schemas.openxmlformats.org/officeDocument/2006/relationships/package" Target="../embeddings/_____Microsoft_Office_Excel35.xlsx"/><Relationship Id="rId1" Type="http://schemas.openxmlformats.org/officeDocument/2006/relationships/themeOverride" Target="../theme/themeOverride54.xml"/></Relationships>
</file>

<file path=word/charts/_rels/chart57.xml.rels><?xml version="1.0" encoding="UTF-8" standalone="yes"?>
<Relationships xmlns="http://schemas.openxmlformats.org/package/2006/relationships"><Relationship Id="rId2" Type="http://schemas.openxmlformats.org/officeDocument/2006/relationships/package" Target="../embeddings/_____Microsoft_Office_Excel36.xlsx"/><Relationship Id="rId1" Type="http://schemas.openxmlformats.org/officeDocument/2006/relationships/themeOverride" Target="../theme/themeOverride55.xml"/></Relationships>
</file>

<file path=word/charts/_rels/chart58.xml.rels><?xml version="1.0" encoding="UTF-8" standalone="yes"?>
<Relationships xmlns="http://schemas.openxmlformats.org/package/2006/relationships"><Relationship Id="rId1" Type="http://schemas.openxmlformats.org/officeDocument/2006/relationships/themeOverride" Target="../theme/themeOverride56.xml"/></Relationships>
</file>

<file path=word/charts/_rels/chart59.xml.rels><?xml version="1.0" encoding="UTF-8" standalone="yes"?>
<Relationships xmlns="http://schemas.openxmlformats.org/package/2006/relationships"><Relationship Id="rId2" Type="http://schemas.openxmlformats.org/officeDocument/2006/relationships/package" Target="../embeddings/_____Microsoft_Office_Excel37.xlsx"/><Relationship Id="rId1" Type="http://schemas.openxmlformats.org/officeDocument/2006/relationships/themeOverride" Target="../theme/themeOverride57.xml"/></Relationships>
</file>

<file path=word/charts/_rels/chart6.xml.rels><?xml version="1.0" encoding="UTF-8" standalone="yes"?>
<Relationships xmlns="http://schemas.openxmlformats.org/package/2006/relationships"><Relationship Id="rId1" Type="http://schemas.openxmlformats.org/officeDocument/2006/relationships/themeOverride" Target="../theme/themeOverride5.xml"/></Relationships>
</file>

<file path=word/charts/_rels/chart60.xml.rels><?xml version="1.0" encoding="UTF-8" standalone="yes"?>
<Relationships xmlns="http://schemas.openxmlformats.org/package/2006/relationships"><Relationship Id="rId2" Type="http://schemas.openxmlformats.org/officeDocument/2006/relationships/package" Target="../embeddings/_____Microsoft_Office_Excel38.xlsx"/><Relationship Id="rId1" Type="http://schemas.openxmlformats.org/officeDocument/2006/relationships/themeOverride" Target="../theme/themeOverride58.xml"/></Relationships>
</file>

<file path=word/charts/_rels/chart61.xml.rels><?xml version="1.0" encoding="UTF-8" standalone="yes"?>
<Relationships xmlns="http://schemas.openxmlformats.org/package/2006/relationships"><Relationship Id="rId1" Type="http://schemas.openxmlformats.org/officeDocument/2006/relationships/themeOverride" Target="../theme/themeOverride59.xml"/></Relationships>
</file>

<file path=word/charts/_rels/chart62.xml.rels><?xml version="1.0" encoding="UTF-8" standalone="yes"?>
<Relationships xmlns="http://schemas.openxmlformats.org/package/2006/relationships"><Relationship Id="rId2" Type="http://schemas.openxmlformats.org/officeDocument/2006/relationships/package" Target="../embeddings/_____Microsoft_Office_Excel39.xlsx"/><Relationship Id="rId1" Type="http://schemas.openxmlformats.org/officeDocument/2006/relationships/themeOverride" Target="../theme/themeOverride60.xml"/></Relationships>
</file>

<file path=word/charts/_rels/chart63.xml.rels><?xml version="1.0" encoding="UTF-8" standalone="yes"?>
<Relationships xmlns="http://schemas.openxmlformats.org/package/2006/relationships"><Relationship Id="rId2" Type="http://schemas.openxmlformats.org/officeDocument/2006/relationships/package" Target="../embeddings/_____Microsoft_Office_Excel40.xlsx"/><Relationship Id="rId1" Type="http://schemas.openxmlformats.org/officeDocument/2006/relationships/themeOverride" Target="../theme/themeOverride61.xml"/></Relationships>
</file>

<file path=word/charts/_rels/chart64.xml.rels><?xml version="1.0" encoding="UTF-8" standalone="yes"?>
<Relationships xmlns="http://schemas.openxmlformats.org/package/2006/relationships"><Relationship Id="rId1" Type="http://schemas.openxmlformats.org/officeDocument/2006/relationships/themeOverride" Target="../theme/themeOverride62.xml"/></Relationships>
</file>

<file path=word/charts/_rels/chart65.xml.rels><?xml version="1.0" encoding="UTF-8" standalone="yes"?>
<Relationships xmlns="http://schemas.openxmlformats.org/package/2006/relationships"><Relationship Id="rId2" Type="http://schemas.openxmlformats.org/officeDocument/2006/relationships/package" Target="../embeddings/_____Microsoft_Office_Excel41.xlsx"/><Relationship Id="rId1" Type="http://schemas.openxmlformats.org/officeDocument/2006/relationships/themeOverride" Target="../theme/themeOverride63.xml"/></Relationships>
</file>

<file path=word/charts/_rels/chart66.xml.rels><?xml version="1.0" encoding="UTF-8" standalone="yes"?>
<Relationships xmlns="http://schemas.openxmlformats.org/package/2006/relationships"><Relationship Id="rId1" Type="http://schemas.openxmlformats.org/officeDocument/2006/relationships/package" Target="../embeddings/_____Microsoft_Office_Excel42.xlsx"/></Relationships>
</file>

<file path=word/charts/_rels/chart67.xml.rels><?xml version="1.0" encoding="UTF-8" standalone="yes"?>
<Relationships xmlns="http://schemas.openxmlformats.org/package/2006/relationships"><Relationship Id="rId1" Type="http://schemas.openxmlformats.org/officeDocument/2006/relationships/package" Target="../embeddings/_____Microsoft_Office_Excel43.xlsx"/></Relationships>
</file>

<file path=word/charts/_rels/chart68.xml.rels><?xml version="1.0" encoding="UTF-8" standalone="yes"?>
<Relationships xmlns="http://schemas.openxmlformats.org/package/2006/relationships"><Relationship Id="rId1" Type="http://schemas.openxmlformats.org/officeDocument/2006/relationships/package" Target="../embeddings/_____Microsoft_Office_Excel44.xlsx"/></Relationships>
</file>

<file path=word/charts/_rels/chart69.xml.rels><?xml version="1.0" encoding="UTF-8" standalone="yes"?>
<Relationships xmlns="http://schemas.openxmlformats.org/package/2006/relationships"><Relationship Id="rId1" Type="http://schemas.openxmlformats.org/officeDocument/2006/relationships/package" Target="../embeddings/_____Microsoft_Office_Excel45.xlsx"/></Relationships>
</file>

<file path=word/charts/_rels/chart7.xml.rels><?xml version="1.0" encoding="UTF-8" standalone="yes"?>
<Relationships xmlns="http://schemas.openxmlformats.org/package/2006/relationships"><Relationship Id="rId1" Type="http://schemas.openxmlformats.org/officeDocument/2006/relationships/package" Target="../embeddings/_____Microsoft_Office_Excel4.xlsx"/></Relationships>
</file>

<file path=word/charts/_rels/chart70.xml.rels><?xml version="1.0" encoding="UTF-8" standalone="yes"?>
<Relationships xmlns="http://schemas.openxmlformats.org/package/2006/relationships"><Relationship Id="rId1" Type="http://schemas.openxmlformats.org/officeDocument/2006/relationships/package" Target="../embeddings/_____Microsoft_Office_Excel46.xlsx"/></Relationships>
</file>

<file path=word/charts/_rels/chart72.xml.rels><?xml version="1.0" encoding="UTF-8" standalone="yes"?>
<Relationships xmlns="http://schemas.openxmlformats.org/package/2006/relationships"><Relationship Id="rId1" Type="http://schemas.openxmlformats.org/officeDocument/2006/relationships/package" Target="../embeddings/_____Microsoft_Office_Excel47.xlsx"/></Relationships>
</file>

<file path=word/charts/_rels/chart73.xml.rels><?xml version="1.0" encoding="UTF-8" standalone="yes"?>
<Relationships xmlns="http://schemas.openxmlformats.org/package/2006/relationships"><Relationship Id="rId1" Type="http://schemas.openxmlformats.org/officeDocument/2006/relationships/package" Target="../embeddings/_____Microsoft_Office_Excel48.xlsx"/></Relationships>
</file>

<file path=word/charts/_rels/chart74.xml.rels><?xml version="1.0" encoding="UTF-8" standalone="yes"?>
<Relationships xmlns="http://schemas.openxmlformats.org/package/2006/relationships"><Relationship Id="rId1" Type="http://schemas.openxmlformats.org/officeDocument/2006/relationships/package" Target="../embeddings/_____Microsoft_Office_Excel49.xlsx"/></Relationships>
</file>

<file path=word/charts/_rels/chart75.xml.rels><?xml version="1.0" encoding="UTF-8" standalone="yes"?>
<Relationships xmlns="http://schemas.openxmlformats.org/package/2006/relationships"><Relationship Id="rId1" Type="http://schemas.openxmlformats.org/officeDocument/2006/relationships/package" Target="../embeddings/_____Microsoft_Office_Excel50.xlsx"/></Relationships>
</file>

<file path=word/charts/_rels/chart76.xml.rels><?xml version="1.0" encoding="UTF-8" standalone="yes"?>
<Relationships xmlns="http://schemas.openxmlformats.org/package/2006/relationships"><Relationship Id="rId2" Type="http://schemas.openxmlformats.org/officeDocument/2006/relationships/package" Target="../embeddings/_____Microsoft_Office_Excel51.xlsx"/><Relationship Id="rId1" Type="http://schemas.openxmlformats.org/officeDocument/2006/relationships/themeOverride" Target="../theme/themeOverride64.xml"/></Relationships>
</file>

<file path=word/charts/_rels/chart77.xml.rels><?xml version="1.0" encoding="UTF-8" standalone="yes"?>
<Relationships xmlns="http://schemas.openxmlformats.org/package/2006/relationships"><Relationship Id="rId2" Type="http://schemas.openxmlformats.org/officeDocument/2006/relationships/package" Target="../embeddings/_____Microsoft_Office_Excel52.xlsx"/><Relationship Id="rId1" Type="http://schemas.openxmlformats.org/officeDocument/2006/relationships/themeOverride" Target="../theme/themeOverride65.xml"/></Relationships>
</file>

<file path=word/charts/_rels/chart8.xml.rels><?xml version="1.0" encoding="UTF-8" standalone="yes"?>
<Relationships xmlns="http://schemas.openxmlformats.org/package/2006/relationships"><Relationship Id="rId2" Type="http://schemas.openxmlformats.org/officeDocument/2006/relationships/package" Target="../embeddings/_____Microsoft_Office_Excel5.xlsx"/><Relationship Id="rId1" Type="http://schemas.openxmlformats.org/officeDocument/2006/relationships/themeOverride" Target="../theme/themeOverride6.xml"/></Relationships>
</file>

<file path=word/charts/_rels/chart9.xml.rels><?xml version="1.0" encoding="UTF-8" standalone="yes"?>
<Relationships xmlns="http://schemas.openxmlformats.org/package/2006/relationships"><Relationship Id="rId1" Type="http://schemas.openxmlformats.org/officeDocument/2006/relationships/themeOverride" Target="../theme/themeOverride7.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style val="6"/>
  <c:chart>
    <c:plotArea>
      <c:layout>
        <c:manualLayout>
          <c:layoutTarget val="inner"/>
          <c:xMode val="edge"/>
          <c:yMode val="edge"/>
          <c:x val="0.27650257804892092"/>
          <c:y val="0.20579094958407299"/>
          <c:w val="0.68250275481088551"/>
          <c:h val="0.78899689656058236"/>
        </c:manualLayout>
      </c:layout>
      <c:barChart>
        <c:barDir val="bar"/>
        <c:grouping val="stacked"/>
        <c:ser>
          <c:idx val="0"/>
          <c:order val="0"/>
          <c:tx>
            <c:strRef>
              <c:f>Лист1!$B$1</c:f>
              <c:strCache>
                <c:ptCount val="1"/>
                <c:pt idx="0">
                  <c:v>Удовлетворительно</c:v>
                </c:pt>
              </c:strCache>
            </c:strRef>
          </c:tx>
          <c:spPr>
            <a:solidFill>
              <a:schemeClr val="accent2">
                <a:lumMod val="40000"/>
                <a:lumOff val="60000"/>
              </a:schemeClr>
            </a:solidFill>
          </c:spPr>
          <c:dLbls>
            <c:spPr>
              <a:noFill/>
              <a:ln>
                <a:no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Водоснабжение, водоотведение</c:v>
                </c:pt>
                <c:pt idx="1">
                  <c:v>Электроснабжение</c:v>
                </c:pt>
                <c:pt idx="2">
                  <c:v>Теплоснабжение</c:v>
                </c:pt>
                <c:pt idx="3">
                  <c:v>Газоснабжение</c:v>
                </c:pt>
              </c:strCache>
            </c:strRef>
          </c:cat>
          <c:val>
            <c:numRef>
              <c:f>Лист1!$B$2:$B$5</c:f>
              <c:numCache>
                <c:formatCode>0.0%</c:formatCode>
                <c:ptCount val="4"/>
                <c:pt idx="0">
                  <c:v>0.38700000000000373</c:v>
                </c:pt>
                <c:pt idx="1">
                  <c:v>0.34500000000000097</c:v>
                </c:pt>
                <c:pt idx="2">
                  <c:v>0.33400000000000435</c:v>
                </c:pt>
                <c:pt idx="3">
                  <c:v>0.29500000000000032</c:v>
                </c:pt>
              </c:numCache>
            </c:numRef>
          </c:val>
          <c:extLst xmlns:c16r2="http://schemas.microsoft.com/office/drawing/2015/06/chart">
            <c:ext xmlns:c16="http://schemas.microsoft.com/office/drawing/2014/chart" uri="{C3380CC4-5D6E-409C-BE32-E72D297353CC}">
              <c16:uniqueId val="{00000000-52AF-4BE2-A562-C046664B4694}"/>
            </c:ext>
          </c:extLst>
        </c:ser>
        <c:ser>
          <c:idx val="1"/>
          <c:order val="1"/>
          <c:tx>
            <c:strRef>
              <c:f>Лист1!$C$1</c:f>
              <c:strCache>
                <c:ptCount val="1"/>
                <c:pt idx="0">
                  <c:v>Неудовлетворительно</c:v>
                </c:pt>
              </c:strCache>
            </c:strRef>
          </c:tx>
          <c:spPr>
            <a:solidFill>
              <a:srgbClr val="B28AB2"/>
            </a:solidFill>
            <a:ln>
              <a:noFill/>
            </a:ln>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Водоснабжение, водоотведение</c:v>
                </c:pt>
                <c:pt idx="1">
                  <c:v>Электроснабжение</c:v>
                </c:pt>
                <c:pt idx="2">
                  <c:v>Теплоснабжение</c:v>
                </c:pt>
                <c:pt idx="3">
                  <c:v>Газоснабжение</c:v>
                </c:pt>
              </c:strCache>
            </c:strRef>
          </c:cat>
          <c:val>
            <c:numRef>
              <c:f>Лист1!$C$2:$C$5</c:f>
              <c:numCache>
                <c:formatCode>0.0%</c:formatCode>
                <c:ptCount val="4"/>
                <c:pt idx="0">
                  <c:v>0.37500000000000333</c:v>
                </c:pt>
                <c:pt idx="1">
                  <c:v>0.43600000000000333</c:v>
                </c:pt>
                <c:pt idx="2">
                  <c:v>0.40800000000000008</c:v>
                </c:pt>
                <c:pt idx="3">
                  <c:v>0.34200000000000108</c:v>
                </c:pt>
              </c:numCache>
            </c:numRef>
          </c:val>
          <c:extLst xmlns:c16r2="http://schemas.microsoft.com/office/drawing/2015/06/chart">
            <c:ext xmlns:c16="http://schemas.microsoft.com/office/drawing/2014/chart" uri="{C3380CC4-5D6E-409C-BE32-E72D297353CC}">
              <c16:uniqueId val="{00000001-52AF-4BE2-A562-C046664B4694}"/>
            </c:ext>
          </c:extLst>
        </c:ser>
        <c:ser>
          <c:idx val="2"/>
          <c:order val="2"/>
          <c:tx>
            <c:strRef>
              <c:f>Лист1!$D$1</c:f>
              <c:strCache>
                <c:ptCount val="1"/>
                <c:pt idx="0">
                  <c:v>Затрудняюсь ответить</c:v>
                </c:pt>
              </c:strCache>
            </c:strRef>
          </c:tx>
          <c:spPr>
            <a:solidFill>
              <a:schemeClr val="bg1">
                <a:lumMod val="85000"/>
              </a:scheme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Водоснабжение, водоотведение</c:v>
                </c:pt>
                <c:pt idx="1">
                  <c:v>Электроснабжение</c:v>
                </c:pt>
                <c:pt idx="2">
                  <c:v>Теплоснабжение</c:v>
                </c:pt>
                <c:pt idx="3">
                  <c:v>Газоснабжение</c:v>
                </c:pt>
              </c:strCache>
            </c:strRef>
          </c:cat>
          <c:val>
            <c:numRef>
              <c:f>Лист1!$D$2:$D$5</c:f>
              <c:numCache>
                <c:formatCode>0.0%</c:formatCode>
                <c:ptCount val="4"/>
                <c:pt idx="0">
                  <c:v>0.23800000000000004</c:v>
                </c:pt>
                <c:pt idx="1">
                  <c:v>0.22000000000000031</c:v>
                </c:pt>
                <c:pt idx="2">
                  <c:v>0.25800000000000001</c:v>
                </c:pt>
                <c:pt idx="3">
                  <c:v>0.36300000000000032</c:v>
                </c:pt>
              </c:numCache>
            </c:numRef>
          </c:val>
          <c:extLst xmlns:c16r2="http://schemas.microsoft.com/office/drawing/2015/06/chart">
            <c:ext xmlns:c16="http://schemas.microsoft.com/office/drawing/2014/chart" uri="{C3380CC4-5D6E-409C-BE32-E72D297353CC}">
              <c16:uniqueId val="{00000002-52AF-4BE2-A562-C046664B4694}"/>
            </c:ext>
          </c:extLst>
        </c:ser>
        <c:overlap val="100"/>
        <c:axId val="98090368"/>
        <c:axId val="98100352"/>
      </c:barChart>
      <c:catAx>
        <c:axId val="98090368"/>
        <c:scaling>
          <c:orientation val="maxMin"/>
        </c:scaling>
        <c:axPos val="l"/>
        <c:numFmt formatCode="General" sourceLinked="1"/>
        <c:tickLblPos val="nextTo"/>
        <c:crossAx val="98100352"/>
        <c:crosses val="autoZero"/>
        <c:auto val="1"/>
        <c:lblAlgn val="ctr"/>
        <c:lblOffset val="100"/>
      </c:catAx>
      <c:valAx>
        <c:axId val="98100352"/>
        <c:scaling>
          <c:orientation val="minMax"/>
          <c:max val="1"/>
          <c:min val="0"/>
        </c:scaling>
        <c:axPos val="t"/>
        <c:majorGridlines/>
        <c:numFmt formatCode="0.0%" sourceLinked="1"/>
        <c:tickLblPos val="nextTo"/>
        <c:crossAx val="98090368"/>
        <c:crosses val="autoZero"/>
        <c:crossBetween val="between"/>
        <c:majorUnit val="0.2"/>
      </c:valAx>
      <c:spPr>
        <a:noFill/>
        <a:ln>
          <a:solidFill>
            <a:schemeClr val="accent1"/>
          </a:solidFill>
        </a:ln>
      </c:spPr>
    </c:plotArea>
    <c:legend>
      <c:legendPos val="t"/>
      <c:layout>
        <c:manualLayout>
          <c:xMode val="edge"/>
          <c:yMode val="edge"/>
          <c:x val="0.14746975326757591"/>
          <c:y val="0"/>
          <c:w val="0.70506032766119064"/>
          <c:h val="9.3440457564954213E-2"/>
        </c:manualLayout>
      </c:layout>
    </c:legend>
    <c:plotVisOnly val="1"/>
    <c:dispBlanksAs val="gap"/>
  </c:chart>
  <c:spPr>
    <a:ln>
      <a:noFill/>
    </a:ln>
  </c:spPr>
  <c:txPr>
    <a:bodyPr/>
    <a:lstStyle/>
    <a:p>
      <a:pPr>
        <a:defRPr>
          <a:latin typeface="Arial Narrow" panose="020B0606020202030204" pitchFamily="34" charset="0"/>
        </a:defRPr>
      </a:pPr>
      <a:endParaRPr lang="ru-RU"/>
    </a:p>
  </c:txPr>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27650257804892092"/>
          <c:y val="7.0470315936984898E-2"/>
          <c:w val="0.68250275481088496"/>
          <c:h val="0.92133243738405779"/>
        </c:manualLayout>
      </c:layout>
      <c:barChart>
        <c:barDir val="bar"/>
        <c:grouping val="stacked"/>
        <c:ser>
          <c:idx val="0"/>
          <c:order val="0"/>
          <c:tx>
            <c:strRef>
              <c:f>Лист1!$B$1</c:f>
              <c:strCache>
                <c:ptCount val="1"/>
                <c:pt idx="0">
                  <c:v>Удовлетворительно</c:v>
                </c:pt>
              </c:strCache>
            </c:strRef>
          </c:tx>
          <c:spPr>
            <a:solidFill>
              <a:srgbClr val="FFCC99"/>
            </a:solidFill>
          </c:spPr>
          <c:dLbls>
            <c:dLbl>
              <c:idx val="3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892D-4737-8CD4-6F1906661E6A}"/>
                </c:ext>
              </c:extLst>
            </c:dLbl>
            <c:dLbl>
              <c:idx val="3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892D-4737-8CD4-6F1906661E6A}"/>
                </c:ext>
              </c:extLst>
            </c:dLbl>
            <c:spPr>
              <a:noFill/>
              <a:ln>
                <a:no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Болотнинский МР</c:v>
                </c:pt>
                <c:pt idx="1">
                  <c:v>Здвинский МР</c:v>
                </c:pt>
                <c:pt idx="2">
                  <c:v>Усть-Таркский МР</c:v>
                </c:pt>
                <c:pt idx="3">
                  <c:v>Карасукский МР</c:v>
                </c:pt>
                <c:pt idx="4">
                  <c:v>Колыванский МР</c:v>
                </c:pt>
                <c:pt idx="5">
                  <c:v>г. Обь</c:v>
                </c:pt>
                <c:pt idx="6">
                  <c:v>Чулымский МР</c:v>
                </c:pt>
                <c:pt idx="7">
                  <c:v>Черепановский МР</c:v>
                </c:pt>
                <c:pt idx="8">
                  <c:v>Кочковский МР</c:v>
                </c:pt>
                <c:pt idx="9">
                  <c:v>Ордынский МР</c:v>
                </c:pt>
                <c:pt idx="10">
                  <c:v>Татарский МР</c:v>
                </c:pt>
                <c:pt idx="11">
                  <c:v>Тогучинский МР</c:v>
                </c:pt>
                <c:pt idx="12">
                  <c:v>Чистоозерный МР</c:v>
                </c:pt>
                <c:pt idx="13">
                  <c:v>г. Искитим</c:v>
                </c:pt>
                <c:pt idx="14">
                  <c:v>Куйбышевский МР</c:v>
                </c:pt>
                <c:pt idx="15">
                  <c:v>г. Новосибирск</c:v>
                </c:pt>
                <c:pt idx="16">
                  <c:v>Мошковский МР</c:v>
                </c:pt>
                <c:pt idx="17">
                  <c:v>Северный МР</c:v>
                </c:pt>
                <c:pt idx="18">
                  <c:v>г. Бердск</c:v>
                </c:pt>
                <c:pt idx="19">
                  <c:v>Баганский МР</c:v>
                </c:pt>
                <c:pt idx="20">
                  <c:v>Маслянинский МР</c:v>
                </c:pt>
                <c:pt idx="21">
                  <c:v>Барабинский МР</c:v>
                </c:pt>
                <c:pt idx="22">
                  <c:v>Купинский МР</c:v>
                </c:pt>
                <c:pt idx="23">
                  <c:v>Сузунский МР</c:v>
                </c:pt>
                <c:pt idx="24">
                  <c:v>Кыштовский МР</c:v>
                </c:pt>
                <c:pt idx="25">
                  <c:v>Коченевский МР</c:v>
                </c:pt>
                <c:pt idx="26">
                  <c:v>Венгеровский МР</c:v>
                </c:pt>
                <c:pt idx="27">
                  <c:v>Доволенский МР</c:v>
                </c:pt>
                <c:pt idx="28">
                  <c:v>Убинский МР</c:v>
                </c:pt>
                <c:pt idx="29">
                  <c:v>Краснозерский МР</c:v>
                </c:pt>
                <c:pt idx="30">
                  <c:v>р. п. Кольцово</c:v>
                </c:pt>
                <c:pt idx="31">
                  <c:v>Чановский МР</c:v>
                </c:pt>
                <c:pt idx="32">
                  <c:v>Искитимский МР</c:v>
                </c:pt>
                <c:pt idx="33">
                  <c:v>Каргатский МР</c:v>
                </c:pt>
                <c:pt idx="34">
                  <c:v>Новосибирский МР</c:v>
                </c:pt>
              </c:strCache>
            </c:strRef>
          </c:cat>
          <c:val>
            <c:numRef>
              <c:f>Лист1!$B$2:$B$36</c:f>
              <c:numCache>
                <c:formatCode>0.0%</c:formatCode>
                <c:ptCount val="35"/>
                <c:pt idx="0">
                  <c:v>0.76900000000000723</c:v>
                </c:pt>
                <c:pt idx="1">
                  <c:v>0.66700000000000825</c:v>
                </c:pt>
                <c:pt idx="2">
                  <c:v>0.66700000000000825</c:v>
                </c:pt>
                <c:pt idx="3">
                  <c:v>0.52900000000000003</c:v>
                </c:pt>
                <c:pt idx="4">
                  <c:v>0.52200000000000002</c:v>
                </c:pt>
                <c:pt idx="5">
                  <c:v>0.5</c:v>
                </c:pt>
                <c:pt idx="6">
                  <c:v>0.46700000000000008</c:v>
                </c:pt>
                <c:pt idx="7">
                  <c:v>0.44400000000000001</c:v>
                </c:pt>
                <c:pt idx="8">
                  <c:v>0.42900000000000038</c:v>
                </c:pt>
                <c:pt idx="9">
                  <c:v>0.42100000000000032</c:v>
                </c:pt>
                <c:pt idx="10">
                  <c:v>0.38900000000000362</c:v>
                </c:pt>
                <c:pt idx="11">
                  <c:v>0.37500000000000322</c:v>
                </c:pt>
                <c:pt idx="12">
                  <c:v>0.36400000000000032</c:v>
                </c:pt>
                <c:pt idx="13">
                  <c:v>0.35200000000000031</c:v>
                </c:pt>
                <c:pt idx="14">
                  <c:v>0.34600000000000031</c:v>
                </c:pt>
                <c:pt idx="15">
                  <c:v>0.33800000000000413</c:v>
                </c:pt>
                <c:pt idx="16">
                  <c:v>0.33300000000000413</c:v>
                </c:pt>
                <c:pt idx="17">
                  <c:v>0.33300000000000413</c:v>
                </c:pt>
                <c:pt idx="18">
                  <c:v>0.25600000000000001</c:v>
                </c:pt>
                <c:pt idx="19">
                  <c:v>0.25</c:v>
                </c:pt>
                <c:pt idx="20">
                  <c:v>0.23100000000000001</c:v>
                </c:pt>
                <c:pt idx="21">
                  <c:v>0.21100000000000024</c:v>
                </c:pt>
                <c:pt idx="22">
                  <c:v>0.2</c:v>
                </c:pt>
                <c:pt idx="23">
                  <c:v>0.18800000000000044</c:v>
                </c:pt>
                <c:pt idx="24">
                  <c:v>0.16700000000000001</c:v>
                </c:pt>
                <c:pt idx="25">
                  <c:v>0.15400000000000041</c:v>
                </c:pt>
                <c:pt idx="26">
                  <c:v>0.14300000000000004</c:v>
                </c:pt>
                <c:pt idx="27">
                  <c:v>0.14300000000000004</c:v>
                </c:pt>
                <c:pt idx="28">
                  <c:v>0.14300000000000004</c:v>
                </c:pt>
                <c:pt idx="29">
                  <c:v>0.125</c:v>
                </c:pt>
                <c:pt idx="30">
                  <c:v>0.125</c:v>
                </c:pt>
                <c:pt idx="31">
                  <c:v>0.12100000000000002</c:v>
                </c:pt>
                <c:pt idx="32">
                  <c:v>0.11799999999999998</c:v>
                </c:pt>
                <c:pt idx="33">
                  <c:v>0</c:v>
                </c:pt>
                <c:pt idx="34">
                  <c:v>0</c:v>
                </c:pt>
              </c:numCache>
            </c:numRef>
          </c:val>
          <c:extLst xmlns:c16r2="http://schemas.microsoft.com/office/drawing/2015/06/chart">
            <c:ext xmlns:c16="http://schemas.microsoft.com/office/drawing/2014/chart" uri="{C3380CC4-5D6E-409C-BE32-E72D297353CC}">
              <c16:uniqueId val="{00000000-DF6A-464A-BEC5-0FC0A024A03F}"/>
            </c:ext>
          </c:extLst>
        </c:ser>
        <c:ser>
          <c:idx val="1"/>
          <c:order val="1"/>
          <c:tx>
            <c:strRef>
              <c:f>Лист1!$C$1</c:f>
              <c:strCache>
                <c:ptCount val="1"/>
                <c:pt idx="0">
                  <c:v>Неудовлетворительно</c:v>
                </c:pt>
              </c:strCache>
            </c:strRef>
          </c:tx>
          <c:spPr>
            <a:solidFill>
              <a:srgbClr val="B28AB2"/>
            </a:solidFill>
            <a:ln>
              <a:noFill/>
            </a:ln>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Болотнинский МР</c:v>
                </c:pt>
                <c:pt idx="1">
                  <c:v>Здвинский МР</c:v>
                </c:pt>
                <c:pt idx="2">
                  <c:v>Усть-Таркский МР</c:v>
                </c:pt>
                <c:pt idx="3">
                  <c:v>Карасукский МР</c:v>
                </c:pt>
                <c:pt idx="4">
                  <c:v>Колыванский МР</c:v>
                </c:pt>
                <c:pt idx="5">
                  <c:v>г. Обь</c:v>
                </c:pt>
                <c:pt idx="6">
                  <c:v>Чулымский МР</c:v>
                </c:pt>
                <c:pt idx="7">
                  <c:v>Черепановский МР</c:v>
                </c:pt>
                <c:pt idx="8">
                  <c:v>Кочковский МР</c:v>
                </c:pt>
                <c:pt idx="9">
                  <c:v>Ордынский МР</c:v>
                </c:pt>
                <c:pt idx="10">
                  <c:v>Татарский МР</c:v>
                </c:pt>
                <c:pt idx="11">
                  <c:v>Тогучинский МР</c:v>
                </c:pt>
                <c:pt idx="12">
                  <c:v>Чистоозерный МР</c:v>
                </c:pt>
                <c:pt idx="13">
                  <c:v>г. Искитим</c:v>
                </c:pt>
                <c:pt idx="14">
                  <c:v>Куйбышевский МР</c:v>
                </c:pt>
                <c:pt idx="15">
                  <c:v>г. Новосибирск</c:v>
                </c:pt>
                <c:pt idx="16">
                  <c:v>Мошковский МР</c:v>
                </c:pt>
                <c:pt idx="17">
                  <c:v>Северный МР</c:v>
                </c:pt>
                <c:pt idx="18">
                  <c:v>г. Бердск</c:v>
                </c:pt>
                <c:pt idx="19">
                  <c:v>Баганский МР</c:v>
                </c:pt>
                <c:pt idx="20">
                  <c:v>Маслянинский МР</c:v>
                </c:pt>
                <c:pt idx="21">
                  <c:v>Барабинский МР</c:v>
                </c:pt>
                <c:pt idx="22">
                  <c:v>Купинский МР</c:v>
                </c:pt>
                <c:pt idx="23">
                  <c:v>Сузунский МР</c:v>
                </c:pt>
                <c:pt idx="24">
                  <c:v>Кыштовский МР</c:v>
                </c:pt>
                <c:pt idx="25">
                  <c:v>Коченевский МР</c:v>
                </c:pt>
                <c:pt idx="26">
                  <c:v>Венгеровский МР</c:v>
                </c:pt>
                <c:pt idx="27">
                  <c:v>Доволенский МР</c:v>
                </c:pt>
                <c:pt idx="28">
                  <c:v>Убинский МР</c:v>
                </c:pt>
                <c:pt idx="29">
                  <c:v>Краснозерский МР</c:v>
                </c:pt>
                <c:pt idx="30">
                  <c:v>р. п. Кольцово</c:v>
                </c:pt>
                <c:pt idx="31">
                  <c:v>Чановский МР</c:v>
                </c:pt>
                <c:pt idx="32">
                  <c:v>Искитимский МР</c:v>
                </c:pt>
                <c:pt idx="33">
                  <c:v>Каргатский МР</c:v>
                </c:pt>
                <c:pt idx="34">
                  <c:v>Новосибирский МР</c:v>
                </c:pt>
              </c:strCache>
            </c:strRef>
          </c:cat>
          <c:val>
            <c:numRef>
              <c:f>Лист1!$C$2:$C$36</c:f>
              <c:numCache>
                <c:formatCode>0.0%</c:formatCode>
                <c:ptCount val="35"/>
                <c:pt idx="0">
                  <c:v>0.23100000000000001</c:v>
                </c:pt>
                <c:pt idx="1">
                  <c:v>0.33300000000000413</c:v>
                </c:pt>
                <c:pt idx="2">
                  <c:v>0</c:v>
                </c:pt>
                <c:pt idx="3">
                  <c:v>0.41200000000000031</c:v>
                </c:pt>
                <c:pt idx="4">
                  <c:v>0.39100000000000368</c:v>
                </c:pt>
                <c:pt idx="5">
                  <c:v>0.32100000000000362</c:v>
                </c:pt>
                <c:pt idx="6">
                  <c:v>0.53300000000000003</c:v>
                </c:pt>
                <c:pt idx="7">
                  <c:v>0.36100000000000032</c:v>
                </c:pt>
                <c:pt idx="8">
                  <c:v>0.57099999999999995</c:v>
                </c:pt>
                <c:pt idx="9">
                  <c:v>0.36800000000000038</c:v>
                </c:pt>
                <c:pt idx="10">
                  <c:v>0.44400000000000001</c:v>
                </c:pt>
                <c:pt idx="11">
                  <c:v>0.5</c:v>
                </c:pt>
                <c:pt idx="12">
                  <c:v>0.54500000000000004</c:v>
                </c:pt>
                <c:pt idx="13">
                  <c:v>0.48100000000000032</c:v>
                </c:pt>
                <c:pt idx="14">
                  <c:v>0.53800000000000003</c:v>
                </c:pt>
                <c:pt idx="15">
                  <c:v>0.37900000000000333</c:v>
                </c:pt>
                <c:pt idx="16">
                  <c:v>0.222</c:v>
                </c:pt>
                <c:pt idx="17">
                  <c:v>0.66700000000000825</c:v>
                </c:pt>
                <c:pt idx="18">
                  <c:v>0.64100000000000723</c:v>
                </c:pt>
                <c:pt idx="19">
                  <c:v>0.25</c:v>
                </c:pt>
                <c:pt idx="20">
                  <c:v>0.53800000000000003</c:v>
                </c:pt>
                <c:pt idx="21">
                  <c:v>0.57900000000000063</c:v>
                </c:pt>
                <c:pt idx="22">
                  <c:v>0.46700000000000008</c:v>
                </c:pt>
                <c:pt idx="23">
                  <c:v>0.56299999999999994</c:v>
                </c:pt>
                <c:pt idx="24">
                  <c:v>0.66700000000000825</c:v>
                </c:pt>
                <c:pt idx="25">
                  <c:v>0.61500000000000365</c:v>
                </c:pt>
                <c:pt idx="26">
                  <c:v>0.57099999999999995</c:v>
                </c:pt>
                <c:pt idx="27">
                  <c:v>0.71400000000000063</c:v>
                </c:pt>
                <c:pt idx="28">
                  <c:v>0.57099999999999995</c:v>
                </c:pt>
                <c:pt idx="29">
                  <c:v>0.37500000000000322</c:v>
                </c:pt>
                <c:pt idx="30">
                  <c:v>0.75000000000000655</c:v>
                </c:pt>
                <c:pt idx="31">
                  <c:v>0.39400000000000412</c:v>
                </c:pt>
                <c:pt idx="32">
                  <c:v>0.52900000000000003</c:v>
                </c:pt>
                <c:pt idx="33">
                  <c:v>0.5</c:v>
                </c:pt>
                <c:pt idx="34">
                  <c:v>0.36400000000000032</c:v>
                </c:pt>
              </c:numCache>
            </c:numRef>
          </c:val>
          <c:extLst xmlns:c16r2="http://schemas.microsoft.com/office/drawing/2015/06/chart">
            <c:ext xmlns:c16="http://schemas.microsoft.com/office/drawing/2014/chart" uri="{C3380CC4-5D6E-409C-BE32-E72D297353CC}">
              <c16:uniqueId val="{00000001-DF6A-464A-BEC5-0FC0A024A03F}"/>
            </c:ext>
          </c:extLst>
        </c:ser>
        <c:ser>
          <c:idx val="2"/>
          <c:order val="2"/>
          <c:tx>
            <c:strRef>
              <c:f>Лист1!$D$1</c:f>
              <c:strCache>
                <c:ptCount val="1"/>
                <c:pt idx="0">
                  <c:v>Затрудняюсь ответить</c:v>
                </c:pt>
              </c:strCache>
            </c:strRef>
          </c:tx>
          <c:spPr>
            <a:solidFill>
              <a:sysClr val="window" lastClr="FFFFFF">
                <a:lumMod val="85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Болотнинский МР</c:v>
                </c:pt>
                <c:pt idx="1">
                  <c:v>Здвинский МР</c:v>
                </c:pt>
                <c:pt idx="2">
                  <c:v>Усть-Таркский МР</c:v>
                </c:pt>
                <c:pt idx="3">
                  <c:v>Карасукский МР</c:v>
                </c:pt>
                <c:pt idx="4">
                  <c:v>Колыванский МР</c:v>
                </c:pt>
                <c:pt idx="5">
                  <c:v>г. Обь</c:v>
                </c:pt>
                <c:pt idx="6">
                  <c:v>Чулымский МР</c:v>
                </c:pt>
                <c:pt idx="7">
                  <c:v>Черепановский МР</c:v>
                </c:pt>
                <c:pt idx="8">
                  <c:v>Кочковский МР</c:v>
                </c:pt>
                <c:pt idx="9">
                  <c:v>Ордынский МР</c:v>
                </c:pt>
                <c:pt idx="10">
                  <c:v>Татарский МР</c:v>
                </c:pt>
                <c:pt idx="11">
                  <c:v>Тогучинский МР</c:v>
                </c:pt>
                <c:pt idx="12">
                  <c:v>Чистоозерный МР</c:v>
                </c:pt>
                <c:pt idx="13">
                  <c:v>г. Искитим</c:v>
                </c:pt>
                <c:pt idx="14">
                  <c:v>Куйбышевский МР</c:v>
                </c:pt>
                <c:pt idx="15">
                  <c:v>г. Новосибирск</c:v>
                </c:pt>
                <c:pt idx="16">
                  <c:v>Мошковский МР</c:v>
                </c:pt>
                <c:pt idx="17">
                  <c:v>Северный МР</c:v>
                </c:pt>
                <c:pt idx="18">
                  <c:v>г. Бердск</c:v>
                </c:pt>
                <c:pt idx="19">
                  <c:v>Баганский МР</c:v>
                </c:pt>
                <c:pt idx="20">
                  <c:v>Маслянинский МР</c:v>
                </c:pt>
                <c:pt idx="21">
                  <c:v>Барабинский МР</c:v>
                </c:pt>
                <c:pt idx="22">
                  <c:v>Купинский МР</c:v>
                </c:pt>
                <c:pt idx="23">
                  <c:v>Сузунский МР</c:v>
                </c:pt>
                <c:pt idx="24">
                  <c:v>Кыштовский МР</c:v>
                </c:pt>
                <c:pt idx="25">
                  <c:v>Коченевский МР</c:v>
                </c:pt>
                <c:pt idx="26">
                  <c:v>Венгеровский МР</c:v>
                </c:pt>
                <c:pt idx="27">
                  <c:v>Доволенский МР</c:v>
                </c:pt>
                <c:pt idx="28">
                  <c:v>Убинский МР</c:v>
                </c:pt>
                <c:pt idx="29">
                  <c:v>Краснозерский МР</c:v>
                </c:pt>
                <c:pt idx="30">
                  <c:v>р. п. Кольцово</c:v>
                </c:pt>
                <c:pt idx="31">
                  <c:v>Чановский МР</c:v>
                </c:pt>
                <c:pt idx="32">
                  <c:v>Искитимский МР</c:v>
                </c:pt>
                <c:pt idx="33">
                  <c:v>Каргатский МР</c:v>
                </c:pt>
                <c:pt idx="34">
                  <c:v>Новосибирский МР</c:v>
                </c:pt>
              </c:strCache>
            </c:strRef>
          </c:cat>
          <c:val>
            <c:numRef>
              <c:f>Лист1!$D$2:$D$36</c:f>
              <c:numCache>
                <c:formatCode>0.0%</c:formatCode>
                <c:ptCount val="35"/>
                <c:pt idx="0">
                  <c:v>0</c:v>
                </c:pt>
                <c:pt idx="1">
                  <c:v>0</c:v>
                </c:pt>
                <c:pt idx="2">
                  <c:v>0.33300000000000413</c:v>
                </c:pt>
                <c:pt idx="3">
                  <c:v>5.9000000000000434E-2</c:v>
                </c:pt>
                <c:pt idx="4">
                  <c:v>8.7000000000000022E-2</c:v>
                </c:pt>
                <c:pt idx="5">
                  <c:v>0.17900000000000021</c:v>
                </c:pt>
                <c:pt idx="6">
                  <c:v>0</c:v>
                </c:pt>
                <c:pt idx="7">
                  <c:v>0.19400000000000001</c:v>
                </c:pt>
                <c:pt idx="8">
                  <c:v>0</c:v>
                </c:pt>
                <c:pt idx="9">
                  <c:v>0.21100000000000024</c:v>
                </c:pt>
                <c:pt idx="10">
                  <c:v>0.16700000000000001</c:v>
                </c:pt>
                <c:pt idx="11">
                  <c:v>0.125</c:v>
                </c:pt>
                <c:pt idx="12">
                  <c:v>9.1000000000000025E-2</c:v>
                </c:pt>
                <c:pt idx="13">
                  <c:v>0.16700000000000001</c:v>
                </c:pt>
                <c:pt idx="14">
                  <c:v>0.115</c:v>
                </c:pt>
                <c:pt idx="15">
                  <c:v>0.28200000000000008</c:v>
                </c:pt>
                <c:pt idx="16">
                  <c:v>0.44400000000000001</c:v>
                </c:pt>
                <c:pt idx="17">
                  <c:v>0</c:v>
                </c:pt>
                <c:pt idx="18">
                  <c:v>0.10299999999999998</c:v>
                </c:pt>
                <c:pt idx="19">
                  <c:v>0.5</c:v>
                </c:pt>
                <c:pt idx="20">
                  <c:v>0.23100000000000001</c:v>
                </c:pt>
                <c:pt idx="21">
                  <c:v>0.21100000000000024</c:v>
                </c:pt>
                <c:pt idx="22">
                  <c:v>0.33300000000000413</c:v>
                </c:pt>
                <c:pt idx="23">
                  <c:v>0.25</c:v>
                </c:pt>
                <c:pt idx="24">
                  <c:v>0.16700000000000001</c:v>
                </c:pt>
                <c:pt idx="25">
                  <c:v>0.23100000000000001</c:v>
                </c:pt>
                <c:pt idx="26">
                  <c:v>0.28600000000000031</c:v>
                </c:pt>
                <c:pt idx="27">
                  <c:v>0.14300000000000004</c:v>
                </c:pt>
                <c:pt idx="28">
                  <c:v>0.28600000000000031</c:v>
                </c:pt>
                <c:pt idx="29">
                  <c:v>0.5</c:v>
                </c:pt>
                <c:pt idx="30">
                  <c:v>0.125</c:v>
                </c:pt>
                <c:pt idx="31">
                  <c:v>0.48500000000000032</c:v>
                </c:pt>
                <c:pt idx="32">
                  <c:v>0.35300000000000031</c:v>
                </c:pt>
                <c:pt idx="33">
                  <c:v>0.5</c:v>
                </c:pt>
                <c:pt idx="34">
                  <c:v>0.63600000000000723</c:v>
                </c:pt>
              </c:numCache>
            </c:numRef>
          </c:val>
          <c:extLst xmlns:c16r2="http://schemas.microsoft.com/office/drawing/2015/06/chart">
            <c:ext xmlns:c16="http://schemas.microsoft.com/office/drawing/2014/chart" uri="{C3380CC4-5D6E-409C-BE32-E72D297353CC}">
              <c16:uniqueId val="{00000002-DF6A-464A-BEC5-0FC0A024A03F}"/>
            </c:ext>
          </c:extLst>
        </c:ser>
        <c:overlap val="100"/>
        <c:axId val="98689792"/>
        <c:axId val="98691328"/>
      </c:barChart>
      <c:catAx>
        <c:axId val="98689792"/>
        <c:scaling>
          <c:orientation val="maxMin"/>
        </c:scaling>
        <c:axPos val="l"/>
        <c:numFmt formatCode="General" sourceLinked="1"/>
        <c:tickLblPos val="nextTo"/>
        <c:crossAx val="98691328"/>
        <c:crosses val="autoZero"/>
        <c:auto val="1"/>
        <c:lblAlgn val="ctr"/>
        <c:lblOffset val="100"/>
      </c:catAx>
      <c:valAx>
        <c:axId val="98691328"/>
        <c:scaling>
          <c:orientation val="minMax"/>
          <c:max val="1"/>
          <c:min val="0"/>
        </c:scaling>
        <c:axPos val="t"/>
        <c:majorGridlines/>
        <c:numFmt formatCode="0.0%" sourceLinked="1"/>
        <c:tickLblPos val="nextTo"/>
        <c:crossAx val="98689792"/>
        <c:crosses val="autoZero"/>
        <c:crossBetween val="between"/>
        <c:majorUnit val="0.2"/>
      </c:valAx>
      <c:spPr>
        <a:noFill/>
        <a:ln>
          <a:solidFill>
            <a:schemeClr val="accent1"/>
          </a:solidFill>
        </a:ln>
      </c:spPr>
    </c:plotArea>
    <c:legend>
      <c:legendPos val="t"/>
    </c:legend>
    <c:plotVisOnly val="1"/>
    <c:dispBlanksAs val="gap"/>
  </c:chart>
  <c:spPr>
    <a:ln>
      <a:noFill/>
    </a:ln>
  </c:spPr>
  <c:txPr>
    <a:bodyPr/>
    <a:lstStyle/>
    <a:p>
      <a:pPr>
        <a:defRPr>
          <a:latin typeface="Arial Narrow" panose="020B0606020202030204" pitchFamily="34" charset="0"/>
        </a:defRPr>
      </a:pPr>
      <a:endParaRPr lang="ru-RU"/>
    </a:p>
  </c:txPr>
  <c:externalData r:id="rId2"/>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5243653450456961"/>
          <c:y val="8.1942117607639309E-2"/>
          <c:w val="0.59616877486018549"/>
          <c:h val="0.90208849891104037"/>
        </c:manualLayout>
      </c:layout>
      <c:barChart>
        <c:barDir val="bar"/>
        <c:grouping val="stacked"/>
        <c:ser>
          <c:idx val="0"/>
          <c:order val="0"/>
          <c:tx>
            <c:strRef>
              <c:f>Лист1!$B$1</c:f>
              <c:strCache>
                <c:ptCount val="1"/>
                <c:pt idx="0">
                  <c:v>Удовлетворительно</c:v>
                </c:pt>
              </c:strCache>
            </c:strRef>
          </c:tx>
          <c:spPr>
            <a:solidFill>
              <a:srgbClr val="ED7D31">
                <a:lumMod val="40000"/>
                <a:lumOff val="60000"/>
              </a:srgbClr>
            </a:solidFill>
          </c:spPr>
          <c:dLbls>
            <c:dLbl>
              <c:idx val="12"/>
              <c:layout>
                <c:manualLayout>
                  <c:x val="1.7991004497751123E-2"/>
                  <c:y val="1.9053879608062439E-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45FB-44E8-B047-137F84034AA5}"/>
                </c:ext>
              </c:extLst>
            </c:dLbl>
            <c:spPr>
              <a:noFill/>
              <a:ln>
                <a:no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услуг социального обслуживания населения</c:v>
                </c:pt>
                <c:pt idx="3">
                  <c:v>Рынок услуг дополнительного образования детей</c:v>
                </c:pt>
                <c:pt idx="4">
                  <c:v>Рынок услуг ЖКХ</c:v>
                </c:pt>
                <c:pt idx="5">
                  <c:v>Рынок услуг связи</c:v>
                </c:pt>
                <c:pt idx="6">
                  <c:v>Рынок услуг психолого-педагогического сопровождения детей с ограниченными возможностями здоровья</c:v>
                </c:pt>
                <c:pt idx="7">
                  <c:v>Рынок услуг по сбору, сортировке и переработке твердых коммунальных (бытовых) отходов</c:v>
                </c:pt>
                <c:pt idx="8">
                  <c:v>Рынок медицинских услуг</c:v>
                </c:pt>
                <c:pt idx="9">
                  <c:v>Розничная торговля</c:v>
                </c:pt>
                <c:pt idx="10">
                  <c:v>Рынок услуг в сфере культуры</c:v>
                </c:pt>
                <c:pt idx="11">
                  <c:v>Рынок развития, производства, переработки и хранения с‎\х продукции</c:v>
                </c:pt>
                <c:pt idx="12">
                  <c:v>Рынок услуг перевозок пассажиров наземным транспортом</c:v>
                </c:pt>
              </c:strCache>
            </c:strRef>
          </c:cat>
          <c:val>
            <c:numRef>
              <c:f>Лист1!$B$2:$B$14</c:f>
              <c:numCache>
                <c:formatCode>0.0%</c:formatCode>
                <c:ptCount val="13"/>
                <c:pt idx="0">
                  <c:v>0.70000000000000062</c:v>
                </c:pt>
                <c:pt idx="1">
                  <c:v>0.60000000000000064</c:v>
                </c:pt>
                <c:pt idx="2">
                  <c:v>0.48000000000000032</c:v>
                </c:pt>
                <c:pt idx="3">
                  <c:v>0.4</c:v>
                </c:pt>
                <c:pt idx="4">
                  <c:v>0.4</c:v>
                </c:pt>
                <c:pt idx="5">
                  <c:v>0.4</c:v>
                </c:pt>
                <c:pt idx="6">
                  <c:v>0.36000000000000032</c:v>
                </c:pt>
                <c:pt idx="7">
                  <c:v>0.30000000000000032</c:v>
                </c:pt>
                <c:pt idx="8">
                  <c:v>0.28600000000000031</c:v>
                </c:pt>
                <c:pt idx="9">
                  <c:v>0.24400000000000024</c:v>
                </c:pt>
                <c:pt idx="10">
                  <c:v>0.16</c:v>
                </c:pt>
                <c:pt idx="11">
                  <c:v>0.15000000000000024</c:v>
                </c:pt>
                <c:pt idx="12">
                  <c:v>3.3000000000000002E-2</c:v>
                </c:pt>
              </c:numCache>
            </c:numRef>
          </c:val>
          <c:extLst xmlns:c16r2="http://schemas.microsoft.com/office/drawing/2015/06/chart">
            <c:ext xmlns:c16="http://schemas.microsoft.com/office/drawing/2014/chart" uri="{C3380CC4-5D6E-409C-BE32-E72D297353CC}">
              <c16:uniqueId val="{00000001-45FB-44E8-B047-137F84034AA5}"/>
            </c:ext>
          </c:extLst>
        </c:ser>
        <c:ser>
          <c:idx val="1"/>
          <c:order val="1"/>
          <c:tx>
            <c:strRef>
              <c:f>Лист1!$C$1</c:f>
              <c:strCache>
                <c:ptCount val="1"/>
                <c:pt idx="0">
                  <c:v>Неудовлетворительно</c:v>
                </c:pt>
              </c:strCache>
            </c:strRef>
          </c:tx>
          <c:spPr>
            <a:solidFill>
              <a:srgbClr val="B28AB2"/>
            </a:solidFill>
            <a:ln>
              <a:noFill/>
            </a:ln>
          </c:spPr>
          <c:dLbls>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45FB-44E8-B047-137F84034AA5}"/>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услуг социального обслуживания населения</c:v>
                </c:pt>
                <c:pt idx="3">
                  <c:v>Рынок услуг дополнительного образования детей</c:v>
                </c:pt>
                <c:pt idx="4">
                  <c:v>Рынок услуг ЖКХ</c:v>
                </c:pt>
                <c:pt idx="5">
                  <c:v>Рынок услуг связи</c:v>
                </c:pt>
                <c:pt idx="6">
                  <c:v>Рынок услуг психолого-педагогического сопровождения детей с ограниченными возможностями здоровья</c:v>
                </c:pt>
                <c:pt idx="7">
                  <c:v>Рынок услуг по сбору, сортировке и переработке твердых коммунальных (бытовых) отходов</c:v>
                </c:pt>
                <c:pt idx="8">
                  <c:v>Рынок медицинских услуг</c:v>
                </c:pt>
                <c:pt idx="9">
                  <c:v>Розничная торговля</c:v>
                </c:pt>
                <c:pt idx="10">
                  <c:v>Рынок услуг в сфере культуры</c:v>
                </c:pt>
                <c:pt idx="11">
                  <c:v>Рынок развития, производства, переработки и хранения с‎\х продукции</c:v>
                </c:pt>
                <c:pt idx="12">
                  <c:v>Рынок услуг перевозок пассажиров наземным транспортом</c:v>
                </c:pt>
              </c:strCache>
            </c:strRef>
          </c:cat>
          <c:val>
            <c:numRef>
              <c:f>Лист1!$C$2:$C$14</c:f>
              <c:numCache>
                <c:formatCode>0.0%</c:formatCode>
                <c:ptCount val="13"/>
                <c:pt idx="0">
                  <c:v>0.30000000000000032</c:v>
                </c:pt>
                <c:pt idx="1">
                  <c:v>0</c:v>
                </c:pt>
                <c:pt idx="2">
                  <c:v>0.4</c:v>
                </c:pt>
                <c:pt idx="3">
                  <c:v>0.44</c:v>
                </c:pt>
                <c:pt idx="4">
                  <c:v>0.30000000000000032</c:v>
                </c:pt>
                <c:pt idx="5">
                  <c:v>8.0000000000000043E-2</c:v>
                </c:pt>
                <c:pt idx="6">
                  <c:v>0.48000000000000032</c:v>
                </c:pt>
                <c:pt idx="7">
                  <c:v>0.70000000000000062</c:v>
                </c:pt>
                <c:pt idx="8">
                  <c:v>0.35700000000000032</c:v>
                </c:pt>
                <c:pt idx="9">
                  <c:v>0.33900000000000435</c:v>
                </c:pt>
                <c:pt idx="10">
                  <c:v>0.24000000000000021</c:v>
                </c:pt>
                <c:pt idx="11">
                  <c:v>0.27</c:v>
                </c:pt>
                <c:pt idx="12">
                  <c:v>0.36700000000000038</c:v>
                </c:pt>
              </c:numCache>
            </c:numRef>
          </c:val>
          <c:extLst xmlns:c16r2="http://schemas.microsoft.com/office/drawing/2015/06/chart">
            <c:ext xmlns:c16="http://schemas.microsoft.com/office/drawing/2014/chart" uri="{C3380CC4-5D6E-409C-BE32-E72D297353CC}">
              <c16:uniqueId val="{00000003-45FB-44E8-B047-137F84034AA5}"/>
            </c:ext>
          </c:extLst>
        </c:ser>
        <c:ser>
          <c:idx val="2"/>
          <c:order val="2"/>
          <c:tx>
            <c:strRef>
              <c:f>Лист1!$D$1</c:f>
              <c:strCache>
                <c:ptCount val="1"/>
                <c:pt idx="0">
                  <c:v>Затрудняюсь ответить</c:v>
                </c:pt>
              </c:strCache>
            </c:strRef>
          </c:tx>
          <c:spPr>
            <a:solidFill>
              <a:sysClr val="window" lastClr="FFFFFF">
                <a:lumMod val="85000"/>
              </a:sysClr>
            </a:solidFill>
          </c:spPr>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45FB-44E8-B047-137F84034AA5}"/>
                </c:ext>
              </c:extLst>
            </c:dLbl>
            <c:dLbl>
              <c:idx val="7"/>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45FB-44E8-B047-137F84034AA5}"/>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услуг социального обслуживания населения</c:v>
                </c:pt>
                <c:pt idx="3">
                  <c:v>Рынок услуг дополнительного образования детей</c:v>
                </c:pt>
                <c:pt idx="4">
                  <c:v>Рынок услуг ЖКХ</c:v>
                </c:pt>
                <c:pt idx="5">
                  <c:v>Рынок услуг связи</c:v>
                </c:pt>
                <c:pt idx="6">
                  <c:v>Рынок услуг психолого-педагогического сопровождения детей с ограниченными возможностями здоровья</c:v>
                </c:pt>
                <c:pt idx="7">
                  <c:v>Рынок услуг по сбору, сортировке и переработке твердых коммунальных (бытовых) отходов</c:v>
                </c:pt>
                <c:pt idx="8">
                  <c:v>Рынок медицинских услуг</c:v>
                </c:pt>
                <c:pt idx="9">
                  <c:v>Розничная торговля</c:v>
                </c:pt>
                <c:pt idx="10">
                  <c:v>Рынок услуг в сфере культуры</c:v>
                </c:pt>
                <c:pt idx="11">
                  <c:v>Рынок развития, производства, переработки и хранения с‎\х продукции</c:v>
                </c:pt>
                <c:pt idx="12">
                  <c:v>Рынок услуг перевозок пассажиров наземным транспортом</c:v>
                </c:pt>
              </c:strCache>
            </c:strRef>
          </c:cat>
          <c:val>
            <c:numRef>
              <c:f>Лист1!$D$2:$D$14</c:f>
              <c:numCache>
                <c:formatCode>0.0%</c:formatCode>
                <c:ptCount val="13"/>
                <c:pt idx="0">
                  <c:v>0</c:v>
                </c:pt>
                <c:pt idx="1">
                  <c:v>0.4</c:v>
                </c:pt>
                <c:pt idx="2">
                  <c:v>0.12000000000000002</c:v>
                </c:pt>
                <c:pt idx="3">
                  <c:v>0.16</c:v>
                </c:pt>
                <c:pt idx="4">
                  <c:v>0.30000000000000032</c:v>
                </c:pt>
                <c:pt idx="5">
                  <c:v>0.52</c:v>
                </c:pt>
                <c:pt idx="6">
                  <c:v>0.16</c:v>
                </c:pt>
                <c:pt idx="7">
                  <c:v>0</c:v>
                </c:pt>
                <c:pt idx="8">
                  <c:v>0.35700000000000032</c:v>
                </c:pt>
                <c:pt idx="9">
                  <c:v>0.41700000000000031</c:v>
                </c:pt>
                <c:pt idx="10">
                  <c:v>0.60000000000000064</c:v>
                </c:pt>
                <c:pt idx="11">
                  <c:v>0.58000000000000007</c:v>
                </c:pt>
                <c:pt idx="12">
                  <c:v>0.60000000000000064</c:v>
                </c:pt>
              </c:numCache>
            </c:numRef>
          </c:val>
          <c:extLst xmlns:c16r2="http://schemas.microsoft.com/office/drawing/2015/06/chart">
            <c:ext xmlns:c16="http://schemas.microsoft.com/office/drawing/2014/chart" uri="{C3380CC4-5D6E-409C-BE32-E72D297353CC}">
              <c16:uniqueId val="{00000006-45FB-44E8-B047-137F84034AA5}"/>
            </c:ext>
          </c:extLst>
        </c:ser>
        <c:overlap val="100"/>
        <c:axId val="99728384"/>
        <c:axId val="99738368"/>
      </c:barChart>
      <c:catAx>
        <c:axId val="99728384"/>
        <c:scaling>
          <c:orientation val="maxMin"/>
        </c:scaling>
        <c:axPos val="l"/>
        <c:numFmt formatCode="General" sourceLinked="1"/>
        <c:tickLblPos val="nextTo"/>
        <c:crossAx val="99738368"/>
        <c:crosses val="autoZero"/>
        <c:auto val="1"/>
        <c:lblAlgn val="ctr"/>
        <c:lblOffset val="100"/>
      </c:catAx>
      <c:valAx>
        <c:axId val="99738368"/>
        <c:scaling>
          <c:orientation val="minMax"/>
          <c:max val="1"/>
          <c:min val="0"/>
        </c:scaling>
        <c:axPos val="t"/>
        <c:majorGridlines/>
        <c:numFmt formatCode="0.0%" sourceLinked="1"/>
        <c:tickLblPos val="nextTo"/>
        <c:txPr>
          <a:bodyPr/>
          <a:lstStyle/>
          <a:p>
            <a:pPr>
              <a:defRPr sz="600"/>
            </a:pPr>
            <a:endParaRPr lang="ru-RU"/>
          </a:p>
        </c:txPr>
        <c:crossAx val="99728384"/>
        <c:crosses val="autoZero"/>
        <c:crossBetween val="between"/>
        <c:majorUnit val="0.2"/>
      </c:valAx>
      <c:spPr>
        <a:noFill/>
        <a:ln>
          <a:solidFill>
            <a:schemeClr val="accent1"/>
          </a:solidFill>
        </a:ln>
      </c:spPr>
    </c:plotArea>
    <c:legend>
      <c:legendPos val="t"/>
      <c:layout>
        <c:manualLayout>
          <c:xMode val="edge"/>
          <c:yMode val="edge"/>
          <c:x val="0.16933218430155"/>
          <c:y val="0"/>
          <c:w val="0.66933163339591051"/>
          <c:h val="4.5775883732618525E-2"/>
        </c:manualLayout>
      </c:layout>
    </c:legend>
    <c:plotVisOnly val="1"/>
    <c:dispBlanksAs val="gap"/>
  </c:chart>
  <c:spPr>
    <a:ln>
      <a:noFill/>
    </a:ln>
  </c:spPr>
  <c:txPr>
    <a:bodyPr/>
    <a:lstStyle/>
    <a:p>
      <a:pPr>
        <a:defRPr>
          <a:latin typeface="Arial Narrow" panose="020B0606020202030204" pitchFamily="34" charset="0"/>
        </a:defRPr>
      </a:pPr>
      <a:endParaRPr lang="ru-RU"/>
    </a:p>
  </c:txPr>
  <c:externalData r:id="rId2"/>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27650257804892092"/>
          <c:y val="0.1470445179859764"/>
          <c:w val="0.68250275481088496"/>
          <c:h val="0.83920169399114963"/>
        </c:manualLayout>
      </c:layout>
      <c:barChart>
        <c:barDir val="bar"/>
        <c:grouping val="stacked"/>
        <c:ser>
          <c:idx val="0"/>
          <c:order val="0"/>
          <c:tx>
            <c:strRef>
              <c:f>Лист1!$B$1</c:f>
              <c:strCache>
                <c:ptCount val="1"/>
                <c:pt idx="0">
                  <c:v>Удовлетворительно</c:v>
                </c:pt>
              </c:strCache>
            </c:strRef>
          </c:tx>
          <c:spPr>
            <a:solidFill>
              <a:srgbClr val="ED7D31">
                <a:lumMod val="40000"/>
                <a:lumOff val="60000"/>
              </a:srgbClr>
            </a:solidFill>
          </c:spPr>
          <c:dLbls>
            <c:spPr>
              <a:noFill/>
              <a:ln>
                <a:no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среднее предприятие</c:v>
                </c:pt>
                <c:pt idx="1">
                  <c:v>малое предприятие</c:v>
                </c:pt>
              </c:strCache>
            </c:strRef>
          </c:cat>
          <c:val>
            <c:numRef>
              <c:f>Лист1!$B$2:$B$3</c:f>
              <c:numCache>
                <c:formatCode>0.0%</c:formatCode>
                <c:ptCount val="2"/>
                <c:pt idx="0">
                  <c:v>0.27300000000000002</c:v>
                </c:pt>
                <c:pt idx="1">
                  <c:v>0.29500000000000032</c:v>
                </c:pt>
              </c:numCache>
            </c:numRef>
          </c:val>
          <c:extLst xmlns:c16r2="http://schemas.microsoft.com/office/drawing/2015/06/chart">
            <c:ext xmlns:c16="http://schemas.microsoft.com/office/drawing/2014/chart" uri="{C3380CC4-5D6E-409C-BE32-E72D297353CC}">
              <c16:uniqueId val="{00000000-73B7-4796-B795-3DE1EA49C2C3}"/>
            </c:ext>
          </c:extLst>
        </c:ser>
        <c:ser>
          <c:idx val="1"/>
          <c:order val="1"/>
          <c:tx>
            <c:strRef>
              <c:f>Лист1!$C$1</c:f>
              <c:strCache>
                <c:ptCount val="1"/>
                <c:pt idx="0">
                  <c:v>Неудовлетворительно</c:v>
                </c:pt>
              </c:strCache>
            </c:strRef>
          </c:tx>
          <c:spPr>
            <a:solidFill>
              <a:srgbClr val="B28AB2"/>
            </a:solidFill>
            <a:ln>
              <a:noFill/>
            </a:ln>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среднее предприятие</c:v>
                </c:pt>
                <c:pt idx="1">
                  <c:v>малое предприятие</c:v>
                </c:pt>
              </c:strCache>
            </c:strRef>
          </c:cat>
          <c:val>
            <c:numRef>
              <c:f>Лист1!$C$2:$C$3</c:f>
              <c:numCache>
                <c:formatCode>0.0%</c:formatCode>
                <c:ptCount val="2"/>
                <c:pt idx="0">
                  <c:v>0.18200000000000024</c:v>
                </c:pt>
                <c:pt idx="1">
                  <c:v>0.34300000000000008</c:v>
                </c:pt>
              </c:numCache>
            </c:numRef>
          </c:val>
          <c:extLst xmlns:c16r2="http://schemas.microsoft.com/office/drawing/2015/06/chart">
            <c:ext xmlns:c16="http://schemas.microsoft.com/office/drawing/2014/chart" uri="{C3380CC4-5D6E-409C-BE32-E72D297353CC}">
              <c16:uniqueId val="{00000001-73B7-4796-B795-3DE1EA49C2C3}"/>
            </c:ext>
          </c:extLst>
        </c:ser>
        <c:ser>
          <c:idx val="2"/>
          <c:order val="2"/>
          <c:tx>
            <c:strRef>
              <c:f>Лист1!$D$1</c:f>
              <c:strCache>
                <c:ptCount val="1"/>
                <c:pt idx="0">
                  <c:v>Затрудняюсь ответить</c:v>
                </c:pt>
              </c:strCache>
            </c:strRef>
          </c:tx>
          <c:spPr>
            <a:solidFill>
              <a:sysClr val="window" lastClr="FFFFFF">
                <a:lumMod val="85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среднее предприятие</c:v>
                </c:pt>
                <c:pt idx="1">
                  <c:v>малое предприятие</c:v>
                </c:pt>
              </c:strCache>
            </c:strRef>
          </c:cat>
          <c:val>
            <c:numRef>
              <c:f>Лист1!$D$2:$D$3</c:f>
              <c:numCache>
                <c:formatCode>0.0%</c:formatCode>
                <c:ptCount val="2"/>
                <c:pt idx="0">
                  <c:v>0.54500000000000004</c:v>
                </c:pt>
                <c:pt idx="1">
                  <c:v>0.36200000000000032</c:v>
                </c:pt>
              </c:numCache>
            </c:numRef>
          </c:val>
          <c:extLst xmlns:c16r2="http://schemas.microsoft.com/office/drawing/2015/06/chart">
            <c:ext xmlns:c16="http://schemas.microsoft.com/office/drawing/2014/chart" uri="{C3380CC4-5D6E-409C-BE32-E72D297353CC}">
              <c16:uniqueId val="{00000002-73B7-4796-B795-3DE1EA49C2C3}"/>
            </c:ext>
          </c:extLst>
        </c:ser>
        <c:overlap val="100"/>
        <c:axId val="99196928"/>
        <c:axId val="99198464"/>
      </c:barChart>
      <c:catAx>
        <c:axId val="99196928"/>
        <c:scaling>
          <c:orientation val="maxMin"/>
        </c:scaling>
        <c:axPos val="l"/>
        <c:numFmt formatCode="General" sourceLinked="1"/>
        <c:tickLblPos val="nextTo"/>
        <c:crossAx val="99198464"/>
        <c:crosses val="autoZero"/>
        <c:auto val="1"/>
        <c:lblAlgn val="ctr"/>
        <c:lblOffset val="100"/>
      </c:catAx>
      <c:valAx>
        <c:axId val="99198464"/>
        <c:scaling>
          <c:orientation val="minMax"/>
          <c:max val="1"/>
          <c:min val="0"/>
        </c:scaling>
        <c:delete val="1"/>
        <c:axPos val="t"/>
        <c:majorGridlines/>
        <c:numFmt formatCode="0.0%" sourceLinked="1"/>
        <c:tickLblPos val="none"/>
        <c:crossAx val="99196928"/>
        <c:crosses val="autoZero"/>
        <c:crossBetween val="between"/>
        <c:majorUnit val="0.2"/>
      </c:valAx>
      <c:spPr>
        <a:noFill/>
        <a:ln>
          <a:solidFill>
            <a:schemeClr val="accent1"/>
          </a:solidFill>
        </a:ln>
      </c:spPr>
    </c:plotArea>
    <c:legend>
      <c:legendPos val="t"/>
      <c:layout>
        <c:manualLayout>
          <c:xMode val="edge"/>
          <c:yMode val="edge"/>
          <c:x val="0.14746975326757591"/>
          <c:y val="0"/>
          <c:w val="0.70506032766119064"/>
          <c:h val="0.11086462018334664"/>
        </c:manualLayout>
      </c:layout>
    </c:legend>
    <c:plotVisOnly val="1"/>
    <c:dispBlanksAs val="gap"/>
  </c:chart>
  <c:spPr>
    <a:ln>
      <a:noFill/>
    </a:ln>
  </c:spPr>
  <c:txPr>
    <a:bodyPr/>
    <a:lstStyle/>
    <a:p>
      <a:pPr>
        <a:defRPr>
          <a:latin typeface="Arial Narrow" panose="020B0606020202030204" pitchFamily="34" charset="0"/>
        </a:defRPr>
      </a:pPr>
      <a:endParaRPr lang="ru-RU"/>
    </a:p>
  </c:txPr>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27650257804892092"/>
          <c:y val="7.4255224134304909E-2"/>
          <c:w val="0.68250275481088496"/>
          <c:h val="0.91752053496057262"/>
        </c:manualLayout>
      </c:layout>
      <c:barChart>
        <c:barDir val="bar"/>
        <c:grouping val="stacked"/>
        <c:ser>
          <c:idx val="0"/>
          <c:order val="0"/>
          <c:tx>
            <c:strRef>
              <c:f>Лист1!$B$1</c:f>
              <c:strCache>
                <c:ptCount val="1"/>
                <c:pt idx="0">
                  <c:v>Удовлетворительно</c:v>
                </c:pt>
              </c:strCache>
            </c:strRef>
          </c:tx>
          <c:spPr>
            <a:solidFill>
              <a:srgbClr val="FFCC99"/>
            </a:solidFill>
          </c:spPr>
          <c:dLbls>
            <c:dLbl>
              <c:idx val="29"/>
              <c:layout>
                <c:manualLayout>
                  <c:x val="4.7058823529411934E-3"/>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15CF-44D2-9840-23D652EC3E30}"/>
                </c:ext>
              </c:extLst>
            </c:dLbl>
            <c:dLbl>
              <c:idx val="3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15CF-44D2-9840-23D652EC3E30}"/>
                </c:ext>
              </c:extLst>
            </c:dLbl>
            <c:dLbl>
              <c:idx val="3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15CF-44D2-9840-23D652EC3E30}"/>
                </c:ext>
              </c:extLst>
            </c:dLbl>
            <c:dLbl>
              <c:idx val="3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15CF-44D2-9840-23D652EC3E30}"/>
                </c:ext>
              </c:extLst>
            </c:dLbl>
            <c:dLbl>
              <c:idx val="3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15CF-44D2-9840-23D652EC3E30}"/>
                </c:ext>
              </c:extLst>
            </c:dLbl>
            <c:dLbl>
              <c:idx val="3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15CF-44D2-9840-23D652EC3E30}"/>
                </c:ext>
              </c:extLst>
            </c:dLbl>
            <c:spPr>
              <a:noFill/>
              <a:ln>
                <a:no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г. Обь</c:v>
                </c:pt>
                <c:pt idx="1">
                  <c:v>Колыванский МР</c:v>
                </c:pt>
                <c:pt idx="2">
                  <c:v>Карасукский МР</c:v>
                </c:pt>
                <c:pt idx="3">
                  <c:v>Чулымский МР</c:v>
                </c:pt>
                <c:pt idx="4">
                  <c:v>Черепановский МР</c:v>
                </c:pt>
                <c:pt idx="5">
                  <c:v>г. Искитим</c:v>
                </c:pt>
                <c:pt idx="6">
                  <c:v>Болотнинский МР</c:v>
                </c:pt>
                <c:pt idx="7">
                  <c:v>Ордынский МР</c:v>
                </c:pt>
                <c:pt idx="8">
                  <c:v>Куйбышевский МР</c:v>
                </c:pt>
                <c:pt idx="9">
                  <c:v>Здвинский МР</c:v>
                </c:pt>
                <c:pt idx="10">
                  <c:v>Северный МР</c:v>
                </c:pt>
                <c:pt idx="11">
                  <c:v>Татарский МР</c:v>
                </c:pt>
                <c:pt idx="12">
                  <c:v>Усть-Таркский МР</c:v>
                </c:pt>
                <c:pt idx="13">
                  <c:v>г. Новосибирск</c:v>
                </c:pt>
                <c:pt idx="14">
                  <c:v>г. Бердск</c:v>
                </c:pt>
                <c:pt idx="15">
                  <c:v>Барабинский МР</c:v>
                </c:pt>
                <c:pt idx="16">
                  <c:v>Коченевский МР</c:v>
                </c:pt>
                <c:pt idx="17">
                  <c:v>Маслянинский МР</c:v>
                </c:pt>
                <c:pt idx="18">
                  <c:v>Мошковский МР</c:v>
                </c:pt>
                <c:pt idx="19">
                  <c:v>Сузунский МР</c:v>
                </c:pt>
                <c:pt idx="20">
                  <c:v>Чистоозерный МР</c:v>
                </c:pt>
                <c:pt idx="21">
                  <c:v>Чановский МР</c:v>
                </c:pt>
                <c:pt idx="22">
                  <c:v>Венгеровский МР</c:v>
                </c:pt>
                <c:pt idx="23">
                  <c:v>Доволенский МР</c:v>
                </c:pt>
                <c:pt idx="24">
                  <c:v>Кочковский МР</c:v>
                </c:pt>
                <c:pt idx="25">
                  <c:v>Убинский МР</c:v>
                </c:pt>
                <c:pt idx="26">
                  <c:v>Купинский МР</c:v>
                </c:pt>
                <c:pt idx="27">
                  <c:v>р. п. Кольцово</c:v>
                </c:pt>
                <c:pt idx="28">
                  <c:v>Новосибирский МР</c:v>
                </c:pt>
                <c:pt idx="29">
                  <c:v>Тогучинский МР</c:v>
                </c:pt>
                <c:pt idx="30">
                  <c:v>Баганский МР</c:v>
                </c:pt>
                <c:pt idx="31">
                  <c:v>Искитимский МР</c:v>
                </c:pt>
                <c:pt idx="32">
                  <c:v>Каргатский МР</c:v>
                </c:pt>
                <c:pt idx="33">
                  <c:v>Краснозерский МР</c:v>
                </c:pt>
                <c:pt idx="34">
                  <c:v>Кыштовский МР</c:v>
                </c:pt>
              </c:strCache>
            </c:strRef>
          </c:cat>
          <c:val>
            <c:numRef>
              <c:f>Лист1!$B$2:$B$36</c:f>
              <c:numCache>
                <c:formatCode>0.0%</c:formatCode>
                <c:ptCount val="35"/>
                <c:pt idx="0">
                  <c:v>0.5</c:v>
                </c:pt>
                <c:pt idx="1">
                  <c:v>0.47800000000000031</c:v>
                </c:pt>
                <c:pt idx="2">
                  <c:v>0.47100000000000031</c:v>
                </c:pt>
                <c:pt idx="3">
                  <c:v>0.46700000000000008</c:v>
                </c:pt>
                <c:pt idx="4">
                  <c:v>0.44400000000000001</c:v>
                </c:pt>
                <c:pt idx="5">
                  <c:v>0.41500000000000031</c:v>
                </c:pt>
                <c:pt idx="6">
                  <c:v>0.38500000000000362</c:v>
                </c:pt>
                <c:pt idx="7">
                  <c:v>0.36800000000000038</c:v>
                </c:pt>
                <c:pt idx="8">
                  <c:v>0.34600000000000031</c:v>
                </c:pt>
                <c:pt idx="9">
                  <c:v>0.33300000000000413</c:v>
                </c:pt>
                <c:pt idx="10">
                  <c:v>0.33300000000000413</c:v>
                </c:pt>
                <c:pt idx="11">
                  <c:v>0.33300000000000413</c:v>
                </c:pt>
                <c:pt idx="12">
                  <c:v>0.33300000000000413</c:v>
                </c:pt>
                <c:pt idx="13">
                  <c:v>0.30200000000000032</c:v>
                </c:pt>
                <c:pt idx="14">
                  <c:v>0.28200000000000008</c:v>
                </c:pt>
                <c:pt idx="15">
                  <c:v>0.26300000000000001</c:v>
                </c:pt>
                <c:pt idx="16">
                  <c:v>0.23100000000000001</c:v>
                </c:pt>
                <c:pt idx="17">
                  <c:v>0.23100000000000001</c:v>
                </c:pt>
                <c:pt idx="18">
                  <c:v>0.222</c:v>
                </c:pt>
                <c:pt idx="19">
                  <c:v>0.18800000000000044</c:v>
                </c:pt>
                <c:pt idx="20">
                  <c:v>0.18200000000000024</c:v>
                </c:pt>
                <c:pt idx="21">
                  <c:v>0.15200000000000041</c:v>
                </c:pt>
                <c:pt idx="22">
                  <c:v>0.14300000000000004</c:v>
                </c:pt>
                <c:pt idx="23">
                  <c:v>0.14300000000000004</c:v>
                </c:pt>
                <c:pt idx="24">
                  <c:v>0.14300000000000004</c:v>
                </c:pt>
                <c:pt idx="25">
                  <c:v>0.14300000000000004</c:v>
                </c:pt>
                <c:pt idx="26">
                  <c:v>0.13300000000000001</c:v>
                </c:pt>
                <c:pt idx="27">
                  <c:v>0.125</c:v>
                </c:pt>
                <c:pt idx="28">
                  <c:v>9.1000000000000025E-2</c:v>
                </c:pt>
                <c:pt idx="29">
                  <c:v>4.2000000000000023E-2</c:v>
                </c:pt>
                <c:pt idx="30">
                  <c:v>0</c:v>
                </c:pt>
                <c:pt idx="31">
                  <c:v>0</c:v>
                </c:pt>
                <c:pt idx="32">
                  <c:v>0</c:v>
                </c:pt>
                <c:pt idx="33">
                  <c:v>0</c:v>
                </c:pt>
                <c:pt idx="34">
                  <c:v>0</c:v>
                </c:pt>
              </c:numCache>
            </c:numRef>
          </c:val>
          <c:extLst xmlns:c16r2="http://schemas.microsoft.com/office/drawing/2015/06/chart">
            <c:ext xmlns:c16="http://schemas.microsoft.com/office/drawing/2014/chart" uri="{C3380CC4-5D6E-409C-BE32-E72D297353CC}">
              <c16:uniqueId val="{00000000-C938-4293-A4FE-DF8AED813F11}"/>
            </c:ext>
          </c:extLst>
        </c:ser>
        <c:ser>
          <c:idx val="1"/>
          <c:order val="1"/>
          <c:tx>
            <c:strRef>
              <c:f>Лист1!$C$1</c:f>
              <c:strCache>
                <c:ptCount val="1"/>
                <c:pt idx="0">
                  <c:v>Неудовлетворительно</c:v>
                </c:pt>
              </c:strCache>
            </c:strRef>
          </c:tx>
          <c:spPr>
            <a:solidFill>
              <a:srgbClr val="B28AB2"/>
            </a:solidFill>
            <a:ln>
              <a:noFill/>
            </a:ln>
          </c:spPr>
          <c:dLbls>
            <c:dLbl>
              <c:idx val="9"/>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C938-4293-A4FE-DF8AED813F11}"/>
                </c:ext>
              </c:extLst>
            </c:dLbl>
            <c:dLbl>
              <c:idx val="1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C938-4293-A4FE-DF8AED813F11}"/>
                </c:ext>
              </c:extLst>
            </c:dLbl>
            <c:dLbl>
              <c:idx val="26"/>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C938-4293-A4FE-DF8AED813F11}"/>
                </c:ext>
              </c:extLst>
            </c:dLbl>
            <c:dLbl>
              <c:idx val="3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15CF-44D2-9840-23D652EC3E30}"/>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г. Обь</c:v>
                </c:pt>
                <c:pt idx="1">
                  <c:v>Колыванский МР</c:v>
                </c:pt>
                <c:pt idx="2">
                  <c:v>Карасукский МР</c:v>
                </c:pt>
                <c:pt idx="3">
                  <c:v>Чулымский МР</c:v>
                </c:pt>
                <c:pt idx="4">
                  <c:v>Черепановский МР</c:v>
                </c:pt>
                <c:pt idx="5">
                  <c:v>г. Искитим</c:v>
                </c:pt>
                <c:pt idx="6">
                  <c:v>Болотнинский МР</c:v>
                </c:pt>
                <c:pt idx="7">
                  <c:v>Ордынский МР</c:v>
                </c:pt>
                <c:pt idx="8">
                  <c:v>Куйбышевский МР</c:v>
                </c:pt>
                <c:pt idx="9">
                  <c:v>Здвинский МР</c:v>
                </c:pt>
                <c:pt idx="10">
                  <c:v>Северный МР</c:v>
                </c:pt>
                <c:pt idx="11">
                  <c:v>Татарский МР</c:v>
                </c:pt>
                <c:pt idx="12">
                  <c:v>Усть-Таркский МР</c:v>
                </c:pt>
                <c:pt idx="13">
                  <c:v>г. Новосибирск</c:v>
                </c:pt>
                <c:pt idx="14">
                  <c:v>г. Бердск</c:v>
                </c:pt>
                <c:pt idx="15">
                  <c:v>Барабинский МР</c:v>
                </c:pt>
                <c:pt idx="16">
                  <c:v>Коченевский МР</c:v>
                </c:pt>
                <c:pt idx="17">
                  <c:v>Маслянинский МР</c:v>
                </c:pt>
                <c:pt idx="18">
                  <c:v>Мошковский МР</c:v>
                </c:pt>
                <c:pt idx="19">
                  <c:v>Сузунский МР</c:v>
                </c:pt>
                <c:pt idx="20">
                  <c:v>Чистоозерный МР</c:v>
                </c:pt>
                <c:pt idx="21">
                  <c:v>Чановский МР</c:v>
                </c:pt>
                <c:pt idx="22">
                  <c:v>Венгеровский МР</c:v>
                </c:pt>
                <c:pt idx="23">
                  <c:v>Доволенский МР</c:v>
                </c:pt>
                <c:pt idx="24">
                  <c:v>Кочковский МР</c:v>
                </c:pt>
                <c:pt idx="25">
                  <c:v>Убинский МР</c:v>
                </c:pt>
                <c:pt idx="26">
                  <c:v>Купинский МР</c:v>
                </c:pt>
                <c:pt idx="27">
                  <c:v>р. п. Кольцово</c:v>
                </c:pt>
                <c:pt idx="28">
                  <c:v>Новосибирский МР</c:v>
                </c:pt>
                <c:pt idx="29">
                  <c:v>Тогучинский МР</c:v>
                </c:pt>
                <c:pt idx="30">
                  <c:v>Баганский МР</c:v>
                </c:pt>
                <c:pt idx="31">
                  <c:v>Искитимский МР</c:v>
                </c:pt>
                <c:pt idx="32">
                  <c:v>Каргатский МР</c:v>
                </c:pt>
                <c:pt idx="33">
                  <c:v>Краснозерский МР</c:v>
                </c:pt>
                <c:pt idx="34">
                  <c:v>Кыштовский МР</c:v>
                </c:pt>
              </c:strCache>
            </c:strRef>
          </c:cat>
          <c:val>
            <c:numRef>
              <c:f>Лист1!$C$2:$C$36</c:f>
              <c:numCache>
                <c:formatCode>0.0%</c:formatCode>
                <c:ptCount val="35"/>
                <c:pt idx="0">
                  <c:v>0.32100000000000362</c:v>
                </c:pt>
                <c:pt idx="1">
                  <c:v>0.43500000000000238</c:v>
                </c:pt>
                <c:pt idx="2">
                  <c:v>0.35300000000000031</c:v>
                </c:pt>
                <c:pt idx="3">
                  <c:v>0.53300000000000003</c:v>
                </c:pt>
                <c:pt idx="4">
                  <c:v>0.27800000000000002</c:v>
                </c:pt>
                <c:pt idx="5">
                  <c:v>0.39600000000000413</c:v>
                </c:pt>
                <c:pt idx="6">
                  <c:v>0.23100000000000001</c:v>
                </c:pt>
                <c:pt idx="7">
                  <c:v>0.36800000000000038</c:v>
                </c:pt>
                <c:pt idx="8">
                  <c:v>0.53800000000000003</c:v>
                </c:pt>
                <c:pt idx="9">
                  <c:v>0</c:v>
                </c:pt>
                <c:pt idx="10">
                  <c:v>0.33300000000000413</c:v>
                </c:pt>
                <c:pt idx="11">
                  <c:v>0.38900000000000362</c:v>
                </c:pt>
                <c:pt idx="12">
                  <c:v>0</c:v>
                </c:pt>
                <c:pt idx="13">
                  <c:v>0.33300000000000413</c:v>
                </c:pt>
                <c:pt idx="14">
                  <c:v>0.51300000000000001</c:v>
                </c:pt>
                <c:pt idx="15">
                  <c:v>0.47400000000000031</c:v>
                </c:pt>
                <c:pt idx="16">
                  <c:v>0.53800000000000003</c:v>
                </c:pt>
                <c:pt idx="17">
                  <c:v>0.53800000000000003</c:v>
                </c:pt>
                <c:pt idx="18">
                  <c:v>0.222</c:v>
                </c:pt>
                <c:pt idx="19">
                  <c:v>0.5</c:v>
                </c:pt>
                <c:pt idx="20">
                  <c:v>0.45500000000000002</c:v>
                </c:pt>
                <c:pt idx="21">
                  <c:v>0.18200000000000024</c:v>
                </c:pt>
                <c:pt idx="22">
                  <c:v>0.57099999999999995</c:v>
                </c:pt>
                <c:pt idx="23">
                  <c:v>0.42900000000000038</c:v>
                </c:pt>
                <c:pt idx="24">
                  <c:v>0.42900000000000038</c:v>
                </c:pt>
                <c:pt idx="25">
                  <c:v>0.42900000000000038</c:v>
                </c:pt>
                <c:pt idx="26">
                  <c:v>0</c:v>
                </c:pt>
                <c:pt idx="27">
                  <c:v>0.62500000000000655</c:v>
                </c:pt>
                <c:pt idx="28">
                  <c:v>0.27300000000000002</c:v>
                </c:pt>
                <c:pt idx="29">
                  <c:v>0.125</c:v>
                </c:pt>
                <c:pt idx="30">
                  <c:v>0.125</c:v>
                </c:pt>
                <c:pt idx="31">
                  <c:v>0.47100000000000031</c:v>
                </c:pt>
                <c:pt idx="32">
                  <c:v>0.5</c:v>
                </c:pt>
                <c:pt idx="33">
                  <c:v>0</c:v>
                </c:pt>
                <c:pt idx="34">
                  <c:v>0.16700000000000001</c:v>
                </c:pt>
              </c:numCache>
            </c:numRef>
          </c:val>
          <c:extLst xmlns:c16r2="http://schemas.microsoft.com/office/drawing/2015/06/chart">
            <c:ext xmlns:c16="http://schemas.microsoft.com/office/drawing/2014/chart" uri="{C3380CC4-5D6E-409C-BE32-E72D297353CC}">
              <c16:uniqueId val="{00000004-C938-4293-A4FE-DF8AED813F11}"/>
            </c:ext>
          </c:extLst>
        </c:ser>
        <c:ser>
          <c:idx val="2"/>
          <c:order val="2"/>
          <c:tx>
            <c:strRef>
              <c:f>Лист1!$D$1</c:f>
              <c:strCache>
                <c:ptCount val="1"/>
                <c:pt idx="0">
                  <c:v>Затрудняюсь ответить</c:v>
                </c:pt>
              </c:strCache>
            </c:strRef>
          </c:tx>
          <c:spPr>
            <a:solidFill>
              <a:sysClr val="window" lastClr="FFFFFF">
                <a:lumMod val="85000"/>
              </a:sysClr>
            </a:solidFill>
          </c:spPr>
          <c:dLbls>
            <c:dLbl>
              <c:idx val="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C938-4293-A4FE-DF8AED813F11}"/>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г. Обь</c:v>
                </c:pt>
                <c:pt idx="1">
                  <c:v>Колыванский МР</c:v>
                </c:pt>
                <c:pt idx="2">
                  <c:v>Карасукский МР</c:v>
                </c:pt>
                <c:pt idx="3">
                  <c:v>Чулымский МР</c:v>
                </c:pt>
                <c:pt idx="4">
                  <c:v>Черепановский МР</c:v>
                </c:pt>
                <c:pt idx="5">
                  <c:v>г. Искитим</c:v>
                </c:pt>
                <c:pt idx="6">
                  <c:v>Болотнинский МР</c:v>
                </c:pt>
                <c:pt idx="7">
                  <c:v>Ордынский МР</c:v>
                </c:pt>
                <c:pt idx="8">
                  <c:v>Куйбышевский МР</c:v>
                </c:pt>
                <c:pt idx="9">
                  <c:v>Здвинский МР</c:v>
                </c:pt>
                <c:pt idx="10">
                  <c:v>Северный МР</c:v>
                </c:pt>
                <c:pt idx="11">
                  <c:v>Татарский МР</c:v>
                </c:pt>
                <c:pt idx="12">
                  <c:v>Усть-Таркский МР</c:v>
                </c:pt>
                <c:pt idx="13">
                  <c:v>г. Новосибирск</c:v>
                </c:pt>
                <c:pt idx="14">
                  <c:v>г. Бердск</c:v>
                </c:pt>
                <c:pt idx="15">
                  <c:v>Барабинский МР</c:v>
                </c:pt>
                <c:pt idx="16">
                  <c:v>Коченевский МР</c:v>
                </c:pt>
                <c:pt idx="17">
                  <c:v>Маслянинский МР</c:v>
                </c:pt>
                <c:pt idx="18">
                  <c:v>Мошковский МР</c:v>
                </c:pt>
                <c:pt idx="19">
                  <c:v>Сузунский МР</c:v>
                </c:pt>
                <c:pt idx="20">
                  <c:v>Чистоозерный МР</c:v>
                </c:pt>
                <c:pt idx="21">
                  <c:v>Чановский МР</c:v>
                </c:pt>
                <c:pt idx="22">
                  <c:v>Венгеровский МР</c:v>
                </c:pt>
                <c:pt idx="23">
                  <c:v>Доволенский МР</c:v>
                </c:pt>
                <c:pt idx="24">
                  <c:v>Кочковский МР</c:v>
                </c:pt>
                <c:pt idx="25">
                  <c:v>Убинский МР</c:v>
                </c:pt>
                <c:pt idx="26">
                  <c:v>Купинский МР</c:v>
                </c:pt>
                <c:pt idx="27">
                  <c:v>р. п. Кольцово</c:v>
                </c:pt>
                <c:pt idx="28">
                  <c:v>Новосибирский МР</c:v>
                </c:pt>
                <c:pt idx="29">
                  <c:v>Тогучинский МР</c:v>
                </c:pt>
                <c:pt idx="30">
                  <c:v>Баганский МР</c:v>
                </c:pt>
                <c:pt idx="31">
                  <c:v>Искитимский МР</c:v>
                </c:pt>
                <c:pt idx="32">
                  <c:v>Каргатский МР</c:v>
                </c:pt>
                <c:pt idx="33">
                  <c:v>Краснозерский МР</c:v>
                </c:pt>
                <c:pt idx="34">
                  <c:v>Кыштовский МР</c:v>
                </c:pt>
              </c:strCache>
            </c:strRef>
          </c:cat>
          <c:val>
            <c:numRef>
              <c:f>Лист1!$D$2:$D$36</c:f>
              <c:numCache>
                <c:formatCode>0.0%</c:formatCode>
                <c:ptCount val="35"/>
                <c:pt idx="0">
                  <c:v>0.17900000000000021</c:v>
                </c:pt>
                <c:pt idx="1">
                  <c:v>8.7000000000000022E-2</c:v>
                </c:pt>
                <c:pt idx="2">
                  <c:v>0.17600000000000021</c:v>
                </c:pt>
                <c:pt idx="3">
                  <c:v>0</c:v>
                </c:pt>
                <c:pt idx="4">
                  <c:v>0.27800000000000002</c:v>
                </c:pt>
                <c:pt idx="5">
                  <c:v>0.18900000000000144</c:v>
                </c:pt>
                <c:pt idx="6">
                  <c:v>0.38500000000000362</c:v>
                </c:pt>
                <c:pt idx="7">
                  <c:v>0.26300000000000001</c:v>
                </c:pt>
                <c:pt idx="8">
                  <c:v>0.115</c:v>
                </c:pt>
                <c:pt idx="9">
                  <c:v>0.66700000000000825</c:v>
                </c:pt>
                <c:pt idx="10">
                  <c:v>0.33300000000000413</c:v>
                </c:pt>
                <c:pt idx="11">
                  <c:v>0.27800000000000002</c:v>
                </c:pt>
                <c:pt idx="12">
                  <c:v>0.66700000000000825</c:v>
                </c:pt>
                <c:pt idx="13">
                  <c:v>0.36500000000000032</c:v>
                </c:pt>
                <c:pt idx="14">
                  <c:v>0.20500000000000004</c:v>
                </c:pt>
                <c:pt idx="15">
                  <c:v>0.26300000000000001</c:v>
                </c:pt>
                <c:pt idx="16">
                  <c:v>0.23100000000000001</c:v>
                </c:pt>
                <c:pt idx="17">
                  <c:v>0.23100000000000001</c:v>
                </c:pt>
                <c:pt idx="18">
                  <c:v>0.55600000000000005</c:v>
                </c:pt>
                <c:pt idx="19">
                  <c:v>0.31300000000000322</c:v>
                </c:pt>
                <c:pt idx="20">
                  <c:v>0.36400000000000032</c:v>
                </c:pt>
                <c:pt idx="21">
                  <c:v>0.66700000000000825</c:v>
                </c:pt>
                <c:pt idx="22">
                  <c:v>0.28600000000000031</c:v>
                </c:pt>
                <c:pt idx="23">
                  <c:v>0.42900000000000038</c:v>
                </c:pt>
                <c:pt idx="24">
                  <c:v>0.42900000000000038</c:v>
                </c:pt>
                <c:pt idx="25">
                  <c:v>0.42900000000000038</c:v>
                </c:pt>
                <c:pt idx="26">
                  <c:v>0.86700000000000643</c:v>
                </c:pt>
                <c:pt idx="27">
                  <c:v>0.25</c:v>
                </c:pt>
                <c:pt idx="28">
                  <c:v>0.63600000000000723</c:v>
                </c:pt>
                <c:pt idx="29">
                  <c:v>0.83300000000000063</c:v>
                </c:pt>
                <c:pt idx="30">
                  <c:v>0.87500000000000655</c:v>
                </c:pt>
                <c:pt idx="31">
                  <c:v>0.52900000000000003</c:v>
                </c:pt>
                <c:pt idx="32">
                  <c:v>0.5</c:v>
                </c:pt>
                <c:pt idx="33">
                  <c:v>1</c:v>
                </c:pt>
                <c:pt idx="34">
                  <c:v>0.83300000000000063</c:v>
                </c:pt>
              </c:numCache>
            </c:numRef>
          </c:val>
          <c:extLst xmlns:c16r2="http://schemas.microsoft.com/office/drawing/2015/06/chart">
            <c:ext xmlns:c16="http://schemas.microsoft.com/office/drawing/2014/chart" uri="{C3380CC4-5D6E-409C-BE32-E72D297353CC}">
              <c16:uniqueId val="{00000006-C938-4293-A4FE-DF8AED813F11}"/>
            </c:ext>
          </c:extLst>
        </c:ser>
        <c:overlap val="100"/>
        <c:axId val="99996800"/>
        <c:axId val="99998336"/>
      </c:barChart>
      <c:catAx>
        <c:axId val="99996800"/>
        <c:scaling>
          <c:orientation val="maxMin"/>
        </c:scaling>
        <c:axPos val="l"/>
        <c:numFmt formatCode="General" sourceLinked="1"/>
        <c:tickLblPos val="nextTo"/>
        <c:crossAx val="99998336"/>
        <c:crosses val="autoZero"/>
        <c:auto val="1"/>
        <c:lblAlgn val="ctr"/>
        <c:lblOffset val="100"/>
      </c:catAx>
      <c:valAx>
        <c:axId val="99998336"/>
        <c:scaling>
          <c:orientation val="minMax"/>
          <c:max val="1"/>
          <c:min val="0"/>
        </c:scaling>
        <c:axPos val="t"/>
        <c:majorGridlines/>
        <c:numFmt formatCode="0.0%" sourceLinked="1"/>
        <c:tickLblPos val="nextTo"/>
        <c:crossAx val="99996800"/>
        <c:crosses val="autoZero"/>
        <c:crossBetween val="between"/>
        <c:majorUnit val="0.2"/>
      </c:valAx>
      <c:spPr>
        <a:noFill/>
        <a:ln>
          <a:solidFill>
            <a:schemeClr val="accent1"/>
          </a:solidFill>
        </a:ln>
      </c:spPr>
    </c:plotArea>
    <c:legend>
      <c:legendPos val="t"/>
    </c:legend>
    <c:plotVisOnly val="1"/>
    <c:dispBlanksAs val="gap"/>
  </c:chart>
  <c:spPr>
    <a:ln>
      <a:noFill/>
    </a:ln>
  </c:spPr>
  <c:txPr>
    <a:bodyPr/>
    <a:lstStyle/>
    <a:p>
      <a:pPr>
        <a:defRPr>
          <a:latin typeface="Arial Narrow" panose="020B0606020202030204" pitchFamily="34" charset="0"/>
        </a:defRPr>
      </a:pPr>
      <a:endParaRPr lang="ru-RU"/>
    </a:p>
  </c:txPr>
  <c:externalData r:id="rId2"/>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28270336233239335"/>
          <c:y val="0.24922190008967224"/>
          <c:w val="0.63116279763829264"/>
          <c:h val="0.74556582338543065"/>
        </c:manualLayout>
      </c:layout>
      <c:barChart>
        <c:barDir val="bar"/>
        <c:grouping val="stacked"/>
        <c:ser>
          <c:idx val="0"/>
          <c:order val="0"/>
          <c:tx>
            <c:strRef>
              <c:f>Лист1!$B$1</c:f>
              <c:strCache>
                <c:ptCount val="1"/>
                <c:pt idx="0">
                  <c:v>Удовлетворительно</c:v>
                </c:pt>
              </c:strCache>
            </c:strRef>
          </c:tx>
          <c:spPr>
            <a:solidFill>
              <a:srgbClr val="ED7D31">
                <a:lumMod val="40000"/>
                <a:lumOff val="60000"/>
              </a:srgbClr>
            </a:solidFill>
          </c:spPr>
          <c:dLbls>
            <c:spPr>
              <a:noFill/>
              <a:ln>
                <a:noFill/>
              </a:ln>
              <a:effectLst/>
            </c:spPr>
            <c:txPr>
              <a:bodyPr/>
              <a:lstStyle/>
              <a:p>
                <a:pPr>
                  <a:defRPr>
                    <a:solidFill>
                      <a:schemeClr val="bg1"/>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Электроснабжение</c:v>
                </c:pt>
                <c:pt idx="1">
                  <c:v>Водоснабжение, водоотведение</c:v>
                </c:pt>
                <c:pt idx="2">
                  <c:v>Теплоснабжение</c:v>
                </c:pt>
                <c:pt idx="3">
                  <c:v>Газоснабжение</c:v>
                </c:pt>
              </c:strCache>
            </c:strRef>
          </c:cat>
          <c:val>
            <c:numRef>
              <c:f>Лист1!$B$2:$B$5</c:f>
              <c:numCache>
                <c:formatCode>0.0%</c:formatCode>
                <c:ptCount val="4"/>
                <c:pt idx="0">
                  <c:v>0.65600000000000847</c:v>
                </c:pt>
                <c:pt idx="1">
                  <c:v>0.62600000000000688</c:v>
                </c:pt>
                <c:pt idx="2">
                  <c:v>0.61500000000000365</c:v>
                </c:pt>
                <c:pt idx="3">
                  <c:v>0.52400000000000002</c:v>
                </c:pt>
              </c:numCache>
            </c:numRef>
          </c:val>
          <c:extLst xmlns:c16r2="http://schemas.microsoft.com/office/drawing/2015/06/chart">
            <c:ext xmlns:c16="http://schemas.microsoft.com/office/drawing/2014/chart" uri="{C3380CC4-5D6E-409C-BE32-E72D297353CC}">
              <c16:uniqueId val="{00000000-B002-402E-BC37-A76E2CA66F44}"/>
            </c:ext>
          </c:extLst>
        </c:ser>
        <c:ser>
          <c:idx val="1"/>
          <c:order val="1"/>
          <c:tx>
            <c:strRef>
              <c:f>Лист1!$C$1</c:f>
              <c:strCache>
                <c:ptCount val="1"/>
                <c:pt idx="0">
                  <c:v>Неудовлетворительно</c:v>
                </c:pt>
              </c:strCache>
            </c:strRef>
          </c:tx>
          <c:spPr>
            <a:solidFill>
              <a:srgbClr val="B28AB2"/>
            </a:solidFill>
            <a:ln>
              <a:noFill/>
            </a:ln>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Электроснабжение</c:v>
                </c:pt>
                <c:pt idx="1">
                  <c:v>Водоснабжение, водоотведение</c:v>
                </c:pt>
                <c:pt idx="2">
                  <c:v>Теплоснабжение</c:v>
                </c:pt>
                <c:pt idx="3">
                  <c:v>Газоснабжение</c:v>
                </c:pt>
              </c:strCache>
            </c:strRef>
          </c:cat>
          <c:val>
            <c:numRef>
              <c:f>Лист1!$C$2:$C$5</c:f>
              <c:numCache>
                <c:formatCode>0.0%</c:formatCode>
                <c:ptCount val="4"/>
                <c:pt idx="0">
                  <c:v>0.16400000000000001</c:v>
                </c:pt>
                <c:pt idx="1">
                  <c:v>0.17400000000000004</c:v>
                </c:pt>
                <c:pt idx="2">
                  <c:v>0.161</c:v>
                </c:pt>
                <c:pt idx="3">
                  <c:v>0.128</c:v>
                </c:pt>
              </c:numCache>
            </c:numRef>
          </c:val>
          <c:extLst xmlns:c16r2="http://schemas.microsoft.com/office/drawing/2015/06/chart">
            <c:ext xmlns:c16="http://schemas.microsoft.com/office/drawing/2014/chart" uri="{C3380CC4-5D6E-409C-BE32-E72D297353CC}">
              <c16:uniqueId val="{00000001-B002-402E-BC37-A76E2CA66F44}"/>
            </c:ext>
          </c:extLst>
        </c:ser>
        <c:ser>
          <c:idx val="2"/>
          <c:order val="2"/>
          <c:tx>
            <c:strRef>
              <c:f>Лист1!$D$1</c:f>
              <c:strCache>
                <c:ptCount val="1"/>
                <c:pt idx="0">
                  <c:v>Затрудняюсь ответить</c:v>
                </c:pt>
              </c:strCache>
            </c:strRef>
          </c:tx>
          <c:spPr>
            <a:solidFill>
              <a:sysClr val="window" lastClr="FFFFFF">
                <a:lumMod val="85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Электроснабжение</c:v>
                </c:pt>
                <c:pt idx="1">
                  <c:v>Водоснабжение, водоотведение</c:v>
                </c:pt>
                <c:pt idx="2">
                  <c:v>Теплоснабжение</c:v>
                </c:pt>
                <c:pt idx="3">
                  <c:v>Газоснабжение</c:v>
                </c:pt>
              </c:strCache>
            </c:strRef>
          </c:cat>
          <c:val>
            <c:numRef>
              <c:f>Лист1!$D$2:$D$5</c:f>
              <c:numCache>
                <c:formatCode>0.0%</c:formatCode>
                <c:ptCount val="4"/>
                <c:pt idx="0">
                  <c:v>0.18000000000000024</c:v>
                </c:pt>
                <c:pt idx="1">
                  <c:v>0.2</c:v>
                </c:pt>
                <c:pt idx="2">
                  <c:v>0.224</c:v>
                </c:pt>
                <c:pt idx="3">
                  <c:v>0.34800000000000031</c:v>
                </c:pt>
              </c:numCache>
            </c:numRef>
          </c:val>
          <c:extLst xmlns:c16r2="http://schemas.microsoft.com/office/drawing/2015/06/chart">
            <c:ext xmlns:c16="http://schemas.microsoft.com/office/drawing/2014/chart" uri="{C3380CC4-5D6E-409C-BE32-E72D297353CC}">
              <c16:uniqueId val="{00000002-B002-402E-BC37-A76E2CA66F44}"/>
            </c:ext>
          </c:extLst>
        </c:ser>
        <c:overlap val="100"/>
        <c:axId val="99936128"/>
        <c:axId val="99937664"/>
      </c:barChart>
      <c:catAx>
        <c:axId val="99936128"/>
        <c:scaling>
          <c:orientation val="maxMin"/>
        </c:scaling>
        <c:axPos val="l"/>
        <c:numFmt formatCode="General" sourceLinked="1"/>
        <c:tickLblPos val="nextTo"/>
        <c:crossAx val="99937664"/>
        <c:crosses val="autoZero"/>
        <c:auto val="1"/>
        <c:lblAlgn val="ctr"/>
        <c:lblOffset val="100"/>
      </c:catAx>
      <c:valAx>
        <c:axId val="99937664"/>
        <c:scaling>
          <c:orientation val="minMax"/>
          <c:max val="1"/>
          <c:min val="0"/>
        </c:scaling>
        <c:axPos val="t"/>
        <c:majorGridlines/>
        <c:numFmt formatCode="0.0%" sourceLinked="1"/>
        <c:tickLblPos val="nextTo"/>
        <c:crossAx val="99936128"/>
        <c:crosses val="autoZero"/>
        <c:crossBetween val="between"/>
        <c:majorUnit val="0.2"/>
      </c:valAx>
      <c:spPr>
        <a:noFill/>
        <a:ln>
          <a:solidFill>
            <a:schemeClr val="accent1"/>
          </a:solidFill>
        </a:ln>
      </c:spPr>
    </c:plotArea>
    <c:legend>
      <c:legendPos val="t"/>
    </c:legend>
    <c:plotVisOnly val="1"/>
    <c:dispBlanksAs val="gap"/>
  </c:chart>
  <c:spPr>
    <a:ln>
      <a:noFill/>
    </a:ln>
  </c:spPr>
  <c:txPr>
    <a:bodyPr/>
    <a:lstStyle/>
    <a:p>
      <a:pPr>
        <a:defRPr>
          <a:latin typeface="Arial Narrow" panose="020B0606020202030204" pitchFamily="34" charset="0"/>
        </a:defRPr>
      </a:pPr>
      <a:endParaRPr lang="ru-RU"/>
    </a:p>
  </c:txPr>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51983591963285292"/>
          <c:y val="9.052116073915395E-2"/>
          <c:w val="0.57139169007383839"/>
          <c:h val="0.89469417207093482"/>
        </c:manualLayout>
      </c:layout>
      <c:barChart>
        <c:barDir val="bar"/>
        <c:grouping val="stacked"/>
        <c:ser>
          <c:idx val="0"/>
          <c:order val="0"/>
          <c:tx>
            <c:strRef>
              <c:f>Лист1!$B$1</c:f>
              <c:strCache>
                <c:ptCount val="1"/>
                <c:pt idx="0">
                  <c:v>Удовлетворительно</c:v>
                </c:pt>
              </c:strCache>
            </c:strRef>
          </c:tx>
          <c:spPr>
            <a:solidFill>
              <a:srgbClr val="ED7D31">
                <a:lumMod val="40000"/>
                <a:lumOff val="60000"/>
              </a:srgbClr>
            </a:solidFill>
          </c:spPr>
          <c:dLbls>
            <c:spPr>
              <a:noFill/>
              <a:ln>
                <a:no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медицинских услуг</c:v>
                </c:pt>
                <c:pt idx="1">
                  <c:v>Рынок услуг детского отдыха и оздоровления</c:v>
                </c:pt>
                <c:pt idx="2">
                  <c:v>Рынок услуг дополнительного образования детей</c:v>
                </c:pt>
                <c:pt idx="3">
                  <c:v>Рынок услуг социального обслуживания населения</c:v>
                </c:pt>
                <c:pt idx="4">
                  <c:v>Рынок услуг психолого-педагогического сопровождения детей с ограниченными возможностями здоровья</c:v>
                </c:pt>
                <c:pt idx="5">
                  <c:v>Рынок услуг связи</c:v>
                </c:pt>
                <c:pt idx="6">
                  <c:v>Рынок услуг ЖКХ</c:v>
                </c:pt>
                <c:pt idx="7">
                  <c:v>Рынок услуг дошкольного образования</c:v>
                </c:pt>
                <c:pt idx="8">
                  <c:v>Рынок развития, производства, переработки и хранения с‎\х продукции</c:v>
                </c:pt>
                <c:pt idx="9">
                  <c:v>Рынок услуг в сфере культуры</c:v>
                </c:pt>
                <c:pt idx="10">
                  <c:v>Розничная торговля</c:v>
                </c:pt>
                <c:pt idx="11">
                  <c:v>Рынок услуг по сбору, сортировке и переработке твердых коммунальных (бытовых) отходов</c:v>
                </c:pt>
                <c:pt idx="12">
                  <c:v>Рынок услуг перевозок пассажиров наземным транспортом</c:v>
                </c:pt>
              </c:strCache>
            </c:strRef>
          </c:cat>
          <c:val>
            <c:numRef>
              <c:f>Лист1!$B$2:$B$14</c:f>
              <c:numCache>
                <c:formatCode>0.0%</c:formatCode>
                <c:ptCount val="13"/>
                <c:pt idx="0">
                  <c:v>0.81399999999999995</c:v>
                </c:pt>
                <c:pt idx="1">
                  <c:v>0.8</c:v>
                </c:pt>
                <c:pt idx="2">
                  <c:v>0.76000000000000745</c:v>
                </c:pt>
                <c:pt idx="3">
                  <c:v>0.76000000000000745</c:v>
                </c:pt>
                <c:pt idx="4">
                  <c:v>0.72000000000000064</c:v>
                </c:pt>
                <c:pt idx="5">
                  <c:v>0.72000000000000064</c:v>
                </c:pt>
                <c:pt idx="6">
                  <c:v>0.71400000000000063</c:v>
                </c:pt>
                <c:pt idx="7">
                  <c:v>0.70000000000000062</c:v>
                </c:pt>
                <c:pt idx="8">
                  <c:v>0.6700000000000087</c:v>
                </c:pt>
                <c:pt idx="9">
                  <c:v>0.64000000000000745</c:v>
                </c:pt>
                <c:pt idx="10">
                  <c:v>0.62200000000000666</c:v>
                </c:pt>
                <c:pt idx="11">
                  <c:v>0.60000000000000064</c:v>
                </c:pt>
                <c:pt idx="12">
                  <c:v>0.45</c:v>
                </c:pt>
              </c:numCache>
            </c:numRef>
          </c:val>
          <c:extLst xmlns:c16r2="http://schemas.microsoft.com/office/drawing/2015/06/chart">
            <c:ext xmlns:c16="http://schemas.microsoft.com/office/drawing/2014/chart" uri="{C3380CC4-5D6E-409C-BE32-E72D297353CC}">
              <c16:uniqueId val="{00000000-A6FB-4042-B9FF-844DC2A9308D}"/>
            </c:ext>
          </c:extLst>
        </c:ser>
        <c:ser>
          <c:idx val="1"/>
          <c:order val="1"/>
          <c:tx>
            <c:strRef>
              <c:f>Лист1!$C$1</c:f>
              <c:strCache>
                <c:ptCount val="1"/>
                <c:pt idx="0">
                  <c:v>Неудовлетворительно</c:v>
                </c:pt>
              </c:strCache>
            </c:strRef>
          </c:tx>
          <c:spPr>
            <a:solidFill>
              <a:srgbClr val="B28AB2"/>
            </a:solidFill>
            <a:ln>
              <a:noFill/>
            </a:ln>
          </c:spPr>
          <c:dLbls>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A6FB-4042-B9FF-844DC2A9308D}"/>
                </c:ext>
              </c:extLst>
            </c:dLbl>
            <c:dLbl>
              <c:idx val="5"/>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A6FB-4042-B9FF-844DC2A9308D}"/>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медицинских услуг</c:v>
                </c:pt>
                <c:pt idx="1">
                  <c:v>Рынок услуг детского отдыха и оздоровления</c:v>
                </c:pt>
                <c:pt idx="2">
                  <c:v>Рынок услуг дополнительного образования детей</c:v>
                </c:pt>
                <c:pt idx="3">
                  <c:v>Рынок услуг социального обслуживания населения</c:v>
                </c:pt>
                <c:pt idx="4">
                  <c:v>Рынок услуг психолого-педагогического сопровождения детей с ограниченными возможностями здоровья</c:v>
                </c:pt>
                <c:pt idx="5">
                  <c:v>Рынок услуг связи</c:v>
                </c:pt>
                <c:pt idx="6">
                  <c:v>Рынок услуг ЖКХ</c:v>
                </c:pt>
                <c:pt idx="7">
                  <c:v>Рынок услуг дошкольного образования</c:v>
                </c:pt>
                <c:pt idx="8">
                  <c:v>Рынок развития, производства, переработки и хранения с‎\х продукции</c:v>
                </c:pt>
                <c:pt idx="9">
                  <c:v>Рынок услуг в сфере культуры</c:v>
                </c:pt>
                <c:pt idx="10">
                  <c:v>Розничная торговля</c:v>
                </c:pt>
                <c:pt idx="11">
                  <c:v>Рынок услуг по сбору, сортировке и переработке твердых коммунальных (бытовых) отходов</c:v>
                </c:pt>
                <c:pt idx="12">
                  <c:v>Рынок услуг перевозок пассажиров наземным транспортом</c:v>
                </c:pt>
              </c:strCache>
            </c:strRef>
          </c:cat>
          <c:val>
            <c:numRef>
              <c:f>Лист1!$C$2:$C$14</c:f>
              <c:numCache>
                <c:formatCode>0.0%</c:formatCode>
                <c:ptCount val="13"/>
                <c:pt idx="0">
                  <c:v>0.1</c:v>
                </c:pt>
                <c:pt idx="1">
                  <c:v>0</c:v>
                </c:pt>
                <c:pt idx="2">
                  <c:v>0.12000000000000002</c:v>
                </c:pt>
                <c:pt idx="3">
                  <c:v>0.2</c:v>
                </c:pt>
                <c:pt idx="4">
                  <c:v>0.2</c:v>
                </c:pt>
                <c:pt idx="5">
                  <c:v>0</c:v>
                </c:pt>
                <c:pt idx="6">
                  <c:v>0.15700000000000044</c:v>
                </c:pt>
                <c:pt idx="7">
                  <c:v>0.30000000000000032</c:v>
                </c:pt>
                <c:pt idx="8">
                  <c:v>0.16</c:v>
                </c:pt>
                <c:pt idx="9">
                  <c:v>8.0000000000000043E-2</c:v>
                </c:pt>
                <c:pt idx="10">
                  <c:v>0.21100000000000024</c:v>
                </c:pt>
                <c:pt idx="11">
                  <c:v>0.4</c:v>
                </c:pt>
                <c:pt idx="12">
                  <c:v>0.21700000000000041</c:v>
                </c:pt>
              </c:numCache>
            </c:numRef>
          </c:val>
          <c:extLst xmlns:c16r2="http://schemas.microsoft.com/office/drawing/2015/06/chart">
            <c:ext xmlns:c16="http://schemas.microsoft.com/office/drawing/2014/chart" uri="{C3380CC4-5D6E-409C-BE32-E72D297353CC}">
              <c16:uniqueId val="{00000003-A6FB-4042-B9FF-844DC2A9308D}"/>
            </c:ext>
          </c:extLst>
        </c:ser>
        <c:ser>
          <c:idx val="2"/>
          <c:order val="2"/>
          <c:tx>
            <c:strRef>
              <c:f>Лист1!$D$1</c:f>
              <c:strCache>
                <c:ptCount val="1"/>
                <c:pt idx="0">
                  <c:v>Затрудняюсь ответить</c:v>
                </c:pt>
              </c:strCache>
            </c:strRef>
          </c:tx>
          <c:spPr>
            <a:solidFill>
              <a:sysClr val="window" lastClr="FFFFFF">
                <a:lumMod val="85000"/>
              </a:sysClr>
            </a:solidFill>
          </c:spPr>
          <c:dLbls>
            <c:dLbl>
              <c:idx val="7"/>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A6FB-4042-B9FF-844DC2A9308D}"/>
                </c:ext>
              </c:extLst>
            </c:dLbl>
            <c:dLbl>
              <c:idx val="1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A6FB-4042-B9FF-844DC2A9308D}"/>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медицинских услуг</c:v>
                </c:pt>
                <c:pt idx="1">
                  <c:v>Рынок услуг детского отдыха и оздоровления</c:v>
                </c:pt>
                <c:pt idx="2">
                  <c:v>Рынок услуг дополнительного образования детей</c:v>
                </c:pt>
                <c:pt idx="3">
                  <c:v>Рынок услуг социального обслуживания населения</c:v>
                </c:pt>
                <c:pt idx="4">
                  <c:v>Рынок услуг психолого-педагогического сопровождения детей с ограниченными возможностями здоровья</c:v>
                </c:pt>
                <c:pt idx="5">
                  <c:v>Рынок услуг связи</c:v>
                </c:pt>
                <c:pt idx="6">
                  <c:v>Рынок услуг ЖКХ</c:v>
                </c:pt>
                <c:pt idx="7">
                  <c:v>Рынок услуг дошкольного образования</c:v>
                </c:pt>
                <c:pt idx="8">
                  <c:v>Рынок развития, производства, переработки и хранения с‎\х продукции</c:v>
                </c:pt>
                <c:pt idx="9">
                  <c:v>Рынок услуг в сфере культуры</c:v>
                </c:pt>
                <c:pt idx="10">
                  <c:v>Розничная торговля</c:v>
                </c:pt>
                <c:pt idx="11">
                  <c:v>Рынок услуг по сбору, сортировке и переработке твердых коммунальных (бытовых) отходов</c:v>
                </c:pt>
                <c:pt idx="12">
                  <c:v>Рынок услуг перевозок пассажиров наземным транспортом</c:v>
                </c:pt>
              </c:strCache>
            </c:strRef>
          </c:cat>
          <c:val>
            <c:numRef>
              <c:f>Лист1!$D$2:$D$14</c:f>
              <c:numCache>
                <c:formatCode>0.0%</c:formatCode>
                <c:ptCount val="13"/>
                <c:pt idx="0">
                  <c:v>8.6000000000000021E-2</c:v>
                </c:pt>
                <c:pt idx="1">
                  <c:v>0.2</c:v>
                </c:pt>
                <c:pt idx="2">
                  <c:v>0.12000000000000002</c:v>
                </c:pt>
                <c:pt idx="3">
                  <c:v>4.0000000000000022E-2</c:v>
                </c:pt>
                <c:pt idx="4">
                  <c:v>8.0000000000000043E-2</c:v>
                </c:pt>
                <c:pt idx="5">
                  <c:v>0.28000000000000008</c:v>
                </c:pt>
                <c:pt idx="6">
                  <c:v>0.129</c:v>
                </c:pt>
                <c:pt idx="7">
                  <c:v>0</c:v>
                </c:pt>
                <c:pt idx="8">
                  <c:v>0.17</c:v>
                </c:pt>
                <c:pt idx="9">
                  <c:v>0.28000000000000008</c:v>
                </c:pt>
                <c:pt idx="10">
                  <c:v>0.16700000000000001</c:v>
                </c:pt>
                <c:pt idx="11">
                  <c:v>0</c:v>
                </c:pt>
                <c:pt idx="12">
                  <c:v>0.33300000000000435</c:v>
                </c:pt>
              </c:numCache>
            </c:numRef>
          </c:val>
          <c:extLst xmlns:c16r2="http://schemas.microsoft.com/office/drawing/2015/06/chart">
            <c:ext xmlns:c16="http://schemas.microsoft.com/office/drawing/2014/chart" uri="{C3380CC4-5D6E-409C-BE32-E72D297353CC}">
              <c16:uniqueId val="{00000006-A6FB-4042-B9FF-844DC2A9308D}"/>
            </c:ext>
          </c:extLst>
        </c:ser>
        <c:overlap val="100"/>
        <c:axId val="100381056"/>
        <c:axId val="100382592"/>
      </c:barChart>
      <c:catAx>
        <c:axId val="100381056"/>
        <c:scaling>
          <c:orientation val="maxMin"/>
        </c:scaling>
        <c:axPos val="l"/>
        <c:numFmt formatCode="General" sourceLinked="1"/>
        <c:tickLblPos val="nextTo"/>
        <c:crossAx val="100382592"/>
        <c:crosses val="autoZero"/>
        <c:auto val="1"/>
        <c:lblAlgn val="ctr"/>
        <c:lblOffset val="100"/>
      </c:catAx>
      <c:valAx>
        <c:axId val="100382592"/>
        <c:scaling>
          <c:orientation val="minMax"/>
          <c:max val="1"/>
          <c:min val="0"/>
        </c:scaling>
        <c:axPos val="t"/>
        <c:majorGridlines/>
        <c:numFmt formatCode="0.0%" sourceLinked="1"/>
        <c:tickLblPos val="nextTo"/>
        <c:txPr>
          <a:bodyPr/>
          <a:lstStyle/>
          <a:p>
            <a:pPr>
              <a:defRPr sz="800"/>
            </a:pPr>
            <a:endParaRPr lang="ru-RU"/>
          </a:p>
        </c:txPr>
        <c:crossAx val="100381056"/>
        <c:crosses val="autoZero"/>
        <c:crossBetween val="between"/>
        <c:majorUnit val="0.2"/>
      </c:valAx>
      <c:spPr>
        <a:noFill/>
        <a:ln>
          <a:solidFill>
            <a:schemeClr val="accent1"/>
          </a:solidFill>
        </a:ln>
      </c:spPr>
    </c:plotArea>
    <c:legend>
      <c:legendPos val="t"/>
    </c:legend>
    <c:plotVisOnly val="1"/>
    <c:dispBlanksAs val="gap"/>
  </c:chart>
  <c:spPr>
    <a:ln>
      <a:noFill/>
    </a:ln>
  </c:spPr>
  <c:txPr>
    <a:bodyPr/>
    <a:lstStyle/>
    <a:p>
      <a:pPr>
        <a:defRPr>
          <a:latin typeface="Arial Narrow" panose="020B0606020202030204" pitchFamily="34" charset="0"/>
        </a:defRPr>
      </a:pPr>
      <a:endParaRPr lang="ru-RU"/>
    </a:p>
  </c:txPr>
  <c:externalData r:id="rId2"/>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27650257804892092"/>
          <c:y val="0.21750731325932945"/>
          <c:w val="0.68250275481088496"/>
          <c:h val="0.76873878121129269"/>
        </c:manualLayout>
      </c:layout>
      <c:barChart>
        <c:barDir val="bar"/>
        <c:grouping val="stacked"/>
        <c:ser>
          <c:idx val="0"/>
          <c:order val="0"/>
          <c:tx>
            <c:strRef>
              <c:f>Лист1!$B$1</c:f>
              <c:strCache>
                <c:ptCount val="1"/>
                <c:pt idx="0">
                  <c:v>Удовлетворительно</c:v>
                </c:pt>
              </c:strCache>
            </c:strRef>
          </c:tx>
          <c:spPr>
            <a:solidFill>
              <a:srgbClr val="ED7D31">
                <a:lumMod val="40000"/>
                <a:lumOff val="60000"/>
              </a:srgbClr>
            </a:solidFill>
          </c:spPr>
          <c:dLbls>
            <c:spPr>
              <a:noFill/>
              <a:ln>
                <a:no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среднее предприятие</c:v>
                </c:pt>
                <c:pt idx="1">
                  <c:v>малое предприятие</c:v>
                </c:pt>
              </c:strCache>
            </c:strRef>
          </c:cat>
          <c:val>
            <c:numRef>
              <c:f>Лист1!$B$2:$B$3</c:f>
              <c:numCache>
                <c:formatCode>0.0%</c:formatCode>
                <c:ptCount val="2"/>
                <c:pt idx="0">
                  <c:v>0.72700000000000065</c:v>
                </c:pt>
                <c:pt idx="1">
                  <c:v>0.65500000000000835</c:v>
                </c:pt>
              </c:numCache>
            </c:numRef>
          </c:val>
          <c:extLst xmlns:c16r2="http://schemas.microsoft.com/office/drawing/2015/06/chart">
            <c:ext xmlns:c16="http://schemas.microsoft.com/office/drawing/2014/chart" uri="{C3380CC4-5D6E-409C-BE32-E72D297353CC}">
              <c16:uniqueId val="{00000000-A9EA-43E3-A179-C691C4091C9F}"/>
            </c:ext>
          </c:extLst>
        </c:ser>
        <c:ser>
          <c:idx val="1"/>
          <c:order val="1"/>
          <c:tx>
            <c:strRef>
              <c:f>Лист1!$C$1</c:f>
              <c:strCache>
                <c:ptCount val="1"/>
                <c:pt idx="0">
                  <c:v>Неудовлетворительно</c:v>
                </c:pt>
              </c:strCache>
            </c:strRef>
          </c:tx>
          <c:spPr>
            <a:solidFill>
              <a:srgbClr val="B28AB2"/>
            </a:solidFill>
            <a:ln>
              <a:noFill/>
            </a:ln>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среднее предприятие</c:v>
                </c:pt>
                <c:pt idx="1">
                  <c:v>малое предприятие</c:v>
                </c:pt>
              </c:strCache>
            </c:strRef>
          </c:cat>
          <c:val>
            <c:numRef>
              <c:f>Лист1!$C$2:$C$3</c:f>
              <c:numCache>
                <c:formatCode>0.0%</c:formatCode>
                <c:ptCount val="2"/>
                <c:pt idx="0">
                  <c:v>0.18200000000000024</c:v>
                </c:pt>
                <c:pt idx="1">
                  <c:v>0.16400000000000001</c:v>
                </c:pt>
              </c:numCache>
            </c:numRef>
          </c:val>
          <c:extLst xmlns:c16r2="http://schemas.microsoft.com/office/drawing/2015/06/chart">
            <c:ext xmlns:c16="http://schemas.microsoft.com/office/drawing/2014/chart" uri="{C3380CC4-5D6E-409C-BE32-E72D297353CC}">
              <c16:uniqueId val="{00000001-A9EA-43E3-A179-C691C4091C9F}"/>
            </c:ext>
          </c:extLst>
        </c:ser>
        <c:ser>
          <c:idx val="2"/>
          <c:order val="2"/>
          <c:tx>
            <c:strRef>
              <c:f>Лист1!$D$1</c:f>
              <c:strCache>
                <c:ptCount val="1"/>
                <c:pt idx="0">
                  <c:v>Затрудняюсь ответить</c:v>
                </c:pt>
              </c:strCache>
            </c:strRef>
          </c:tx>
          <c:spPr>
            <a:solidFill>
              <a:sysClr val="window" lastClr="FFFFFF">
                <a:lumMod val="85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среднее предприятие</c:v>
                </c:pt>
                <c:pt idx="1">
                  <c:v>малое предприятие</c:v>
                </c:pt>
              </c:strCache>
            </c:strRef>
          </c:cat>
          <c:val>
            <c:numRef>
              <c:f>Лист1!$D$2:$D$3</c:f>
              <c:numCache>
                <c:formatCode>0.0%</c:formatCode>
                <c:ptCount val="2"/>
                <c:pt idx="0">
                  <c:v>9.1000000000000025E-2</c:v>
                </c:pt>
                <c:pt idx="1">
                  <c:v>0.18100000000000024</c:v>
                </c:pt>
              </c:numCache>
            </c:numRef>
          </c:val>
          <c:extLst xmlns:c16r2="http://schemas.microsoft.com/office/drawing/2015/06/chart">
            <c:ext xmlns:c16="http://schemas.microsoft.com/office/drawing/2014/chart" uri="{C3380CC4-5D6E-409C-BE32-E72D297353CC}">
              <c16:uniqueId val="{00000002-A9EA-43E3-A179-C691C4091C9F}"/>
            </c:ext>
          </c:extLst>
        </c:ser>
        <c:overlap val="100"/>
        <c:axId val="99239040"/>
        <c:axId val="99240576"/>
      </c:barChart>
      <c:catAx>
        <c:axId val="99239040"/>
        <c:scaling>
          <c:orientation val="maxMin"/>
        </c:scaling>
        <c:axPos val="l"/>
        <c:numFmt formatCode="General" sourceLinked="1"/>
        <c:tickLblPos val="nextTo"/>
        <c:crossAx val="99240576"/>
        <c:crosses val="autoZero"/>
        <c:auto val="1"/>
        <c:lblAlgn val="ctr"/>
        <c:lblOffset val="100"/>
      </c:catAx>
      <c:valAx>
        <c:axId val="99240576"/>
        <c:scaling>
          <c:orientation val="minMax"/>
          <c:max val="1"/>
          <c:min val="0"/>
        </c:scaling>
        <c:delete val="1"/>
        <c:axPos val="t"/>
        <c:majorGridlines/>
        <c:numFmt formatCode="0.0%" sourceLinked="1"/>
        <c:tickLblPos val="none"/>
        <c:crossAx val="99239040"/>
        <c:crosses val="autoZero"/>
        <c:crossBetween val="between"/>
        <c:majorUnit val="0.2"/>
      </c:valAx>
      <c:spPr>
        <a:noFill/>
        <a:ln>
          <a:solidFill>
            <a:schemeClr val="accent1"/>
          </a:solidFill>
        </a:ln>
      </c:spPr>
    </c:plotArea>
    <c:legend>
      <c:legendPos val="t"/>
    </c:legend>
    <c:plotVisOnly val="1"/>
    <c:dispBlanksAs val="gap"/>
  </c:chart>
  <c:spPr>
    <a:ln>
      <a:noFill/>
    </a:ln>
  </c:spPr>
  <c:txPr>
    <a:bodyPr/>
    <a:lstStyle/>
    <a:p>
      <a:pPr>
        <a:defRPr>
          <a:latin typeface="Arial Narrow" panose="020B0606020202030204" pitchFamily="34" charset="0"/>
        </a:defRPr>
      </a:pPr>
      <a:endParaRPr lang="ru-RU"/>
    </a:p>
  </c:txPr>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27650257804892092"/>
          <c:y val="7.6190911549699314E-2"/>
          <c:w val="0.68250275481088496"/>
          <c:h val="0.91005535048322161"/>
        </c:manualLayout>
      </c:layout>
      <c:barChart>
        <c:barDir val="bar"/>
        <c:grouping val="stacked"/>
        <c:ser>
          <c:idx val="0"/>
          <c:order val="0"/>
          <c:tx>
            <c:strRef>
              <c:f>Лист1!$B$1</c:f>
              <c:strCache>
                <c:ptCount val="1"/>
                <c:pt idx="0">
                  <c:v>Удовлетворительно</c:v>
                </c:pt>
              </c:strCache>
            </c:strRef>
          </c:tx>
          <c:spPr>
            <a:solidFill>
              <a:srgbClr val="ED7D31">
                <a:lumMod val="40000"/>
                <a:lumOff val="60000"/>
              </a:srgbClr>
            </a:solidFill>
          </c:spPr>
          <c:dLbls>
            <c:dLbl>
              <c:idx val="3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E552-45E2-944C-8FC23EA022C0}"/>
                </c:ext>
              </c:extLst>
            </c:dLbl>
            <c:spPr>
              <a:noFill/>
              <a:ln>
                <a:no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Баганский МР</c:v>
                </c:pt>
                <c:pt idx="1">
                  <c:v>Тогучинский МР</c:v>
                </c:pt>
                <c:pt idx="2">
                  <c:v>Купинский МР</c:v>
                </c:pt>
                <c:pt idx="3">
                  <c:v>Черепановский МР</c:v>
                </c:pt>
                <c:pt idx="4">
                  <c:v>Болотнинский МР</c:v>
                </c:pt>
                <c:pt idx="5">
                  <c:v>Усть-Таркский МР</c:v>
                </c:pt>
                <c:pt idx="6">
                  <c:v>г. Искитим</c:v>
                </c:pt>
                <c:pt idx="7">
                  <c:v>Карасукский МР</c:v>
                </c:pt>
                <c:pt idx="8">
                  <c:v>р. п. Кольцово</c:v>
                </c:pt>
                <c:pt idx="9">
                  <c:v>Чулымский МР</c:v>
                </c:pt>
                <c:pt idx="10">
                  <c:v>Кочковский МР</c:v>
                </c:pt>
                <c:pt idx="11">
                  <c:v>Куйбышевский МР</c:v>
                </c:pt>
                <c:pt idx="12">
                  <c:v>Барабинский МР</c:v>
                </c:pt>
                <c:pt idx="13">
                  <c:v>Ордынский МР</c:v>
                </c:pt>
                <c:pt idx="14">
                  <c:v>г. Бердск</c:v>
                </c:pt>
                <c:pt idx="15">
                  <c:v>Здвинский МР</c:v>
                </c:pt>
                <c:pt idx="16">
                  <c:v>г. Новосибирск</c:v>
                </c:pt>
                <c:pt idx="17">
                  <c:v>Чановский МР</c:v>
                </c:pt>
                <c:pt idx="18">
                  <c:v>Чистоозерный МР</c:v>
                </c:pt>
                <c:pt idx="19">
                  <c:v>Краснозерский МР</c:v>
                </c:pt>
                <c:pt idx="20">
                  <c:v>Сузунский МР</c:v>
                </c:pt>
                <c:pt idx="21">
                  <c:v>Маслянинский МР</c:v>
                </c:pt>
                <c:pt idx="22">
                  <c:v>г. Обь</c:v>
                </c:pt>
                <c:pt idx="23">
                  <c:v>Доволенский МР</c:v>
                </c:pt>
                <c:pt idx="24">
                  <c:v>Убинский МР</c:v>
                </c:pt>
                <c:pt idx="25">
                  <c:v>Мошковский МР</c:v>
                </c:pt>
                <c:pt idx="26">
                  <c:v>Татарский МР</c:v>
                </c:pt>
                <c:pt idx="27">
                  <c:v>Коченевский МР</c:v>
                </c:pt>
                <c:pt idx="28">
                  <c:v>Искитимский МР</c:v>
                </c:pt>
                <c:pt idx="29">
                  <c:v>Каргатский МР</c:v>
                </c:pt>
                <c:pt idx="30">
                  <c:v>Северный МР</c:v>
                </c:pt>
                <c:pt idx="31">
                  <c:v>Колыванский МР</c:v>
                </c:pt>
                <c:pt idx="32">
                  <c:v>Кыштовский МР</c:v>
                </c:pt>
                <c:pt idx="33">
                  <c:v>Венгеровский МР</c:v>
                </c:pt>
                <c:pt idx="34">
                  <c:v>Новосибирский МР</c:v>
                </c:pt>
              </c:strCache>
            </c:strRef>
          </c:cat>
          <c:val>
            <c:numRef>
              <c:f>Лист1!$B$2:$B$36</c:f>
              <c:numCache>
                <c:formatCode>0.0%</c:formatCode>
                <c:ptCount val="35"/>
                <c:pt idx="0">
                  <c:v>0.87500000000000655</c:v>
                </c:pt>
                <c:pt idx="1">
                  <c:v>0.87500000000000655</c:v>
                </c:pt>
                <c:pt idx="2">
                  <c:v>0.86700000000000643</c:v>
                </c:pt>
                <c:pt idx="3">
                  <c:v>0.86100000000000065</c:v>
                </c:pt>
                <c:pt idx="4">
                  <c:v>0.84600000000000064</c:v>
                </c:pt>
                <c:pt idx="5">
                  <c:v>0.83300000000000063</c:v>
                </c:pt>
                <c:pt idx="6">
                  <c:v>0.83000000000000063</c:v>
                </c:pt>
                <c:pt idx="7">
                  <c:v>0.82399999999999995</c:v>
                </c:pt>
                <c:pt idx="8">
                  <c:v>0.75000000000000655</c:v>
                </c:pt>
                <c:pt idx="9">
                  <c:v>0.73300000000000065</c:v>
                </c:pt>
                <c:pt idx="10">
                  <c:v>0.71400000000000063</c:v>
                </c:pt>
                <c:pt idx="11">
                  <c:v>0.69199999999999995</c:v>
                </c:pt>
                <c:pt idx="12">
                  <c:v>0.68400000000000005</c:v>
                </c:pt>
                <c:pt idx="13">
                  <c:v>0.68400000000000005</c:v>
                </c:pt>
                <c:pt idx="14">
                  <c:v>0.66700000000000825</c:v>
                </c:pt>
                <c:pt idx="15">
                  <c:v>0.66700000000000825</c:v>
                </c:pt>
                <c:pt idx="16">
                  <c:v>0.64900000000000724</c:v>
                </c:pt>
                <c:pt idx="17">
                  <c:v>0.63600000000000723</c:v>
                </c:pt>
                <c:pt idx="18">
                  <c:v>0.63600000000000723</c:v>
                </c:pt>
                <c:pt idx="19">
                  <c:v>0.62500000000000655</c:v>
                </c:pt>
                <c:pt idx="20">
                  <c:v>0.62500000000000655</c:v>
                </c:pt>
                <c:pt idx="21">
                  <c:v>0.61500000000000365</c:v>
                </c:pt>
                <c:pt idx="22">
                  <c:v>0.60700000000000065</c:v>
                </c:pt>
                <c:pt idx="23">
                  <c:v>0.57099999999999995</c:v>
                </c:pt>
                <c:pt idx="24">
                  <c:v>0.57099999999999995</c:v>
                </c:pt>
                <c:pt idx="25">
                  <c:v>0.55600000000000005</c:v>
                </c:pt>
                <c:pt idx="26">
                  <c:v>0.55600000000000005</c:v>
                </c:pt>
                <c:pt idx="27">
                  <c:v>0.53800000000000003</c:v>
                </c:pt>
                <c:pt idx="28">
                  <c:v>0.52900000000000003</c:v>
                </c:pt>
                <c:pt idx="29">
                  <c:v>0.5</c:v>
                </c:pt>
                <c:pt idx="30">
                  <c:v>0.5</c:v>
                </c:pt>
                <c:pt idx="31">
                  <c:v>0.43500000000000238</c:v>
                </c:pt>
                <c:pt idx="32">
                  <c:v>0.33300000000000413</c:v>
                </c:pt>
                <c:pt idx="33">
                  <c:v>0.28600000000000031</c:v>
                </c:pt>
                <c:pt idx="34">
                  <c:v>0</c:v>
                </c:pt>
              </c:numCache>
            </c:numRef>
          </c:val>
          <c:extLst xmlns:c16r2="http://schemas.microsoft.com/office/drawing/2015/06/chart">
            <c:ext xmlns:c16="http://schemas.microsoft.com/office/drawing/2014/chart" uri="{C3380CC4-5D6E-409C-BE32-E72D297353CC}">
              <c16:uniqueId val="{00000000-BCBB-4866-961B-1B48A6840CC6}"/>
            </c:ext>
          </c:extLst>
        </c:ser>
        <c:ser>
          <c:idx val="1"/>
          <c:order val="1"/>
          <c:tx>
            <c:strRef>
              <c:f>Лист1!$C$1</c:f>
              <c:strCache>
                <c:ptCount val="1"/>
                <c:pt idx="0">
                  <c:v>Неудовлетворительно</c:v>
                </c:pt>
              </c:strCache>
            </c:strRef>
          </c:tx>
          <c:spPr>
            <a:solidFill>
              <a:srgbClr val="B28AB2"/>
            </a:solidFill>
            <a:ln>
              <a:noFill/>
            </a:ln>
          </c:spPr>
          <c:dLbls>
            <c:dLbl>
              <c:idx val="5"/>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552-45E2-944C-8FC23EA022C0}"/>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Баганский МР</c:v>
                </c:pt>
                <c:pt idx="1">
                  <c:v>Тогучинский МР</c:v>
                </c:pt>
                <c:pt idx="2">
                  <c:v>Купинский МР</c:v>
                </c:pt>
                <c:pt idx="3">
                  <c:v>Черепановский МР</c:v>
                </c:pt>
                <c:pt idx="4">
                  <c:v>Болотнинский МР</c:v>
                </c:pt>
                <c:pt idx="5">
                  <c:v>Усть-Таркский МР</c:v>
                </c:pt>
                <c:pt idx="6">
                  <c:v>г. Искитим</c:v>
                </c:pt>
                <c:pt idx="7">
                  <c:v>Карасукский МР</c:v>
                </c:pt>
                <c:pt idx="8">
                  <c:v>р. п. Кольцово</c:v>
                </c:pt>
                <c:pt idx="9">
                  <c:v>Чулымский МР</c:v>
                </c:pt>
                <c:pt idx="10">
                  <c:v>Кочковский МР</c:v>
                </c:pt>
                <c:pt idx="11">
                  <c:v>Куйбышевский МР</c:v>
                </c:pt>
                <c:pt idx="12">
                  <c:v>Барабинский МР</c:v>
                </c:pt>
                <c:pt idx="13">
                  <c:v>Ордынский МР</c:v>
                </c:pt>
                <c:pt idx="14">
                  <c:v>г. Бердск</c:v>
                </c:pt>
                <c:pt idx="15">
                  <c:v>Здвинский МР</c:v>
                </c:pt>
                <c:pt idx="16">
                  <c:v>г. Новосибирск</c:v>
                </c:pt>
                <c:pt idx="17">
                  <c:v>Чановский МР</c:v>
                </c:pt>
                <c:pt idx="18">
                  <c:v>Чистоозерный МР</c:v>
                </c:pt>
                <c:pt idx="19">
                  <c:v>Краснозерский МР</c:v>
                </c:pt>
                <c:pt idx="20">
                  <c:v>Сузунский МР</c:v>
                </c:pt>
                <c:pt idx="21">
                  <c:v>Маслянинский МР</c:v>
                </c:pt>
                <c:pt idx="22">
                  <c:v>г. Обь</c:v>
                </c:pt>
                <c:pt idx="23">
                  <c:v>Доволенский МР</c:v>
                </c:pt>
                <c:pt idx="24">
                  <c:v>Убинский МР</c:v>
                </c:pt>
                <c:pt idx="25">
                  <c:v>Мошковский МР</c:v>
                </c:pt>
                <c:pt idx="26">
                  <c:v>Татарский МР</c:v>
                </c:pt>
                <c:pt idx="27">
                  <c:v>Коченевский МР</c:v>
                </c:pt>
                <c:pt idx="28">
                  <c:v>Искитимский МР</c:v>
                </c:pt>
                <c:pt idx="29">
                  <c:v>Каргатский МР</c:v>
                </c:pt>
                <c:pt idx="30">
                  <c:v>Северный МР</c:v>
                </c:pt>
                <c:pt idx="31">
                  <c:v>Колыванский МР</c:v>
                </c:pt>
                <c:pt idx="32">
                  <c:v>Кыштовский МР</c:v>
                </c:pt>
                <c:pt idx="33">
                  <c:v>Венгеровский МР</c:v>
                </c:pt>
                <c:pt idx="34">
                  <c:v>Новосибирский МР</c:v>
                </c:pt>
              </c:strCache>
            </c:strRef>
          </c:cat>
          <c:val>
            <c:numRef>
              <c:f>Лист1!$C$2:$C$36</c:f>
              <c:numCache>
                <c:formatCode>0.0%</c:formatCode>
                <c:ptCount val="35"/>
                <c:pt idx="0">
                  <c:v>0.125</c:v>
                </c:pt>
                <c:pt idx="1">
                  <c:v>0.125</c:v>
                </c:pt>
                <c:pt idx="2">
                  <c:v>0.13300000000000001</c:v>
                </c:pt>
                <c:pt idx="3">
                  <c:v>0.13900000000000001</c:v>
                </c:pt>
                <c:pt idx="4">
                  <c:v>7.6999999999999999E-2</c:v>
                </c:pt>
                <c:pt idx="5">
                  <c:v>0</c:v>
                </c:pt>
                <c:pt idx="6">
                  <c:v>9.4000000000000028E-2</c:v>
                </c:pt>
                <c:pt idx="7">
                  <c:v>0.11799999999999998</c:v>
                </c:pt>
                <c:pt idx="8">
                  <c:v>0.125</c:v>
                </c:pt>
                <c:pt idx="9">
                  <c:v>0.26700000000000002</c:v>
                </c:pt>
                <c:pt idx="10">
                  <c:v>0.28600000000000031</c:v>
                </c:pt>
                <c:pt idx="11">
                  <c:v>0.30800000000000038</c:v>
                </c:pt>
                <c:pt idx="12">
                  <c:v>0.31600000000000328</c:v>
                </c:pt>
                <c:pt idx="13">
                  <c:v>0.26300000000000001</c:v>
                </c:pt>
                <c:pt idx="14">
                  <c:v>0.20500000000000004</c:v>
                </c:pt>
                <c:pt idx="15">
                  <c:v>0.33300000000000413</c:v>
                </c:pt>
                <c:pt idx="16">
                  <c:v>0.13</c:v>
                </c:pt>
                <c:pt idx="17">
                  <c:v>0.30300000000000032</c:v>
                </c:pt>
                <c:pt idx="18">
                  <c:v>0.27300000000000002</c:v>
                </c:pt>
                <c:pt idx="19">
                  <c:v>0.25</c:v>
                </c:pt>
                <c:pt idx="20">
                  <c:v>0.31300000000000322</c:v>
                </c:pt>
                <c:pt idx="21">
                  <c:v>0.15400000000000041</c:v>
                </c:pt>
                <c:pt idx="22">
                  <c:v>0.21400000000000041</c:v>
                </c:pt>
                <c:pt idx="23">
                  <c:v>0.28600000000000031</c:v>
                </c:pt>
                <c:pt idx="24">
                  <c:v>0.14300000000000004</c:v>
                </c:pt>
                <c:pt idx="25">
                  <c:v>0.111</c:v>
                </c:pt>
                <c:pt idx="26">
                  <c:v>0.33300000000000413</c:v>
                </c:pt>
                <c:pt idx="27">
                  <c:v>0.38500000000000362</c:v>
                </c:pt>
                <c:pt idx="28">
                  <c:v>0.23500000000000001</c:v>
                </c:pt>
                <c:pt idx="29">
                  <c:v>0.5</c:v>
                </c:pt>
                <c:pt idx="30">
                  <c:v>0.5</c:v>
                </c:pt>
                <c:pt idx="31">
                  <c:v>0.47800000000000031</c:v>
                </c:pt>
                <c:pt idx="32">
                  <c:v>0.5</c:v>
                </c:pt>
                <c:pt idx="33">
                  <c:v>0.42900000000000038</c:v>
                </c:pt>
                <c:pt idx="34">
                  <c:v>0.45500000000000002</c:v>
                </c:pt>
              </c:numCache>
            </c:numRef>
          </c:val>
          <c:extLst xmlns:c16r2="http://schemas.microsoft.com/office/drawing/2015/06/chart">
            <c:ext xmlns:c16="http://schemas.microsoft.com/office/drawing/2014/chart" uri="{C3380CC4-5D6E-409C-BE32-E72D297353CC}">
              <c16:uniqueId val="{00000001-BCBB-4866-961B-1B48A6840CC6}"/>
            </c:ext>
          </c:extLst>
        </c:ser>
        <c:ser>
          <c:idx val="2"/>
          <c:order val="2"/>
          <c:tx>
            <c:strRef>
              <c:f>Лист1!$D$1</c:f>
              <c:strCache>
                <c:ptCount val="1"/>
                <c:pt idx="0">
                  <c:v>Затрудняюсь ответить</c:v>
                </c:pt>
              </c:strCache>
            </c:strRef>
          </c:tx>
          <c:spPr>
            <a:solidFill>
              <a:sysClr val="window" lastClr="FFFFFF">
                <a:lumMod val="85000"/>
              </a:sysClr>
            </a:solidFill>
          </c:spPr>
          <c:dLbls>
            <c:dLbl>
              <c:idx val="1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E552-45E2-944C-8FC23EA022C0}"/>
                </c:ext>
              </c:extLst>
            </c:dLbl>
            <c:dLbl>
              <c:idx val="29"/>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E552-45E2-944C-8FC23EA022C0}"/>
                </c:ext>
              </c:extLst>
            </c:dLbl>
            <c:dLbl>
              <c:idx val="3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E552-45E2-944C-8FC23EA022C0}"/>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Баганский МР</c:v>
                </c:pt>
                <c:pt idx="1">
                  <c:v>Тогучинский МР</c:v>
                </c:pt>
                <c:pt idx="2">
                  <c:v>Купинский МР</c:v>
                </c:pt>
                <c:pt idx="3">
                  <c:v>Черепановский МР</c:v>
                </c:pt>
                <c:pt idx="4">
                  <c:v>Болотнинский МР</c:v>
                </c:pt>
                <c:pt idx="5">
                  <c:v>Усть-Таркский МР</c:v>
                </c:pt>
                <c:pt idx="6">
                  <c:v>г. Искитим</c:v>
                </c:pt>
                <c:pt idx="7">
                  <c:v>Карасукский МР</c:v>
                </c:pt>
                <c:pt idx="8">
                  <c:v>р. п. Кольцово</c:v>
                </c:pt>
                <c:pt idx="9">
                  <c:v>Чулымский МР</c:v>
                </c:pt>
                <c:pt idx="10">
                  <c:v>Кочковский МР</c:v>
                </c:pt>
                <c:pt idx="11">
                  <c:v>Куйбышевский МР</c:v>
                </c:pt>
                <c:pt idx="12">
                  <c:v>Барабинский МР</c:v>
                </c:pt>
                <c:pt idx="13">
                  <c:v>Ордынский МР</c:v>
                </c:pt>
                <c:pt idx="14">
                  <c:v>г. Бердск</c:v>
                </c:pt>
                <c:pt idx="15">
                  <c:v>Здвинский МР</c:v>
                </c:pt>
                <c:pt idx="16">
                  <c:v>г. Новосибирск</c:v>
                </c:pt>
                <c:pt idx="17">
                  <c:v>Чановский МР</c:v>
                </c:pt>
                <c:pt idx="18">
                  <c:v>Чистоозерный МР</c:v>
                </c:pt>
                <c:pt idx="19">
                  <c:v>Краснозерский МР</c:v>
                </c:pt>
                <c:pt idx="20">
                  <c:v>Сузунский МР</c:v>
                </c:pt>
                <c:pt idx="21">
                  <c:v>Маслянинский МР</c:v>
                </c:pt>
                <c:pt idx="22">
                  <c:v>г. Обь</c:v>
                </c:pt>
                <c:pt idx="23">
                  <c:v>Доволенский МР</c:v>
                </c:pt>
                <c:pt idx="24">
                  <c:v>Убинский МР</c:v>
                </c:pt>
                <c:pt idx="25">
                  <c:v>Мошковский МР</c:v>
                </c:pt>
                <c:pt idx="26">
                  <c:v>Татарский МР</c:v>
                </c:pt>
                <c:pt idx="27">
                  <c:v>Коченевский МР</c:v>
                </c:pt>
                <c:pt idx="28">
                  <c:v>Искитимский МР</c:v>
                </c:pt>
                <c:pt idx="29">
                  <c:v>Каргатский МР</c:v>
                </c:pt>
                <c:pt idx="30">
                  <c:v>Северный МР</c:v>
                </c:pt>
                <c:pt idx="31">
                  <c:v>Колыванский МР</c:v>
                </c:pt>
                <c:pt idx="32">
                  <c:v>Кыштовский МР</c:v>
                </c:pt>
                <c:pt idx="33">
                  <c:v>Венгеровский МР</c:v>
                </c:pt>
                <c:pt idx="34">
                  <c:v>Новосибирский МР</c:v>
                </c:pt>
              </c:strCache>
            </c:strRef>
          </c:cat>
          <c:val>
            <c:numRef>
              <c:f>Лист1!$D$2:$D$36</c:f>
              <c:numCache>
                <c:formatCode>0.0%</c:formatCode>
                <c:ptCount val="35"/>
                <c:pt idx="0">
                  <c:v>0</c:v>
                </c:pt>
                <c:pt idx="1">
                  <c:v>0</c:v>
                </c:pt>
                <c:pt idx="2">
                  <c:v>0</c:v>
                </c:pt>
                <c:pt idx="3">
                  <c:v>0</c:v>
                </c:pt>
                <c:pt idx="4">
                  <c:v>7.6999999999999999E-2</c:v>
                </c:pt>
                <c:pt idx="5">
                  <c:v>0.16700000000000001</c:v>
                </c:pt>
                <c:pt idx="6">
                  <c:v>7.5000000000000011E-2</c:v>
                </c:pt>
                <c:pt idx="7">
                  <c:v>5.9000000000000434E-2</c:v>
                </c:pt>
                <c:pt idx="8">
                  <c:v>0.125</c:v>
                </c:pt>
                <c:pt idx="9">
                  <c:v>0</c:v>
                </c:pt>
                <c:pt idx="10">
                  <c:v>0</c:v>
                </c:pt>
                <c:pt idx="11">
                  <c:v>0</c:v>
                </c:pt>
                <c:pt idx="12">
                  <c:v>0</c:v>
                </c:pt>
                <c:pt idx="13">
                  <c:v>5.3000000000000012E-2</c:v>
                </c:pt>
                <c:pt idx="14">
                  <c:v>0.128</c:v>
                </c:pt>
                <c:pt idx="15">
                  <c:v>0</c:v>
                </c:pt>
                <c:pt idx="16">
                  <c:v>0.221</c:v>
                </c:pt>
                <c:pt idx="17">
                  <c:v>6.1000000000000013E-2</c:v>
                </c:pt>
                <c:pt idx="18">
                  <c:v>9.1000000000000025E-2</c:v>
                </c:pt>
                <c:pt idx="19">
                  <c:v>0.125</c:v>
                </c:pt>
                <c:pt idx="20">
                  <c:v>6.3E-2</c:v>
                </c:pt>
                <c:pt idx="21">
                  <c:v>0.23100000000000001</c:v>
                </c:pt>
                <c:pt idx="22">
                  <c:v>0.17900000000000021</c:v>
                </c:pt>
                <c:pt idx="23">
                  <c:v>0.14300000000000004</c:v>
                </c:pt>
                <c:pt idx="24">
                  <c:v>0.28600000000000031</c:v>
                </c:pt>
                <c:pt idx="25">
                  <c:v>0.33300000000000413</c:v>
                </c:pt>
                <c:pt idx="26">
                  <c:v>0.111</c:v>
                </c:pt>
                <c:pt idx="27">
                  <c:v>7.6999999999999999E-2</c:v>
                </c:pt>
                <c:pt idx="28">
                  <c:v>0.23500000000000001</c:v>
                </c:pt>
                <c:pt idx="29">
                  <c:v>0</c:v>
                </c:pt>
                <c:pt idx="30">
                  <c:v>0</c:v>
                </c:pt>
                <c:pt idx="31">
                  <c:v>8.7000000000000022E-2</c:v>
                </c:pt>
                <c:pt idx="32">
                  <c:v>0.16700000000000001</c:v>
                </c:pt>
                <c:pt idx="33">
                  <c:v>0.28600000000000031</c:v>
                </c:pt>
                <c:pt idx="34">
                  <c:v>0.54500000000000004</c:v>
                </c:pt>
              </c:numCache>
            </c:numRef>
          </c:val>
          <c:extLst xmlns:c16r2="http://schemas.microsoft.com/office/drawing/2015/06/chart">
            <c:ext xmlns:c16="http://schemas.microsoft.com/office/drawing/2014/chart" uri="{C3380CC4-5D6E-409C-BE32-E72D297353CC}">
              <c16:uniqueId val="{00000002-BCBB-4866-961B-1B48A6840CC6}"/>
            </c:ext>
          </c:extLst>
        </c:ser>
        <c:overlap val="100"/>
        <c:axId val="99381248"/>
        <c:axId val="99382784"/>
      </c:barChart>
      <c:catAx>
        <c:axId val="99381248"/>
        <c:scaling>
          <c:orientation val="maxMin"/>
        </c:scaling>
        <c:axPos val="l"/>
        <c:numFmt formatCode="General" sourceLinked="1"/>
        <c:tickLblPos val="nextTo"/>
        <c:crossAx val="99382784"/>
        <c:crosses val="autoZero"/>
        <c:auto val="1"/>
        <c:lblAlgn val="ctr"/>
        <c:lblOffset val="100"/>
      </c:catAx>
      <c:valAx>
        <c:axId val="99382784"/>
        <c:scaling>
          <c:orientation val="minMax"/>
          <c:max val="1"/>
          <c:min val="0"/>
        </c:scaling>
        <c:axPos val="t"/>
        <c:majorGridlines/>
        <c:numFmt formatCode="0.0%" sourceLinked="1"/>
        <c:tickLblPos val="nextTo"/>
        <c:txPr>
          <a:bodyPr/>
          <a:lstStyle/>
          <a:p>
            <a:pPr>
              <a:defRPr sz="600"/>
            </a:pPr>
            <a:endParaRPr lang="ru-RU"/>
          </a:p>
        </c:txPr>
        <c:crossAx val="99381248"/>
        <c:crosses val="autoZero"/>
        <c:crossBetween val="between"/>
        <c:majorUnit val="0.2"/>
      </c:valAx>
      <c:spPr>
        <a:noFill/>
        <a:ln>
          <a:solidFill>
            <a:schemeClr val="accent1"/>
          </a:solidFill>
        </a:ln>
      </c:spPr>
    </c:plotArea>
    <c:legend>
      <c:legendPos val="t"/>
    </c:legend>
    <c:plotVisOnly val="1"/>
    <c:dispBlanksAs val="gap"/>
  </c:chart>
  <c:spPr>
    <a:ln>
      <a:noFill/>
    </a:ln>
  </c:spPr>
  <c:txPr>
    <a:bodyPr/>
    <a:lstStyle/>
    <a:p>
      <a:pPr>
        <a:defRPr>
          <a:latin typeface="Arial Narrow" panose="020B0606020202030204" pitchFamily="34" charset="0"/>
        </a:defRPr>
      </a:pPr>
      <a:endParaRPr lang="ru-RU"/>
    </a:p>
  </c:txPr>
  <c:externalData r:id="rId2"/>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49669926527261427"/>
          <c:y val="7.0765896198459063E-2"/>
          <c:w val="0.5624831229593521"/>
          <c:h val="0.91529963593260522"/>
        </c:manualLayout>
      </c:layout>
      <c:barChart>
        <c:barDir val="bar"/>
        <c:grouping val="stacked"/>
        <c:ser>
          <c:idx val="0"/>
          <c:order val="0"/>
          <c:tx>
            <c:strRef>
              <c:f>Лист1!$B$1</c:f>
              <c:strCache>
                <c:ptCount val="1"/>
                <c:pt idx="0">
                  <c:v>Удовлетворительно</c:v>
                </c:pt>
              </c:strCache>
            </c:strRef>
          </c:tx>
          <c:spPr>
            <a:solidFill>
              <a:srgbClr val="ED7D31">
                <a:lumMod val="40000"/>
                <a:lumOff val="60000"/>
              </a:srgbClr>
            </a:solidFill>
          </c:spPr>
          <c:dLbls>
            <c:spPr>
              <a:noFill/>
              <a:ln>
                <a:no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медицинских услуг</c:v>
                </c:pt>
                <c:pt idx="1">
                  <c:v>Рынок услуг дополнительного образования детей</c:v>
                </c:pt>
                <c:pt idx="2">
                  <c:v>Рынок услуг социального обслуживания населения</c:v>
                </c:pt>
                <c:pt idx="3">
                  <c:v>Рынок услуг психолого-педагогического сопровождения детей с ограниченными возможностями здоровья</c:v>
                </c:pt>
                <c:pt idx="4">
                  <c:v>Рынок услуг связи</c:v>
                </c:pt>
                <c:pt idx="5">
                  <c:v>Рынок услуг дошкольного образования</c:v>
                </c:pt>
                <c:pt idx="6">
                  <c:v>Рынок услуг ЖКХ</c:v>
                </c:pt>
                <c:pt idx="7">
                  <c:v>Рынок услуг в сфере культуры</c:v>
                </c:pt>
                <c:pt idx="8">
                  <c:v>Рынок развития, производства, переработки и хранения с‎\х продукции</c:v>
                </c:pt>
                <c:pt idx="9">
                  <c:v>Рынок услуг детского отдыха и оздоровления</c:v>
                </c:pt>
                <c:pt idx="10">
                  <c:v>Розничная торговля</c:v>
                </c:pt>
                <c:pt idx="11">
                  <c:v>Рынок услуг по сбору, сортировке и переработке твердых коммунальных (бытовых) отходов</c:v>
                </c:pt>
                <c:pt idx="12">
                  <c:v>Рынок услуг перевозок пассажиров наземным транспортом</c:v>
                </c:pt>
              </c:strCache>
            </c:strRef>
          </c:cat>
          <c:val>
            <c:numRef>
              <c:f>Лист1!$B$2:$B$14</c:f>
              <c:numCache>
                <c:formatCode>0.0%</c:formatCode>
                <c:ptCount val="13"/>
                <c:pt idx="0">
                  <c:v>0.8</c:v>
                </c:pt>
                <c:pt idx="1">
                  <c:v>0.76000000000000745</c:v>
                </c:pt>
                <c:pt idx="2">
                  <c:v>0.76000000000000745</c:v>
                </c:pt>
                <c:pt idx="3">
                  <c:v>0.76000000000000745</c:v>
                </c:pt>
                <c:pt idx="4">
                  <c:v>0.72000000000000064</c:v>
                </c:pt>
                <c:pt idx="5">
                  <c:v>0.70000000000000062</c:v>
                </c:pt>
                <c:pt idx="6">
                  <c:v>0.64300000000000745</c:v>
                </c:pt>
                <c:pt idx="7">
                  <c:v>0.64000000000000745</c:v>
                </c:pt>
                <c:pt idx="8">
                  <c:v>0.61000000000000065</c:v>
                </c:pt>
                <c:pt idx="9">
                  <c:v>0.60000000000000064</c:v>
                </c:pt>
                <c:pt idx="10">
                  <c:v>0.57800000000000062</c:v>
                </c:pt>
                <c:pt idx="11">
                  <c:v>0.4</c:v>
                </c:pt>
                <c:pt idx="12">
                  <c:v>0.33300000000000435</c:v>
                </c:pt>
              </c:numCache>
            </c:numRef>
          </c:val>
          <c:extLst xmlns:c16r2="http://schemas.microsoft.com/office/drawing/2015/06/chart">
            <c:ext xmlns:c16="http://schemas.microsoft.com/office/drawing/2014/chart" uri="{C3380CC4-5D6E-409C-BE32-E72D297353CC}">
              <c16:uniqueId val="{00000000-82E7-45C1-A888-7F2C1DD74719}"/>
            </c:ext>
          </c:extLst>
        </c:ser>
        <c:ser>
          <c:idx val="1"/>
          <c:order val="1"/>
          <c:tx>
            <c:strRef>
              <c:f>Лист1!$C$1</c:f>
              <c:strCache>
                <c:ptCount val="1"/>
                <c:pt idx="0">
                  <c:v>Неудовлетворительно</c:v>
                </c:pt>
              </c:strCache>
            </c:strRef>
          </c:tx>
          <c:spPr>
            <a:solidFill>
              <a:srgbClr val="B28AB2"/>
            </a:solidFill>
            <a:ln>
              <a:noFill/>
            </a:ln>
          </c:spPr>
          <c:dLbls>
            <c:dLbl>
              <c:idx val="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82E7-45C1-A888-7F2C1DD74719}"/>
                </c:ext>
              </c:extLst>
            </c:dLbl>
            <c:dLbl>
              <c:idx val="9"/>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82E7-45C1-A888-7F2C1DD74719}"/>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медицинских услуг</c:v>
                </c:pt>
                <c:pt idx="1">
                  <c:v>Рынок услуг дополнительного образования детей</c:v>
                </c:pt>
                <c:pt idx="2">
                  <c:v>Рынок услуг социального обслуживания населения</c:v>
                </c:pt>
                <c:pt idx="3">
                  <c:v>Рынок услуг психолого-педагогического сопровождения детей с ограниченными возможностями здоровья</c:v>
                </c:pt>
                <c:pt idx="4">
                  <c:v>Рынок услуг связи</c:v>
                </c:pt>
                <c:pt idx="5">
                  <c:v>Рынок услуг дошкольного образования</c:v>
                </c:pt>
                <c:pt idx="6">
                  <c:v>Рынок услуг ЖКХ</c:v>
                </c:pt>
                <c:pt idx="7">
                  <c:v>Рынок услуг в сфере культуры</c:v>
                </c:pt>
                <c:pt idx="8">
                  <c:v>Рынок развития, производства, переработки и хранения с‎\х продукции</c:v>
                </c:pt>
                <c:pt idx="9">
                  <c:v>Рынок услуг детского отдыха и оздоровления</c:v>
                </c:pt>
                <c:pt idx="10">
                  <c:v>Розничная торговля</c:v>
                </c:pt>
                <c:pt idx="11">
                  <c:v>Рынок услуг по сбору, сортировке и переработке твердых коммунальных (бытовых) отходов</c:v>
                </c:pt>
                <c:pt idx="12">
                  <c:v>Рынок услуг перевозок пассажиров наземным транспортом</c:v>
                </c:pt>
              </c:strCache>
            </c:strRef>
          </c:cat>
          <c:val>
            <c:numRef>
              <c:f>Лист1!$C$2:$C$14</c:f>
              <c:numCache>
                <c:formatCode>0.0%</c:formatCode>
                <c:ptCount val="13"/>
                <c:pt idx="0">
                  <c:v>0.114</c:v>
                </c:pt>
                <c:pt idx="1">
                  <c:v>0.12000000000000002</c:v>
                </c:pt>
                <c:pt idx="2">
                  <c:v>0.2</c:v>
                </c:pt>
                <c:pt idx="3">
                  <c:v>0.16</c:v>
                </c:pt>
                <c:pt idx="4">
                  <c:v>0</c:v>
                </c:pt>
                <c:pt idx="5">
                  <c:v>0.30000000000000032</c:v>
                </c:pt>
                <c:pt idx="6">
                  <c:v>0.21400000000000041</c:v>
                </c:pt>
                <c:pt idx="7">
                  <c:v>8.0000000000000043E-2</c:v>
                </c:pt>
                <c:pt idx="8">
                  <c:v>0.16</c:v>
                </c:pt>
                <c:pt idx="9">
                  <c:v>0</c:v>
                </c:pt>
                <c:pt idx="10">
                  <c:v>0.24400000000000024</c:v>
                </c:pt>
                <c:pt idx="11">
                  <c:v>0.5</c:v>
                </c:pt>
                <c:pt idx="12">
                  <c:v>0.25</c:v>
                </c:pt>
              </c:numCache>
            </c:numRef>
          </c:val>
          <c:extLst xmlns:c16r2="http://schemas.microsoft.com/office/drawing/2015/06/chart">
            <c:ext xmlns:c16="http://schemas.microsoft.com/office/drawing/2014/chart" uri="{C3380CC4-5D6E-409C-BE32-E72D297353CC}">
              <c16:uniqueId val="{00000003-82E7-45C1-A888-7F2C1DD74719}"/>
            </c:ext>
          </c:extLst>
        </c:ser>
        <c:ser>
          <c:idx val="2"/>
          <c:order val="2"/>
          <c:tx>
            <c:strRef>
              <c:f>Лист1!$D$1</c:f>
              <c:strCache>
                <c:ptCount val="1"/>
                <c:pt idx="0">
                  <c:v>Затрудняюсь ответить</c:v>
                </c:pt>
              </c:strCache>
            </c:strRef>
          </c:tx>
          <c:spPr>
            <a:solidFill>
              <a:sysClr val="window" lastClr="FFFFFF">
                <a:lumMod val="85000"/>
              </a:sysClr>
            </a:solidFill>
          </c:spPr>
          <c:dLbls>
            <c:dLbl>
              <c:idx val="5"/>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82E7-45C1-A888-7F2C1DD74719}"/>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медицинских услуг</c:v>
                </c:pt>
                <c:pt idx="1">
                  <c:v>Рынок услуг дополнительного образования детей</c:v>
                </c:pt>
                <c:pt idx="2">
                  <c:v>Рынок услуг социального обслуживания населения</c:v>
                </c:pt>
                <c:pt idx="3">
                  <c:v>Рынок услуг психолого-педагогического сопровождения детей с ограниченными возможностями здоровья</c:v>
                </c:pt>
                <c:pt idx="4">
                  <c:v>Рынок услуг связи</c:v>
                </c:pt>
                <c:pt idx="5">
                  <c:v>Рынок услуг дошкольного образования</c:v>
                </c:pt>
                <c:pt idx="6">
                  <c:v>Рынок услуг ЖКХ</c:v>
                </c:pt>
                <c:pt idx="7">
                  <c:v>Рынок услуг в сфере культуры</c:v>
                </c:pt>
                <c:pt idx="8">
                  <c:v>Рынок развития, производства, переработки и хранения с‎\х продукции</c:v>
                </c:pt>
                <c:pt idx="9">
                  <c:v>Рынок услуг детского отдыха и оздоровления</c:v>
                </c:pt>
                <c:pt idx="10">
                  <c:v>Розничная торговля</c:v>
                </c:pt>
                <c:pt idx="11">
                  <c:v>Рынок услуг по сбору, сортировке и переработке твердых коммунальных (бытовых) отходов</c:v>
                </c:pt>
                <c:pt idx="12">
                  <c:v>Рынок услуг перевозок пассажиров наземным транспортом</c:v>
                </c:pt>
              </c:strCache>
            </c:strRef>
          </c:cat>
          <c:val>
            <c:numRef>
              <c:f>Лист1!$D$2:$D$14</c:f>
              <c:numCache>
                <c:formatCode>0.0%</c:formatCode>
                <c:ptCount val="13"/>
                <c:pt idx="0">
                  <c:v>8.6000000000000021E-2</c:v>
                </c:pt>
                <c:pt idx="1">
                  <c:v>0.12000000000000002</c:v>
                </c:pt>
                <c:pt idx="2">
                  <c:v>4.0000000000000022E-2</c:v>
                </c:pt>
                <c:pt idx="3">
                  <c:v>8.0000000000000043E-2</c:v>
                </c:pt>
                <c:pt idx="4">
                  <c:v>0.28000000000000008</c:v>
                </c:pt>
                <c:pt idx="5">
                  <c:v>0</c:v>
                </c:pt>
                <c:pt idx="6">
                  <c:v>0.14300000000000004</c:v>
                </c:pt>
                <c:pt idx="7">
                  <c:v>0.28000000000000008</c:v>
                </c:pt>
                <c:pt idx="8">
                  <c:v>0.23</c:v>
                </c:pt>
                <c:pt idx="9">
                  <c:v>0.4</c:v>
                </c:pt>
                <c:pt idx="10">
                  <c:v>0.17800000000000021</c:v>
                </c:pt>
                <c:pt idx="11">
                  <c:v>0.1</c:v>
                </c:pt>
                <c:pt idx="12">
                  <c:v>0.41700000000000031</c:v>
                </c:pt>
              </c:numCache>
            </c:numRef>
          </c:val>
          <c:extLst xmlns:c16r2="http://schemas.microsoft.com/office/drawing/2015/06/chart">
            <c:ext xmlns:c16="http://schemas.microsoft.com/office/drawing/2014/chart" uri="{C3380CC4-5D6E-409C-BE32-E72D297353CC}">
              <c16:uniqueId val="{00000005-82E7-45C1-A888-7F2C1DD74719}"/>
            </c:ext>
          </c:extLst>
        </c:ser>
        <c:overlap val="100"/>
        <c:axId val="112252800"/>
        <c:axId val="112254336"/>
      </c:barChart>
      <c:catAx>
        <c:axId val="112252800"/>
        <c:scaling>
          <c:orientation val="maxMin"/>
        </c:scaling>
        <c:axPos val="l"/>
        <c:numFmt formatCode="General" sourceLinked="1"/>
        <c:tickLblPos val="nextTo"/>
        <c:crossAx val="112254336"/>
        <c:crosses val="autoZero"/>
        <c:auto val="1"/>
        <c:lblAlgn val="ctr"/>
        <c:lblOffset val="100"/>
      </c:catAx>
      <c:valAx>
        <c:axId val="112254336"/>
        <c:scaling>
          <c:orientation val="minMax"/>
          <c:max val="1"/>
          <c:min val="0"/>
        </c:scaling>
        <c:axPos val="t"/>
        <c:majorGridlines/>
        <c:numFmt formatCode="0.0%" sourceLinked="1"/>
        <c:tickLblPos val="nextTo"/>
        <c:txPr>
          <a:bodyPr/>
          <a:lstStyle/>
          <a:p>
            <a:pPr>
              <a:defRPr sz="600"/>
            </a:pPr>
            <a:endParaRPr lang="ru-RU"/>
          </a:p>
        </c:txPr>
        <c:crossAx val="112252800"/>
        <c:crosses val="autoZero"/>
        <c:crossBetween val="between"/>
        <c:majorUnit val="0.2"/>
      </c:valAx>
      <c:spPr>
        <a:noFill/>
        <a:ln>
          <a:solidFill>
            <a:schemeClr val="accent1"/>
          </a:solidFill>
        </a:ln>
      </c:spPr>
    </c:plotArea>
    <c:legend>
      <c:legendPos val="t"/>
      <c:layout>
        <c:manualLayout>
          <c:xMode val="edge"/>
          <c:yMode val="edge"/>
          <c:x val="0.17060191873458017"/>
          <c:y val="0"/>
          <c:w val="0.65879616253084861"/>
          <c:h val="3.7014478028956056E-2"/>
        </c:manualLayout>
      </c:layout>
    </c:legend>
    <c:plotVisOnly val="1"/>
    <c:dispBlanksAs val="gap"/>
  </c:chart>
  <c:spPr>
    <a:ln>
      <a:noFill/>
    </a:ln>
  </c:spPr>
  <c:txPr>
    <a:bodyPr/>
    <a:lstStyle/>
    <a:p>
      <a:pPr>
        <a:defRPr>
          <a:latin typeface="Arial Narrow" panose="020B0606020202030204" pitchFamily="34" charset="0"/>
        </a:defRPr>
      </a:pPr>
      <a:endParaRPr lang="ru-RU"/>
    </a:p>
  </c:txPr>
  <c:externalData r:id="rId2"/>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27650257804892092"/>
          <c:y val="0.16544334896033436"/>
          <c:w val="0.68250275481088496"/>
          <c:h val="0.82080274551028831"/>
        </c:manualLayout>
      </c:layout>
      <c:barChart>
        <c:barDir val="bar"/>
        <c:grouping val="stacked"/>
        <c:ser>
          <c:idx val="0"/>
          <c:order val="0"/>
          <c:tx>
            <c:strRef>
              <c:f>Лист1!$B$1</c:f>
              <c:strCache>
                <c:ptCount val="1"/>
                <c:pt idx="0">
                  <c:v>Удовлетворительно</c:v>
                </c:pt>
              </c:strCache>
            </c:strRef>
          </c:tx>
          <c:spPr>
            <a:solidFill>
              <a:srgbClr val="ED7D31">
                <a:lumMod val="40000"/>
                <a:lumOff val="60000"/>
              </a:srgbClr>
            </a:solidFill>
          </c:spPr>
          <c:dLbls>
            <c:spPr>
              <a:noFill/>
              <a:ln>
                <a:no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среднее предприятие</c:v>
                </c:pt>
                <c:pt idx="1">
                  <c:v>малое предприятие</c:v>
                </c:pt>
              </c:strCache>
            </c:strRef>
          </c:cat>
          <c:val>
            <c:numRef>
              <c:f>Лист1!$B$2:$B$3</c:f>
              <c:numCache>
                <c:formatCode>0.0%</c:formatCode>
                <c:ptCount val="2"/>
                <c:pt idx="0">
                  <c:v>0.45500000000000002</c:v>
                </c:pt>
                <c:pt idx="1">
                  <c:v>0.62700000000000711</c:v>
                </c:pt>
              </c:numCache>
            </c:numRef>
          </c:val>
          <c:extLst xmlns:c16r2="http://schemas.microsoft.com/office/drawing/2015/06/chart">
            <c:ext xmlns:c16="http://schemas.microsoft.com/office/drawing/2014/chart" uri="{C3380CC4-5D6E-409C-BE32-E72D297353CC}">
              <c16:uniqueId val="{00000000-273A-4368-BC6A-B26CD913873A}"/>
            </c:ext>
          </c:extLst>
        </c:ser>
        <c:ser>
          <c:idx val="1"/>
          <c:order val="1"/>
          <c:tx>
            <c:strRef>
              <c:f>Лист1!$C$1</c:f>
              <c:strCache>
                <c:ptCount val="1"/>
                <c:pt idx="0">
                  <c:v>Неудовлетворительно</c:v>
                </c:pt>
              </c:strCache>
            </c:strRef>
          </c:tx>
          <c:spPr>
            <a:solidFill>
              <a:srgbClr val="B28AB2"/>
            </a:solidFill>
            <a:ln>
              <a:noFill/>
            </a:ln>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среднее предприятие</c:v>
                </c:pt>
                <c:pt idx="1">
                  <c:v>малое предприятие</c:v>
                </c:pt>
              </c:strCache>
            </c:strRef>
          </c:cat>
          <c:val>
            <c:numRef>
              <c:f>Лист1!$C$2:$C$3</c:f>
              <c:numCache>
                <c:formatCode>0.0%</c:formatCode>
                <c:ptCount val="2"/>
                <c:pt idx="0">
                  <c:v>0.27300000000000002</c:v>
                </c:pt>
                <c:pt idx="1">
                  <c:v>0.17300000000000001</c:v>
                </c:pt>
              </c:numCache>
            </c:numRef>
          </c:val>
          <c:extLst xmlns:c16r2="http://schemas.microsoft.com/office/drawing/2015/06/chart">
            <c:ext xmlns:c16="http://schemas.microsoft.com/office/drawing/2014/chart" uri="{C3380CC4-5D6E-409C-BE32-E72D297353CC}">
              <c16:uniqueId val="{00000001-273A-4368-BC6A-B26CD913873A}"/>
            </c:ext>
          </c:extLst>
        </c:ser>
        <c:ser>
          <c:idx val="2"/>
          <c:order val="2"/>
          <c:tx>
            <c:strRef>
              <c:f>Лист1!$D$1</c:f>
              <c:strCache>
                <c:ptCount val="1"/>
                <c:pt idx="0">
                  <c:v>Затрудняюсь ответить</c:v>
                </c:pt>
              </c:strCache>
            </c:strRef>
          </c:tx>
          <c:spPr>
            <a:solidFill>
              <a:sysClr val="window" lastClr="FFFFFF">
                <a:lumMod val="85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среднее предприятие</c:v>
                </c:pt>
                <c:pt idx="1">
                  <c:v>малое предприятие</c:v>
                </c:pt>
              </c:strCache>
            </c:strRef>
          </c:cat>
          <c:val>
            <c:numRef>
              <c:f>Лист1!$D$2:$D$3</c:f>
              <c:numCache>
                <c:formatCode>0.0%</c:formatCode>
                <c:ptCount val="2"/>
                <c:pt idx="0">
                  <c:v>0.27300000000000002</c:v>
                </c:pt>
                <c:pt idx="1">
                  <c:v>0.2</c:v>
                </c:pt>
              </c:numCache>
            </c:numRef>
          </c:val>
          <c:extLst xmlns:c16r2="http://schemas.microsoft.com/office/drawing/2015/06/chart">
            <c:ext xmlns:c16="http://schemas.microsoft.com/office/drawing/2014/chart" uri="{C3380CC4-5D6E-409C-BE32-E72D297353CC}">
              <c16:uniqueId val="{00000002-273A-4368-BC6A-B26CD913873A}"/>
            </c:ext>
          </c:extLst>
        </c:ser>
        <c:overlap val="100"/>
        <c:axId val="110811776"/>
        <c:axId val="110817664"/>
      </c:barChart>
      <c:catAx>
        <c:axId val="110811776"/>
        <c:scaling>
          <c:orientation val="maxMin"/>
        </c:scaling>
        <c:axPos val="l"/>
        <c:numFmt formatCode="General" sourceLinked="1"/>
        <c:tickLblPos val="nextTo"/>
        <c:crossAx val="110817664"/>
        <c:crosses val="autoZero"/>
        <c:auto val="1"/>
        <c:lblAlgn val="ctr"/>
        <c:lblOffset val="100"/>
      </c:catAx>
      <c:valAx>
        <c:axId val="110817664"/>
        <c:scaling>
          <c:orientation val="minMax"/>
          <c:max val="1"/>
          <c:min val="0"/>
        </c:scaling>
        <c:delete val="1"/>
        <c:axPos val="t"/>
        <c:majorGridlines/>
        <c:numFmt formatCode="0.0%" sourceLinked="1"/>
        <c:tickLblPos val="none"/>
        <c:crossAx val="110811776"/>
        <c:crosses val="autoZero"/>
        <c:crossBetween val="between"/>
        <c:majorUnit val="0.2"/>
      </c:valAx>
      <c:spPr>
        <a:noFill/>
        <a:ln>
          <a:solidFill>
            <a:schemeClr val="accent1"/>
          </a:solidFill>
        </a:ln>
      </c:spPr>
    </c:plotArea>
    <c:legend>
      <c:legendPos val="t"/>
      <c:layout>
        <c:manualLayout>
          <c:xMode val="edge"/>
          <c:yMode val="edge"/>
          <c:x val="0.14536404680305673"/>
          <c:y val="0"/>
          <c:w val="0.70506032766119064"/>
          <c:h val="0.12801585930431064"/>
        </c:manualLayout>
      </c:layout>
    </c:legend>
    <c:plotVisOnly val="1"/>
    <c:dispBlanksAs val="gap"/>
  </c:chart>
  <c:spPr>
    <a:ln>
      <a:noFill/>
    </a:ln>
  </c:spPr>
  <c:txPr>
    <a:bodyPr/>
    <a:lstStyle/>
    <a:p>
      <a:pPr>
        <a:defRPr>
          <a:latin typeface="Arial Narrow" panose="020B0606020202030204" pitchFamily="34" charset="0"/>
        </a:defRPr>
      </a:pPr>
      <a:endParaRPr lang="ru-RU"/>
    </a:p>
  </c:txPr>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5032410464821"/>
          <c:y val="8.728357374629335E-2"/>
          <c:w val="0.54188360619145481"/>
          <c:h val="0.89896279603984608"/>
        </c:manualLayout>
      </c:layout>
      <c:barChart>
        <c:barDir val="bar"/>
        <c:grouping val="stacked"/>
        <c:ser>
          <c:idx val="0"/>
          <c:order val="0"/>
          <c:tx>
            <c:strRef>
              <c:f>Лист1!$B$1</c:f>
              <c:strCache>
                <c:ptCount val="1"/>
                <c:pt idx="0">
                  <c:v>Удовлетворительно</c:v>
                </c:pt>
              </c:strCache>
            </c:strRef>
          </c:tx>
          <c:spPr>
            <a:solidFill>
              <a:srgbClr val="ED7D31">
                <a:lumMod val="40000"/>
                <a:lumOff val="60000"/>
              </a:srgbClr>
            </a:solidFill>
          </c:spPr>
          <c:dLbls>
            <c:spPr>
              <a:noFill/>
              <a:ln>
                <a:no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услуг социального обслуживания населения</c:v>
                </c:pt>
                <c:pt idx="3">
                  <c:v>Рынок медицинских услуг</c:v>
                </c:pt>
                <c:pt idx="4">
                  <c:v>Рынок услуг дополнительного образования детей</c:v>
                </c:pt>
                <c:pt idx="5">
                  <c:v>Рынок услуг ЖКХ</c:v>
                </c:pt>
                <c:pt idx="6">
                  <c:v>Рынок услуг связи</c:v>
                </c:pt>
                <c:pt idx="7">
                  <c:v>Рынок услуг психолого-педагогического сопровождения детей с ограниченными возможностями здоровья</c:v>
                </c:pt>
                <c:pt idx="8">
                  <c:v>Рынок услуг по сбору, сортировке и переработке твердых коммунальных (бытовых) отходов</c:v>
                </c:pt>
                <c:pt idx="9">
                  <c:v>Розничная торговля</c:v>
                </c:pt>
                <c:pt idx="10">
                  <c:v>Рынок развития, производства, переработки и хранения с‎\х продукции</c:v>
                </c:pt>
                <c:pt idx="11">
                  <c:v>Рынок услуг в сфере культуры</c:v>
                </c:pt>
                <c:pt idx="12">
                  <c:v>Рынок услуг перевозок пассажиров наземным транспортом</c:v>
                </c:pt>
              </c:strCache>
            </c:strRef>
          </c:cat>
          <c:val>
            <c:numRef>
              <c:f>Лист1!$B$2:$B$14</c:f>
              <c:numCache>
                <c:formatCode>0.0%</c:formatCode>
                <c:ptCount val="13"/>
                <c:pt idx="0">
                  <c:v>0.70000000000000062</c:v>
                </c:pt>
                <c:pt idx="1">
                  <c:v>0.60000000000000064</c:v>
                </c:pt>
                <c:pt idx="2">
                  <c:v>0.48000000000000032</c:v>
                </c:pt>
                <c:pt idx="3">
                  <c:v>0.45700000000000002</c:v>
                </c:pt>
                <c:pt idx="4">
                  <c:v>0.4</c:v>
                </c:pt>
                <c:pt idx="5">
                  <c:v>0.4</c:v>
                </c:pt>
                <c:pt idx="6">
                  <c:v>0.4</c:v>
                </c:pt>
                <c:pt idx="7">
                  <c:v>0.36000000000000032</c:v>
                </c:pt>
                <c:pt idx="8">
                  <c:v>0.30000000000000032</c:v>
                </c:pt>
                <c:pt idx="9">
                  <c:v>0.29400000000000032</c:v>
                </c:pt>
                <c:pt idx="10">
                  <c:v>0.29000000000000031</c:v>
                </c:pt>
                <c:pt idx="11">
                  <c:v>0.2</c:v>
                </c:pt>
                <c:pt idx="12">
                  <c:v>0.15000000000000024</c:v>
                </c:pt>
              </c:numCache>
            </c:numRef>
          </c:val>
          <c:extLst xmlns:c16r2="http://schemas.microsoft.com/office/drawing/2015/06/chart">
            <c:ext xmlns:c16="http://schemas.microsoft.com/office/drawing/2014/chart" uri="{C3380CC4-5D6E-409C-BE32-E72D297353CC}">
              <c16:uniqueId val="{00000000-E581-439D-B00C-77F096E838AB}"/>
            </c:ext>
          </c:extLst>
        </c:ser>
        <c:ser>
          <c:idx val="1"/>
          <c:order val="1"/>
          <c:tx>
            <c:strRef>
              <c:f>Лист1!$C$1</c:f>
              <c:strCache>
                <c:ptCount val="1"/>
                <c:pt idx="0">
                  <c:v>Неудовлетворительно</c:v>
                </c:pt>
              </c:strCache>
            </c:strRef>
          </c:tx>
          <c:spPr>
            <a:solidFill>
              <a:srgbClr val="B28AB2"/>
            </a:solidFill>
            <a:ln>
              <a:noFill/>
            </a:ln>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услуг социального обслуживания населения</c:v>
                </c:pt>
                <c:pt idx="3">
                  <c:v>Рынок медицинских услуг</c:v>
                </c:pt>
                <c:pt idx="4">
                  <c:v>Рынок услуг дополнительного образования детей</c:v>
                </c:pt>
                <c:pt idx="5">
                  <c:v>Рынок услуг ЖКХ</c:v>
                </c:pt>
                <c:pt idx="6">
                  <c:v>Рынок услуг связи</c:v>
                </c:pt>
                <c:pt idx="7">
                  <c:v>Рынок услуг психолого-педагогического сопровождения детей с ограниченными возможностями здоровья</c:v>
                </c:pt>
                <c:pt idx="8">
                  <c:v>Рынок услуг по сбору, сортировке и переработке твердых коммунальных (бытовых) отходов</c:v>
                </c:pt>
                <c:pt idx="9">
                  <c:v>Розничная торговля</c:v>
                </c:pt>
                <c:pt idx="10">
                  <c:v>Рынок развития, производства, переработки и хранения с‎\х продукции</c:v>
                </c:pt>
                <c:pt idx="11">
                  <c:v>Рынок услуг в сфере культуры</c:v>
                </c:pt>
                <c:pt idx="12">
                  <c:v>Рынок услуг перевозок пассажиров наземным транспортом</c:v>
                </c:pt>
              </c:strCache>
            </c:strRef>
          </c:cat>
          <c:val>
            <c:numRef>
              <c:f>Лист1!$C$2:$C$14</c:f>
              <c:numCache>
                <c:formatCode>0.0%</c:formatCode>
                <c:ptCount val="13"/>
                <c:pt idx="0">
                  <c:v>0.30000000000000032</c:v>
                </c:pt>
                <c:pt idx="1">
                  <c:v>0.2</c:v>
                </c:pt>
                <c:pt idx="2">
                  <c:v>0.44</c:v>
                </c:pt>
                <c:pt idx="3">
                  <c:v>0.42900000000000038</c:v>
                </c:pt>
                <c:pt idx="4">
                  <c:v>0.44</c:v>
                </c:pt>
                <c:pt idx="5">
                  <c:v>0.47100000000000031</c:v>
                </c:pt>
                <c:pt idx="6">
                  <c:v>0.16</c:v>
                </c:pt>
                <c:pt idx="7">
                  <c:v>0.48000000000000032</c:v>
                </c:pt>
                <c:pt idx="8">
                  <c:v>0.70000000000000062</c:v>
                </c:pt>
                <c:pt idx="9">
                  <c:v>0.48900000000000032</c:v>
                </c:pt>
                <c:pt idx="10">
                  <c:v>0.52</c:v>
                </c:pt>
                <c:pt idx="11">
                  <c:v>0.32000000000000373</c:v>
                </c:pt>
                <c:pt idx="12">
                  <c:v>0.45</c:v>
                </c:pt>
              </c:numCache>
            </c:numRef>
          </c:val>
          <c:extLst xmlns:c16r2="http://schemas.microsoft.com/office/drawing/2015/06/chart">
            <c:ext xmlns:c16="http://schemas.microsoft.com/office/drawing/2014/chart" uri="{C3380CC4-5D6E-409C-BE32-E72D297353CC}">
              <c16:uniqueId val="{00000001-E581-439D-B00C-77F096E838AB}"/>
            </c:ext>
          </c:extLst>
        </c:ser>
        <c:ser>
          <c:idx val="2"/>
          <c:order val="2"/>
          <c:tx>
            <c:strRef>
              <c:f>Лист1!$D$1</c:f>
              <c:strCache>
                <c:ptCount val="1"/>
                <c:pt idx="0">
                  <c:v>Затрудняюсь ответить</c:v>
                </c:pt>
              </c:strCache>
            </c:strRef>
          </c:tx>
          <c:spPr>
            <a:solidFill>
              <a:sysClr val="window" lastClr="FFFFFF">
                <a:lumMod val="85000"/>
              </a:sysClr>
            </a:solidFill>
          </c:spPr>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E581-439D-B00C-77F096E838AB}"/>
                </c:ext>
              </c:extLst>
            </c:dLbl>
            <c:dLbl>
              <c:idx val="8"/>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E581-439D-B00C-77F096E838AB}"/>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услуг социального обслуживания населения</c:v>
                </c:pt>
                <c:pt idx="3">
                  <c:v>Рынок медицинских услуг</c:v>
                </c:pt>
                <c:pt idx="4">
                  <c:v>Рынок услуг дополнительного образования детей</c:v>
                </c:pt>
                <c:pt idx="5">
                  <c:v>Рынок услуг ЖКХ</c:v>
                </c:pt>
                <c:pt idx="6">
                  <c:v>Рынок услуг связи</c:v>
                </c:pt>
                <c:pt idx="7">
                  <c:v>Рынок услуг психолого-педагогического сопровождения детей с ограниченными возможностями здоровья</c:v>
                </c:pt>
                <c:pt idx="8">
                  <c:v>Рынок услуг по сбору, сортировке и переработке твердых коммунальных (бытовых) отходов</c:v>
                </c:pt>
                <c:pt idx="9">
                  <c:v>Розничная торговля</c:v>
                </c:pt>
                <c:pt idx="10">
                  <c:v>Рынок развития, производства, переработки и хранения с‎\х продукции</c:v>
                </c:pt>
                <c:pt idx="11">
                  <c:v>Рынок услуг в сфере культуры</c:v>
                </c:pt>
                <c:pt idx="12">
                  <c:v>Рынок услуг перевозок пассажиров наземным транспортом</c:v>
                </c:pt>
              </c:strCache>
            </c:strRef>
          </c:cat>
          <c:val>
            <c:numRef>
              <c:f>Лист1!$D$2:$D$14</c:f>
              <c:numCache>
                <c:formatCode>0.0%</c:formatCode>
                <c:ptCount val="13"/>
                <c:pt idx="0">
                  <c:v>0</c:v>
                </c:pt>
                <c:pt idx="1">
                  <c:v>0.2</c:v>
                </c:pt>
                <c:pt idx="2">
                  <c:v>8.0000000000000043E-2</c:v>
                </c:pt>
                <c:pt idx="3">
                  <c:v>0.114</c:v>
                </c:pt>
                <c:pt idx="4">
                  <c:v>0.16</c:v>
                </c:pt>
                <c:pt idx="5">
                  <c:v>0.129</c:v>
                </c:pt>
                <c:pt idx="6">
                  <c:v>0.44</c:v>
                </c:pt>
                <c:pt idx="7">
                  <c:v>0.16</c:v>
                </c:pt>
                <c:pt idx="8">
                  <c:v>0</c:v>
                </c:pt>
                <c:pt idx="9">
                  <c:v>0.21700000000000041</c:v>
                </c:pt>
                <c:pt idx="10">
                  <c:v>0.19</c:v>
                </c:pt>
                <c:pt idx="11">
                  <c:v>0.48000000000000032</c:v>
                </c:pt>
                <c:pt idx="12">
                  <c:v>0.4</c:v>
                </c:pt>
              </c:numCache>
            </c:numRef>
          </c:val>
          <c:extLst xmlns:c16r2="http://schemas.microsoft.com/office/drawing/2015/06/chart">
            <c:ext xmlns:c16="http://schemas.microsoft.com/office/drawing/2014/chart" uri="{C3380CC4-5D6E-409C-BE32-E72D297353CC}">
              <c16:uniqueId val="{00000004-E581-439D-B00C-77F096E838AB}"/>
            </c:ext>
          </c:extLst>
        </c:ser>
        <c:overlap val="100"/>
        <c:axId val="92783744"/>
        <c:axId val="92785280"/>
      </c:barChart>
      <c:catAx>
        <c:axId val="92783744"/>
        <c:scaling>
          <c:orientation val="maxMin"/>
        </c:scaling>
        <c:axPos val="l"/>
        <c:numFmt formatCode="General" sourceLinked="1"/>
        <c:tickLblPos val="nextTo"/>
        <c:crossAx val="92785280"/>
        <c:crosses val="autoZero"/>
        <c:auto val="1"/>
        <c:lblAlgn val="ctr"/>
        <c:lblOffset val="100"/>
      </c:catAx>
      <c:valAx>
        <c:axId val="92785280"/>
        <c:scaling>
          <c:orientation val="minMax"/>
          <c:max val="1"/>
          <c:min val="0"/>
        </c:scaling>
        <c:axPos val="t"/>
        <c:majorGridlines/>
        <c:numFmt formatCode="0.0%" sourceLinked="1"/>
        <c:tickLblPos val="nextTo"/>
        <c:txPr>
          <a:bodyPr/>
          <a:lstStyle/>
          <a:p>
            <a:pPr>
              <a:defRPr sz="600"/>
            </a:pPr>
            <a:endParaRPr lang="ru-RU"/>
          </a:p>
        </c:txPr>
        <c:crossAx val="92783744"/>
        <c:crosses val="autoZero"/>
        <c:crossBetween val="between"/>
        <c:majorUnit val="0.2"/>
      </c:valAx>
      <c:spPr>
        <a:noFill/>
        <a:ln>
          <a:solidFill>
            <a:schemeClr val="accent1"/>
          </a:solidFill>
        </a:ln>
      </c:spPr>
    </c:plotArea>
    <c:legend>
      <c:legendPos val="t"/>
      <c:layout>
        <c:manualLayout>
          <c:xMode val="edge"/>
          <c:yMode val="edge"/>
          <c:x val="0.17269479145018896"/>
          <c:y val="0"/>
          <c:w val="0.65461026315992465"/>
          <c:h val="4.4132646880679013E-2"/>
        </c:manualLayout>
      </c:layout>
    </c:legend>
    <c:plotVisOnly val="1"/>
    <c:dispBlanksAs val="gap"/>
  </c:chart>
  <c:spPr>
    <a:ln>
      <a:noFill/>
    </a:ln>
  </c:spPr>
  <c:txPr>
    <a:bodyPr/>
    <a:lstStyle/>
    <a:p>
      <a:pPr>
        <a:defRPr>
          <a:latin typeface="Arial Narrow" panose="020B0606020202030204" pitchFamily="34" charset="0"/>
        </a:defRPr>
      </a:pPr>
      <a:endParaRPr lang="ru-RU"/>
    </a:p>
  </c:txPr>
  <c:externalData r:id="rId2"/>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27650257804892092"/>
          <c:y val="7.5403116680787155E-2"/>
          <c:w val="0.68250275481088496"/>
          <c:h val="0.91009970005661578"/>
        </c:manualLayout>
      </c:layout>
      <c:barChart>
        <c:barDir val="bar"/>
        <c:grouping val="stacked"/>
        <c:ser>
          <c:idx val="0"/>
          <c:order val="0"/>
          <c:tx>
            <c:strRef>
              <c:f>Лист1!$B$1</c:f>
              <c:strCache>
                <c:ptCount val="1"/>
                <c:pt idx="0">
                  <c:v>Удовлетворительно</c:v>
                </c:pt>
              </c:strCache>
            </c:strRef>
          </c:tx>
          <c:spPr>
            <a:solidFill>
              <a:srgbClr val="ED7D31">
                <a:lumMod val="40000"/>
                <a:lumOff val="60000"/>
              </a:srgbClr>
            </a:solidFill>
          </c:spPr>
          <c:dLbls>
            <c:dLbl>
              <c:idx val="3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BB78-4B82-9888-EDF89DBD92B9}"/>
                </c:ext>
              </c:extLst>
            </c:dLbl>
            <c:spPr>
              <a:noFill/>
              <a:ln>
                <a:noFill/>
              </a:ln>
              <a:effectLst/>
            </c:spPr>
            <c:txPr>
              <a:bodyPr/>
              <a:lstStyle/>
              <a:p>
                <a:pPr>
                  <a:defRPr sz="800">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Болотнинский МР</c:v>
                </c:pt>
                <c:pt idx="1">
                  <c:v>Баганский МР</c:v>
                </c:pt>
                <c:pt idx="2">
                  <c:v>Усть-Таркский МР</c:v>
                </c:pt>
                <c:pt idx="3">
                  <c:v>Карасукский МР</c:v>
                </c:pt>
                <c:pt idx="4">
                  <c:v>Чистоозерный МР</c:v>
                </c:pt>
                <c:pt idx="5">
                  <c:v>г. Искитим</c:v>
                </c:pt>
                <c:pt idx="6">
                  <c:v>р. п. Кольцово</c:v>
                </c:pt>
                <c:pt idx="7">
                  <c:v>Ордынский МР</c:v>
                </c:pt>
                <c:pt idx="8">
                  <c:v>Купинский МР</c:v>
                </c:pt>
                <c:pt idx="9">
                  <c:v>Чулымский МР</c:v>
                </c:pt>
                <c:pt idx="10">
                  <c:v>Сузунский МР</c:v>
                </c:pt>
                <c:pt idx="11">
                  <c:v>Барабинский МР</c:v>
                </c:pt>
                <c:pt idx="12">
                  <c:v>Здвинский МР</c:v>
                </c:pt>
                <c:pt idx="13">
                  <c:v>Татарский МР</c:v>
                </c:pt>
                <c:pt idx="14">
                  <c:v>Тогучинский МР</c:v>
                </c:pt>
                <c:pt idx="15">
                  <c:v>Черепановский МР</c:v>
                </c:pt>
                <c:pt idx="16">
                  <c:v>г. Бердск</c:v>
                </c:pt>
                <c:pt idx="17">
                  <c:v>г. Новосибирск</c:v>
                </c:pt>
                <c:pt idx="18">
                  <c:v>Краснозерский МР</c:v>
                </c:pt>
                <c:pt idx="19">
                  <c:v>Коченевский МР</c:v>
                </c:pt>
                <c:pt idx="20">
                  <c:v>Куйбышевский МР</c:v>
                </c:pt>
                <c:pt idx="21">
                  <c:v>Убинский МР</c:v>
                </c:pt>
                <c:pt idx="22">
                  <c:v>Маслянинский МР</c:v>
                </c:pt>
                <c:pt idx="23">
                  <c:v>Искитимский МР</c:v>
                </c:pt>
                <c:pt idx="24">
                  <c:v>г. Обь</c:v>
                </c:pt>
                <c:pt idx="25">
                  <c:v>Мошковский МР</c:v>
                </c:pt>
                <c:pt idx="26">
                  <c:v>Венгеровский МР</c:v>
                </c:pt>
                <c:pt idx="27">
                  <c:v>Кочковский МР</c:v>
                </c:pt>
                <c:pt idx="28">
                  <c:v>Чановский МР</c:v>
                </c:pt>
                <c:pt idx="29">
                  <c:v>Колыванский МР</c:v>
                </c:pt>
                <c:pt idx="30">
                  <c:v>Каргатский МР</c:v>
                </c:pt>
                <c:pt idx="31">
                  <c:v>Кыштовский МР</c:v>
                </c:pt>
                <c:pt idx="32">
                  <c:v>Северный МР</c:v>
                </c:pt>
                <c:pt idx="33">
                  <c:v>Доволенский МР</c:v>
                </c:pt>
                <c:pt idx="34">
                  <c:v>Новосибирский МР</c:v>
                </c:pt>
              </c:strCache>
            </c:strRef>
          </c:cat>
          <c:val>
            <c:numRef>
              <c:f>Лист1!$B$2:$B$36</c:f>
              <c:numCache>
                <c:formatCode>0.0%</c:formatCode>
                <c:ptCount val="35"/>
                <c:pt idx="0">
                  <c:v>0.92300000000000004</c:v>
                </c:pt>
                <c:pt idx="1">
                  <c:v>0.87500000000000655</c:v>
                </c:pt>
                <c:pt idx="2">
                  <c:v>0.83300000000000063</c:v>
                </c:pt>
                <c:pt idx="3">
                  <c:v>0.82399999999999995</c:v>
                </c:pt>
                <c:pt idx="4">
                  <c:v>0.81799999999999995</c:v>
                </c:pt>
                <c:pt idx="5">
                  <c:v>0.79600000000000004</c:v>
                </c:pt>
                <c:pt idx="6">
                  <c:v>0.75000000000000655</c:v>
                </c:pt>
                <c:pt idx="7">
                  <c:v>0.73700000000000065</c:v>
                </c:pt>
                <c:pt idx="8">
                  <c:v>0.73300000000000065</c:v>
                </c:pt>
                <c:pt idx="9">
                  <c:v>0.73300000000000065</c:v>
                </c:pt>
                <c:pt idx="10">
                  <c:v>0.68799999999999994</c:v>
                </c:pt>
                <c:pt idx="11">
                  <c:v>0.68400000000000005</c:v>
                </c:pt>
                <c:pt idx="12">
                  <c:v>0.66700000000000825</c:v>
                </c:pt>
                <c:pt idx="13">
                  <c:v>0.66700000000000825</c:v>
                </c:pt>
                <c:pt idx="14">
                  <c:v>0.66700000000000825</c:v>
                </c:pt>
                <c:pt idx="15">
                  <c:v>0.66700000000000825</c:v>
                </c:pt>
                <c:pt idx="16">
                  <c:v>0.64100000000000723</c:v>
                </c:pt>
                <c:pt idx="17">
                  <c:v>0.63300000000000722</c:v>
                </c:pt>
                <c:pt idx="18">
                  <c:v>0.62500000000000655</c:v>
                </c:pt>
                <c:pt idx="19">
                  <c:v>0.61500000000000365</c:v>
                </c:pt>
                <c:pt idx="20">
                  <c:v>0.57700000000000062</c:v>
                </c:pt>
                <c:pt idx="21">
                  <c:v>0.57099999999999995</c:v>
                </c:pt>
                <c:pt idx="22">
                  <c:v>0.53800000000000003</c:v>
                </c:pt>
                <c:pt idx="23">
                  <c:v>0.52900000000000003</c:v>
                </c:pt>
                <c:pt idx="24">
                  <c:v>0.5</c:v>
                </c:pt>
                <c:pt idx="25">
                  <c:v>0.44400000000000001</c:v>
                </c:pt>
                <c:pt idx="26">
                  <c:v>0.42900000000000038</c:v>
                </c:pt>
                <c:pt idx="27">
                  <c:v>0.42900000000000038</c:v>
                </c:pt>
                <c:pt idx="28">
                  <c:v>0.39400000000000412</c:v>
                </c:pt>
                <c:pt idx="29">
                  <c:v>0.34800000000000031</c:v>
                </c:pt>
                <c:pt idx="30">
                  <c:v>0.33300000000000413</c:v>
                </c:pt>
                <c:pt idx="31">
                  <c:v>0.33300000000000413</c:v>
                </c:pt>
                <c:pt idx="32">
                  <c:v>0.33300000000000413</c:v>
                </c:pt>
                <c:pt idx="33">
                  <c:v>0.14300000000000004</c:v>
                </c:pt>
                <c:pt idx="34">
                  <c:v>0</c:v>
                </c:pt>
              </c:numCache>
            </c:numRef>
          </c:val>
          <c:extLst xmlns:c16r2="http://schemas.microsoft.com/office/drawing/2015/06/chart">
            <c:ext xmlns:c16="http://schemas.microsoft.com/office/drawing/2014/chart" uri="{C3380CC4-5D6E-409C-BE32-E72D297353CC}">
              <c16:uniqueId val="{00000001-BB78-4B82-9888-EDF89DBD92B9}"/>
            </c:ext>
          </c:extLst>
        </c:ser>
        <c:ser>
          <c:idx val="1"/>
          <c:order val="1"/>
          <c:tx>
            <c:strRef>
              <c:f>Лист1!$C$1</c:f>
              <c:strCache>
                <c:ptCount val="1"/>
                <c:pt idx="0">
                  <c:v>Неудовлетворительно</c:v>
                </c:pt>
              </c:strCache>
            </c:strRef>
          </c:tx>
          <c:spPr>
            <a:solidFill>
              <a:srgbClr val="B28AB2"/>
            </a:solidFill>
            <a:ln>
              <a:noFill/>
            </a:ln>
          </c:spPr>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BB78-4B82-9888-EDF89DBD92B9}"/>
                </c:ext>
              </c:extLst>
            </c:dLbl>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BB78-4B82-9888-EDF89DBD92B9}"/>
                </c:ext>
              </c:extLst>
            </c:dLbl>
            <c:dLbl>
              <c:idx val="34"/>
              <c:layout>
                <c:manualLayout>
                  <c:x val="1.9807863721897703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BB78-4B82-9888-EDF89DBD92B9}"/>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Болотнинский МР</c:v>
                </c:pt>
                <c:pt idx="1">
                  <c:v>Баганский МР</c:v>
                </c:pt>
                <c:pt idx="2">
                  <c:v>Усть-Таркский МР</c:v>
                </c:pt>
                <c:pt idx="3">
                  <c:v>Карасукский МР</c:v>
                </c:pt>
                <c:pt idx="4">
                  <c:v>Чистоозерный МР</c:v>
                </c:pt>
                <c:pt idx="5">
                  <c:v>г. Искитим</c:v>
                </c:pt>
                <c:pt idx="6">
                  <c:v>р. п. Кольцово</c:v>
                </c:pt>
                <c:pt idx="7">
                  <c:v>Ордынский МР</c:v>
                </c:pt>
                <c:pt idx="8">
                  <c:v>Купинский МР</c:v>
                </c:pt>
                <c:pt idx="9">
                  <c:v>Чулымский МР</c:v>
                </c:pt>
                <c:pt idx="10">
                  <c:v>Сузунский МР</c:v>
                </c:pt>
                <c:pt idx="11">
                  <c:v>Барабинский МР</c:v>
                </c:pt>
                <c:pt idx="12">
                  <c:v>Здвинский МР</c:v>
                </c:pt>
                <c:pt idx="13">
                  <c:v>Татарский МР</c:v>
                </c:pt>
                <c:pt idx="14">
                  <c:v>Тогучинский МР</c:v>
                </c:pt>
                <c:pt idx="15">
                  <c:v>Черепановский МР</c:v>
                </c:pt>
                <c:pt idx="16">
                  <c:v>г. Бердск</c:v>
                </c:pt>
                <c:pt idx="17">
                  <c:v>г. Новосибирск</c:v>
                </c:pt>
                <c:pt idx="18">
                  <c:v>Краснозерский МР</c:v>
                </c:pt>
                <c:pt idx="19">
                  <c:v>Коченевский МР</c:v>
                </c:pt>
                <c:pt idx="20">
                  <c:v>Куйбышевский МР</c:v>
                </c:pt>
                <c:pt idx="21">
                  <c:v>Убинский МР</c:v>
                </c:pt>
                <c:pt idx="22">
                  <c:v>Маслянинский МР</c:v>
                </c:pt>
                <c:pt idx="23">
                  <c:v>Искитимский МР</c:v>
                </c:pt>
                <c:pt idx="24">
                  <c:v>г. Обь</c:v>
                </c:pt>
                <c:pt idx="25">
                  <c:v>Мошковский МР</c:v>
                </c:pt>
                <c:pt idx="26">
                  <c:v>Венгеровский МР</c:v>
                </c:pt>
                <c:pt idx="27">
                  <c:v>Кочковский МР</c:v>
                </c:pt>
                <c:pt idx="28">
                  <c:v>Чановский МР</c:v>
                </c:pt>
                <c:pt idx="29">
                  <c:v>Колыванский МР</c:v>
                </c:pt>
                <c:pt idx="30">
                  <c:v>Каргатский МР</c:v>
                </c:pt>
                <c:pt idx="31">
                  <c:v>Кыштовский МР</c:v>
                </c:pt>
                <c:pt idx="32">
                  <c:v>Северный МР</c:v>
                </c:pt>
                <c:pt idx="33">
                  <c:v>Доволенский МР</c:v>
                </c:pt>
                <c:pt idx="34">
                  <c:v>Новосибирский МР</c:v>
                </c:pt>
              </c:strCache>
            </c:strRef>
          </c:cat>
          <c:val>
            <c:numRef>
              <c:f>Лист1!$C$2:$C$36</c:f>
              <c:numCache>
                <c:formatCode>0.0%</c:formatCode>
                <c:ptCount val="35"/>
                <c:pt idx="0">
                  <c:v>0</c:v>
                </c:pt>
                <c:pt idx="1">
                  <c:v>0.125</c:v>
                </c:pt>
                <c:pt idx="2">
                  <c:v>0</c:v>
                </c:pt>
                <c:pt idx="3">
                  <c:v>0.11799999999999998</c:v>
                </c:pt>
                <c:pt idx="4">
                  <c:v>0.18200000000000024</c:v>
                </c:pt>
                <c:pt idx="5">
                  <c:v>0.13</c:v>
                </c:pt>
                <c:pt idx="6">
                  <c:v>0.125</c:v>
                </c:pt>
                <c:pt idx="7">
                  <c:v>0.15800000000000144</c:v>
                </c:pt>
                <c:pt idx="8">
                  <c:v>0.26700000000000002</c:v>
                </c:pt>
                <c:pt idx="9">
                  <c:v>0.26700000000000002</c:v>
                </c:pt>
                <c:pt idx="10">
                  <c:v>0.25</c:v>
                </c:pt>
                <c:pt idx="11">
                  <c:v>0.26300000000000001</c:v>
                </c:pt>
                <c:pt idx="12">
                  <c:v>0.33300000000000413</c:v>
                </c:pt>
                <c:pt idx="13">
                  <c:v>0.222</c:v>
                </c:pt>
                <c:pt idx="14">
                  <c:v>0.33300000000000413</c:v>
                </c:pt>
                <c:pt idx="15">
                  <c:v>0.30600000000000038</c:v>
                </c:pt>
                <c:pt idx="16">
                  <c:v>0.17900000000000021</c:v>
                </c:pt>
                <c:pt idx="17">
                  <c:v>0.13300000000000001</c:v>
                </c:pt>
                <c:pt idx="18">
                  <c:v>0.125</c:v>
                </c:pt>
                <c:pt idx="19">
                  <c:v>0.23100000000000001</c:v>
                </c:pt>
                <c:pt idx="20">
                  <c:v>0.42300000000000032</c:v>
                </c:pt>
                <c:pt idx="21">
                  <c:v>0.14300000000000004</c:v>
                </c:pt>
                <c:pt idx="22">
                  <c:v>0.23100000000000001</c:v>
                </c:pt>
                <c:pt idx="23">
                  <c:v>0.23500000000000001</c:v>
                </c:pt>
                <c:pt idx="24">
                  <c:v>0.32100000000000362</c:v>
                </c:pt>
                <c:pt idx="25">
                  <c:v>0.222</c:v>
                </c:pt>
                <c:pt idx="26">
                  <c:v>0.28600000000000031</c:v>
                </c:pt>
                <c:pt idx="27">
                  <c:v>0.57099999999999995</c:v>
                </c:pt>
                <c:pt idx="28">
                  <c:v>0.33300000000000413</c:v>
                </c:pt>
                <c:pt idx="29">
                  <c:v>0.56499999999999995</c:v>
                </c:pt>
                <c:pt idx="30">
                  <c:v>0.33300000000000413</c:v>
                </c:pt>
                <c:pt idx="31">
                  <c:v>0.5</c:v>
                </c:pt>
                <c:pt idx="32">
                  <c:v>0.66700000000000825</c:v>
                </c:pt>
                <c:pt idx="33">
                  <c:v>0.71400000000000063</c:v>
                </c:pt>
                <c:pt idx="34">
                  <c:v>9.1000000000000025E-2</c:v>
                </c:pt>
              </c:numCache>
            </c:numRef>
          </c:val>
          <c:extLst xmlns:c16r2="http://schemas.microsoft.com/office/drawing/2015/06/chart">
            <c:ext xmlns:c16="http://schemas.microsoft.com/office/drawing/2014/chart" uri="{C3380CC4-5D6E-409C-BE32-E72D297353CC}">
              <c16:uniqueId val="{00000005-BB78-4B82-9888-EDF89DBD92B9}"/>
            </c:ext>
          </c:extLst>
        </c:ser>
        <c:ser>
          <c:idx val="2"/>
          <c:order val="2"/>
          <c:tx>
            <c:strRef>
              <c:f>Лист1!$D$1</c:f>
              <c:strCache>
                <c:ptCount val="1"/>
                <c:pt idx="0">
                  <c:v>Затрудняюсь ответить</c:v>
                </c:pt>
              </c:strCache>
            </c:strRef>
          </c:tx>
          <c:spPr>
            <a:solidFill>
              <a:sysClr val="window" lastClr="FFFFFF">
                <a:lumMod val="85000"/>
              </a:sysClr>
            </a:solidFill>
          </c:spPr>
          <c:dLbls>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BB78-4B82-9888-EDF89DBD92B9}"/>
                </c:ext>
              </c:extLst>
            </c:dLbl>
            <c:dLbl>
              <c:idx val="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BB78-4B82-9888-EDF89DBD92B9}"/>
                </c:ext>
              </c:extLst>
            </c:dLbl>
            <c:dLbl>
              <c:idx val="8"/>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BB78-4B82-9888-EDF89DBD92B9}"/>
                </c:ext>
              </c:extLst>
            </c:dLbl>
            <c:dLbl>
              <c:idx val="9"/>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BB78-4B82-9888-EDF89DBD92B9}"/>
                </c:ext>
              </c:extLst>
            </c:dLbl>
            <c:dLbl>
              <c:idx val="27"/>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BB78-4B82-9888-EDF89DBD92B9}"/>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Болотнинский МР</c:v>
                </c:pt>
                <c:pt idx="1">
                  <c:v>Баганский МР</c:v>
                </c:pt>
                <c:pt idx="2">
                  <c:v>Усть-Таркский МР</c:v>
                </c:pt>
                <c:pt idx="3">
                  <c:v>Карасукский МР</c:v>
                </c:pt>
                <c:pt idx="4">
                  <c:v>Чистоозерный МР</c:v>
                </c:pt>
                <c:pt idx="5">
                  <c:v>г. Искитим</c:v>
                </c:pt>
                <c:pt idx="6">
                  <c:v>р. п. Кольцово</c:v>
                </c:pt>
                <c:pt idx="7">
                  <c:v>Ордынский МР</c:v>
                </c:pt>
                <c:pt idx="8">
                  <c:v>Купинский МР</c:v>
                </c:pt>
                <c:pt idx="9">
                  <c:v>Чулымский МР</c:v>
                </c:pt>
                <c:pt idx="10">
                  <c:v>Сузунский МР</c:v>
                </c:pt>
                <c:pt idx="11">
                  <c:v>Барабинский МР</c:v>
                </c:pt>
                <c:pt idx="12">
                  <c:v>Здвинский МР</c:v>
                </c:pt>
                <c:pt idx="13">
                  <c:v>Татарский МР</c:v>
                </c:pt>
                <c:pt idx="14">
                  <c:v>Тогучинский МР</c:v>
                </c:pt>
                <c:pt idx="15">
                  <c:v>Черепановский МР</c:v>
                </c:pt>
                <c:pt idx="16">
                  <c:v>г. Бердск</c:v>
                </c:pt>
                <c:pt idx="17">
                  <c:v>г. Новосибирск</c:v>
                </c:pt>
                <c:pt idx="18">
                  <c:v>Краснозерский МР</c:v>
                </c:pt>
                <c:pt idx="19">
                  <c:v>Коченевский МР</c:v>
                </c:pt>
                <c:pt idx="20">
                  <c:v>Куйбышевский МР</c:v>
                </c:pt>
                <c:pt idx="21">
                  <c:v>Убинский МР</c:v>
                </c:pt>
                <c:pt idx="22">
                  <c:v>Маслянинский МР</c:v>
                </c:pt>
                <c:pt idx="23">
                  <c:v>Искитимский МР</c:v>
                </c:pt>
                <c:pt idx="24">
                  <c:v>г. Обь</c:v>
                </c:pt>
                <c:pt idx="25">
                  <c:v>Мошковский МР</c:v>
                </c:pt>
                <c:pt idx="26">
                  <c:v>Венгеровский МР</c:v>
                </c:pt>
                <c:pt idx="27">
                  <c:v>Кочковский МР</c:v>
                </c:pt>
                <c:pt idx="28">
                  <c:v>Чановский МР</c:v>
                </c:pt>
                <c:pt idx="29">
                  <c:v>Колыванский МР</c:v>
                </c:pt>
                <c:pt idx="30">
                  <c:v>Каргатский МР</c:v>
                </c:pt>
                <c:pt idx="31">
                  <c:v>Кыштовский МР</c:v>
                </c:pt>
                <c:pt idx="32">
                  <c:v>Северный МР</c:v>
                </c:pt>
                <c:pt idx="33">
                  <c:v>Доволенский МР</c:v>
                </c:pt>
                <c:pt idx="34">
                  <c:v>Новосибирский МР</c:v>
                </c:pt>
              </c:strCache>
            </c:strRef>
          </c:cat>
          <c:val>
            <c:numRef>
              <c:f>Лист1!$D$2:$D$36</c:f>
              <c:numCache>
                <c:formatCode>0.0%</c:formatCode>
                <c:ptCount val="35"/>
                <c:pt idx="0">
                  <c:v>7.6999999999999999E-2</c:v>
                </c:pt>
                <c:pt idx="1">
                  <c:v>0</c:v>
                </c:pt>
                <c:pt idx="2">
                  <c:v>0.16700000000000001</c:v>
                </c:pt>
                <c:pt idx="3">
                  <c:v>5.9000000000000434E-2</c:v>
                </c:pt>
                <c:pt idx="4">
                  <c:v>0</c:v>
                </c:pt>
                <c:pt idx="5">
                  <c:v>7.3999999999999996E-2</c:v>
                </c:pt>
                <c:pt idx="6">
                  <c:v>0.125</c:v>
                </c:pt>
                <c:pt idx="7">
                  <c:v>0.10500000000000002</c:v>
                </c:pt>
                <c:pt idx="8">
                  <c:v>0</c:v>
                </c:pt>
                <c:pt idx="9">
                  <c:v>0</c:v>
                </c:pt>
                <c:pt idx="10">
                  <c:v>6.3E-2</c:v>
                </c:pt>
                <c:pt idx="11">
                  <c:v>5.3000000000000012E-2</c:v>
                </c:pt>
                <c:pt idx="12">
                  <c:v>0</c:v>
                </c:pt>
                <c:pt idx="13">
                  <c:v>0.111</c:v>
                </c:pt>
                <c:pt idx="14">
                  <c:v>0</c:v>
                </c:pt>
                <c:pt idx="15">
                  <c:v>2.8000000000000001E-2</c:v>
                </c:pt>
                <c:pt idx="16">
                  <c:v>0.17900000000000021</c:v>
                </c:pt>
                <c:pt idx="17">
                  <c:v>0.23400000000000001</c:v>
                </c:pt>
                <c:pt idx="18">
                  <c:v>0.25</c:v>
                </c:pt>
                <c:pt idx="19">
                  <c:v>0.15400000000000041</c:v>
                </c:pt>
                <c:pt idx="20">
                  <c:v>0</c:v>
                </c:pt>
                <c:pt idx="21">
                  <c:v>0.28600000000000031</c:v>
                </c:pt>
                <c:pt idx="22">
                  <c:v>0.23100000000000001</c:v>
                </c:pt>
                <c:pt idx="23">
                  <c:v>0.23500000000000001</c:v>
                </c:pt>
                <c:pt idx="24">
                  <c:v>0.17900000000000021</c:v>
                </c:pt>
                <c:pt idx="25">
                  <c:v>0.33300000000000413</c:v>
                </c:pt>
                <c:pt idx="26">
                  <c:v>0.28600000000000031</c:v>
                </c:pt>
                <c:pt idx="27">
                  <c:v>0</c:v>
                </c:pt>
                <c:pt idx="28">
                  <c:v>0.27300000000000002</c:v>
                </c:pt>
                <c:pt idx="29">
                  <c:v>8.7000000000000022E-2</c:v>
                </c:pt>
                <c:pt idx="30">
                  <c:v>0.33300000000000413</c:v>
                </c:pt>
                <c:pt idx="31">
                  <c:v>0.16700000000000001</c:v>
                </c:pt>
                <c:pt idx="32">
                  <c:v>0</c:v>
                </c:pt>
                <c:pt idx="33">
                  <c:v>0.14300000000000004</c:v>
                </c:pt>
                <c:pt idx="34">
                  <c:v>0.90900000000000003</c:v>
                </c:pt>
              </c:numCache>
            </c:numRef>
          </c:val>
          <c:extLst xmlns:c16r2="http://schemas.microsoft.com/office/drawing/2015/06/chart">
            <c:ext xmlns:c16="http://schemas.microsoft.com/office/drawing/2014/chart" uri="{C3380CC4-5D6E-409C-BE32-E72D297353CC}">
              <c16:uniqueId val="{0000000B-BB78-4B82-9888-EDF89DBD92B9}"/>
            </c:ext>
          </c:extLst>
        </c:ser>
        <c:overlap val="100"/>
        <c:axId val="112577536"/>
        <c:axId val="112800512"/>
      </c:barChart>
      <c:catAx>
        <c:axId val="112577536"/>
        <c:scaling>
          <c:orientation val="maxMin"/>
        </c:scaling>
        <c:axPos val="l"/>
        <c:numFmt formatCode="General" sourceLinked="1"/>
        <c:tickLblPos val="nextTo"/>
        <c:crossAx val="112800512"/>
        <c:crosses val="autoZero"/>
        <c:auto val="1"/>
        <c:lblAlgn val="ctr"/>
        <c:lblOffset val="100"/>
      </c:catAx>
      <c:valAx>
        <c:axId val="112800512"/>
        <c:scaling>
          <c:orientation val="minMax"/>
          <c:max val="1"/>
          <c:min val="0"/>
        </c:scaling>
        <c:axPos val="t"/>
        <c:majorGridlines/>
        <c:numFmt formatCode="0.0%" sourceLinked="1"/>
        <c:tickLblPos val="nextTo"/>
        <c:txPr>
          <a:bodyPr/>
          <a:lstStyle/>
          <a:p>
            <a:pPr>
              <a:defRPr sz="600"/>
            </a:pPr>
            <a:endParaRPr lang="ru-RU"/>
          </a:p>
        </c:txPr>
        <c:crossAx val="112577536"/>
        <c:crosses val="autoZero"/>
        <c:crossBetween val="between"/>
        <c:majorUnit val="0.2"/>
      </c:valAx>
      <c:spPr>
        <a:noFill/>
        <a:ln>
          <a:solidFill>
            <a:schemeClr val="accent1"/>
          </a:solidFill>
        </a:ln>
      </c:spPr>
    </c:plotArea>
    <c:legend>
      <c:legendPos val="t"/>
    </c:legend>
    <c:plotVisOnly val="1"/>
    <c:dispBlanksAs val="gap"/>
  </c:chart>
  <c:spPr>
    <a:ln>
      <a:noFill/>
    </a:ln>
  </c:spPr>
  <c:txPr>
    <a:bodyPr/>
    <a:lstStyle/>
    <a:p>
      <a:pPr>
        <a:defRPr>
          <a:latin typeface="Arial Narrow" panose="020B0606020202030204" pitchFamily="34" charset="0"/>
        </a:defRPr>
      </a:pPr>
      <a:endParaRPr lang="ru-RU"/>
    </a:p>
  </c:txPr>
  <c:externalData r:id="rId2"/>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50177307655820946"/>
          <c:y val="7.6190911549699314E-2"/>
          <c:w val="0.5434169749865515"/>
          <c:h val="0.91005535048322161"/>
        </c:manualLayout>
      </c:layout>
      <c:barChart>
        <c:barDir val="bar"/>
        <c:grouping val="stacked"/>
        <c:ser>
          <c:idx val="0"/>
          <c:order val="0"/>
          <c:tx>
            <c:strRef>
              <c:f>Лист1!$B$1</c:f>
              <c:strCache>
                <c:ptCount val="1"/>
                <c:pt idx="0">
                  <c:v>Удовлетворительно</c:v>
                </c:pt>
              </c:strCache>
            </c:strRef>
          </c:tx>
          <c:spPr>
            <a:solidFill>
              <a:srgbClr val="ED7D31">
                <a:lumMod val="40000"/>
                <a:lumOff val="60000"/>
              </a:srgbClr>
            </a:solidFill>
          </c:spPr>
          <c:dLbls>
            <c:spPr>
              <a:noFill/>
              <a:ln>
                <a:no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медицинских услуг</c:v>
                </c:pt>
                <c:pt idx="1">
                  <c:v>Рынок услуг психолого-педагогического сопровождения детей с ограниченными возможностями здоровья</c:v>
                </c:pt>
                <c:pt idx="2">
                  <c:v>Рынок услуг ЖКХ</c:v>
                </c:pt>
                <c:pt idx="3">
                  <c:v>Рынок услуг дополнительного образования детей</c:v>
                </c:pt>
                <c:pt idx="4">
                  <c:v>Рынок услуг социального обслуживания населения</c:v>
                </c:pt>
                <c:pt idx="5">
                  <c:v>Рынок услуг дошкольного образования</c:v>
                </c:pt>
                <c:pt idx="6">
                  <c:v>Рынок услуг связи</c:v>
                </c:pt>
                <c:pt idx="7">
                  <c:v>Рынок услуг детского отдыха и оздоровления</c:v>
                </c:pt>
                <c:pt idx="8">
                  <c:v>Рынок услуг в сфере культуры</c:v>
                </c:pt>
                <c:pt idx="9">
                  <c:v>Розничная торговля</c:v>
                </c:pt>
                <c:pt idx="10">
                  <c:v>Рынок услуг перевозок пассажиров наземным транспортом</c:v>
                </c:pt>
                <c:pt idx="11">
                  <c:v>Рынок развития, производства, переработки и хранения с‎\х продукции</c:v>
                </c:pt>
                <c:pt idx="12">
                  <c:v>Рынок услуг по сбору, сортировке и переработке твердых коммунальных отходов</c:v>
                </c:pt>
              </c:strCache>
            </c:strRef>
          </c:cat>
          <c:val>
            <c:numRef>
              <c:f>Лист1!$B$2:$B$14</c:f>
              <c:numCache>
                <c:formatCode>0.0%</c:formatCode>
                <c:ptCount val="13"/>
                <c:pt idx="0">
                  <c:v>0.77100000000000746</c:v>
                </c:pt>
                <c:pt idx="1">
                  <c:v>0.76000000000000745</c:v>
                </c:pt>
                <c:pt idx="2">
                  <c:v>0.72900000000000065</c:v>
                </c:pt>
                <c:pt idx="3">
                  <c:v>0.72000000000000064</c:v>
                </c:pt>
                <c:pt idx="4">
                  <c:v>0.72000000000000064</c:v>
                </c:pt>
                <c:pt idx="5">
                  <c:v>0.70000000000000062</c:v>
                </c:pt>
                <c:pt idx="6">
                  <c:v>0.64000000000000745</c:v>
                </c:pt>
                <c:pt idx="7">
                  <c:v>0.60000000000000064</c:v>
                </c:pt>
                <c:pt idx="8">
                  <c:v>0.60000000000000064</c:v>
                </c:pt>
                <c:pt idx="9">
                  <c:v>0.60000000000000064</c:v>
                </c:pt>
                <c:pt idx="10">
                  <c:v>0.5</c:v>
                </c:pt>
                <c:pt idx="11">
                  <c:v>0.5</c:v>
                </c:pt>
                <c:pt idx="12">
                  <c:v>0.4</c:v>
                </c:pt>
              </c:numCache>
            </c:numRef>
          </c:val>
          <c:extLst xmlns:c16r2="http://schemas.microsoft.com/office/drawing/2015/06/chart">
            <c:ext xmlns:c16="http://schemas.microsoft.com/office/drawing/2014/chart" uri="{C3380CC4-5D6E-409C-BE32-E72D297353CC}">
              <c16:uniqueId val="{00000000-2FC9-42C2-9E0C-449FBBDDC87F}"/>
            </c:ext>
          </c:extLst>
        </c:ser>
        <c:ser>
          <c:idx val="1"/>
          <c:order val="1"/>
          <c:tx>
            <c:strRef>
              <c:f>Лист1!$C$1</c:f>
              <c:strCache>
                <c:ptCount val="1"/>
                <c:pt idx="0">
                  <c:v>Неудовлетворительно</c:v>
                </c:pt>
              </c:strCache>
            </c:strRef>
          </c:tx>
          <c:spPr>
            <a:solidFill>
              <a:srgbClr val="B28AB2"/>
            </a:solidFill>
            <a:ln>
              <a:noFill/>
            </a:ln>
          </c:spPr>
          <c:dLbls>
            <c:dLbl>
              <c:idx val="6"/>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FC9-42C2-9E0C-449FBBDDC87F}"/>
                </c:ext>
              </c:extLst>
            </c:dLbl>
            <c:dLbl>
              <c:idx val="7"/>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2FC9-42C2-9E0C-449FBBDDC87F}"/>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медицинских услуг</c:v>
                </c:pt>
                <c:pt idx="1">
                  <c:v>Рынок услуг психолого-педагогического сопровождения детей с ограниченными возможностями здоровья</c:v>
                </c:pt>
                <c:pt idx="2">
                  <c:v>Рынок услуг ЖКХ</c:v>
                </c:pt>
                <c:pt idx="3">
                  <c:v>Рынок услуг дополнительного образования детей</c:v>
                </c:pt>
                <c:pt idx="4">
                  <c:v>Рынок услуг социального обслуживания населения</c:v>
                </c:pt>
                <c:pt idx="5">
                  <c:v>Рынок услуг дошкольного образования</c:v>
                </c:pt>
                <c:pt idx="6">
                  <c:v>Рынок услуг связи</c:v>
                </c:pt>
                <c:pt idx="7">
                  <c:v>Рынок услуг детского отдыха и оздоровления</c:v>
                </c:pt>
                <c:pt idx="8">
                  <c:v>Рынок услуг в сфере культуры</c:v>
                </c:pt>
                <c:pt idx="9">
                  <c:v>Розничная торговля</c:v>
                </c:pt>
                <c:pt idx="10">
                  <c:v>Рынок услуг перевозок пассажиров наземным транспортом</c:v>
                </c:pt>
                <c:pt idx="11">
                  <c:v>Рынок развития, производства, переработки и хранения с‎\х продукции</c:v>
                </c:pt>
                <c:pt idx="12">
                  <c:v>Рынок услуг по сбору, сортировке и переработке твердых коммунальных отходов</c:v>
                </c:pt>
              </c:strCache>
            </c:strRef>
          </c:cat>
          <c:val>
            <c:numRef>
              <c:f>Лист1!$C$2:$C$14</c:f>
              <c:numCache>
                <c:formatCode>0.0%</c:formatCode>
                <c:ptCount val="13"/>
                <c:pt idx="0">
                  <c:v>0.1</c:v>
                </c:pt>
                <c:pt idx="1">
                  <c:v>0.16</c:v>
                </c:pt>
                <c:pt idx="2">
                  <c:v>0.14300000000000004</c:v>
                </c:pt>
                <c:pt idx="3">
                  <c:v>0.16</c:v>
                </c:pt>
                <c:pt idx="4">
                  <c:v>0.2</c:v>
                </c:pt>
                <c:pt idx="5">
                  <c:v>0.30000000000000032</c:v>
                </c:pt>
                <c:pt idx="6">
                  <c:v>0</c:v>
                </c:pt>
                <c:pt idx="7">
                  <c:v>0</c:v>
                </c:pt>
                <c:pt idx="8">
                  <c:v>0.12000000000000002</c:v>
                </c:pt>
                <c:pt idx="9">
                  <c:v>0.19400000000000001</c:v>
                </c:pt>
                <c:pt idx="10">
                  <c:v>0.11700000000000002</c:v>
                </c:pt>
                <c:pt idx="11">
                  <c:v>0.15000000000000024</c:v>
                </c:pt>
                <c:pt idx="12">
                  <c:v>0.5</c:v>
                </c:pt>
              </c:numCache>
            </c:numRef>
          </c:val>
          <c:extLst xmlns:c16r2="http://schemas.microsoft.com/office/drawing/2015/06/chart">
            <c:ext xmlns:c16="http://schemas.microsoft.com/office/drawing/2014/chart" uri="{C3380CC4-5D6E-409C-BE32-E72D297353CC}">
              <c16:uniqueId val="{00000003-2FC9-42C2-9E0C-449FBBDDC87F}"/>
            </c:ext>
          </c:extLst>
        </c:ser>
        <c:ser>
          <c:idx val="2"/>
          <c:order val="2"/>
          <c:tx>
            <c:strRef>
              <c:f>Лист1!$D$1</c:f>
              <c:strCache>
                <c:ptCount val="1"/>
                <c:pt idx="0">
                  <c:v>Затрудняюсь ответить</c:v>
                </c:pt>
              </c:strCache>
            </c:strRef>
          </c:tx>
          <c:spPr>
            <a:solidFill>
              <a:sysClr val="window" lastClr="FFFFFF">
                <a:lumMod val="85000"/>
              </a:sysClr>
            </a:solidFill>
          </c:spPr>
          <c:dLbls>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2FC9-42C2-9E0C-449FBBDDC87F}"/>
                </c:ext>
              </c:extLst>
            </c:dLbl>
            <c:dLbl>
              <c:idx val="5"/>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2FC9-42C2-9E0C-449FBBDDC87F}"/>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медицинских услуг</c:v>
                </c:pt>
                <c:pt idx="1">
                  <c:v>Рынок услуг психолого-педагогического сопровождения детей с ограниченными возможностями здоровья</c:v>
                </c:pt>
                <c:pt idx="2">
                  <c:v>Рынок услуг ЖКХ</c:v>
                </c:pt>
                <c:pt idx="3">
                  <c:v>Рынок услуг дополнительного образования детей</c:v>
                </c:pt>
                <c:pt idx="4">
                  <c:v>Рынок услуг социального обслуживания населения</c:v>
                </c:pt>
                <c:pt idx="5">
                  <c:v>Рынок услуг дошкольного образования</c:v>
                </c:pt>
                <c:pt idx="6">
                  <c:v>Рынок услуг связи</c:v>
                </c:pt>
                <c:pt idx="7">
                  <c:v>Рынок услуг детского отдыха и оздоровления</c:v>
                </c:pt>
                <c:pt idx="8">
                  <c:v>Рынок услуг в сфере культуры</c:v>
                </c:pt>
                <c:pt idx="9">
                  <c:v>Розничная торговля</c:v>
                </c:pt>
                <c:pt idx="10">
                  <c:v>Рынок услуг перевозок пассажиров наземным транспортом</c:v>
                </c:pt>
                <c:pt idx="11">
                  <c:v>Рынок развития, производства, переработки и хранения с‎\х продукции</c:v>
                </c:pt>
                <c:pt idx="12">
                  <c:v>Рынок услуг по сбору, сортировке и переработке твердых коммунальных отходов</c:v>
                </c:pt>
              </c:strCache>
            </c:strRef>
          </c:cat>
          <c:val>
            <c:numRef>
              <c:f>Лист1!$D$2:$D$14</c:f>
              <c:numCache>
                <c:formatCode>0.0%</c:formatCode>
                <c:ptCount val="13"/>
                <c:pt idx="0">
                  <c:v>0.129</c:v>
                </c:pt>
                <c:pt idx="1">
                  <c:v>8.0000000000000043E-2</c:v>
                </c:pt>
                <c:pt idx="2">
                  <c:v>0.129</c:v>
                </c:pt>
                <c:pt idx="3">
                  <c:v>0.12000000000000002</c:v>
                </c:pt>
                <c:pt idx="4">
                  <c:v>8.0000000000000043E-2</c:v>
                </c:pt>
                <c:pt idx="5">
                  <c:v>0</c:v>
                </c:pt>
                <c:pt idx="6">
                  <c:v>0.36000000000000032</c:v>
                </c:pt>
                <c:pt idx="7">
                  <c:v>0.4</c:v>
                </c:pt>
                <c:pt idx="8">
                  <c:v>0.28000000000000008</c:v>
                </c:pt>
                <c:pt idx="9">
                  <c:v>0.20600000000000004</c:v>
                </c:pt>
                <c:pt idx="10">
                  <c:v>0.38300000000000373</c:v>
                </c:pt>
                <c:pt idx="11">
                  <c:v>0.35000000000000031</c:v>
                </c:pt>
                <c:pt idx="12">
                  <c:v>0.1</c:v>
                </c:pt>
              </c:numCache>
            </c:numRef>
          </c:val>
          <c:extLst xmlns:c16r2="http://schemas.microsoft.com/office/drawing/2015/06/chart">
            <c:ext xmlns:c16="http://schemas.microsoft.com/office/drawing/2014/chart" uri="{C3380CC4-5D6E-409C-BE32-E72D297353CC}">
              <c16:uniqueId val="{00000006-2FC9-42C2-9E0C-449FBBDDC87F}"/>
            </c:ext>
          </c:extLst>
        </c:ser>
        <c:overlap val="100"/>
        <c:axId val="111842816"/>
        <c:axId val="111844352"/>
      </c:barChart>
      <c:catAx>
        <c:axId val="111842816"/>
        <c:scaling>
          <c:orientation val="maxMin"/>
        </c:scaling>
        <c:axPos val="l"/>
        <c:numFmt formatCode="General" sourceLinked="1"/>
        <c:tickLblPos val="nextTo"/>
        <c:crossAx val="111844352"/>
        <c:crosses val="autoZero"/>
        <c:auto val="1"/>
        <c:lblAlgn val="ctr"/>
        <c:lblOffset val="100"/>
      </c:catAx>
      <c:valAx>
        <c:axId val="111844352"/>
        <c:scaling>
          <c:orientation val="minMax"/>
          <c:max val="1"/>
          <c:min val="0"/>
        </c:scaling>
        <c:axPos val="t"/>
        <c:majorGridlines/>
        <c:numFmt formatCode="0.0%" sourceLinked="1"/>
        <c:tickLblPos val="nextTo"/>
        <c:txPr>
          <a:bodyPr/>
          <a:lstStyle/>
          <a:p>
            <a:pPr>
              <a:defRPr sz="600"/>
            </a:pPr>
            <a:endParaRPr lang="ru-RU"/>
          </a:p>
        </c:txPr>
        <c:crossAx val="111842816"/>
        <c:crosses val="autoZero"/>
        <c:crossBetween val="between"/>
        <c:majorUnit val="0.2"/>
      </c:valAx>
      <c:spPr>
        <a:noFill/>
        <a:ln>
          <a:solidFill>
            <a:schemeClr val="accent1"/>
          </a:solidFill>
        </a:ln>
      </c:spPr>
    </c:plotArea>
    <c:legend>
      <c:legendPos val="t"/>
      <c:layout>
        <c:manualLayout>
          <c:xMode val="edge"/>
          <c:yMode val="edge"/>
          <c:x val="0.16382205989311577"/>
          <c:y val="0"/>
          <c:w val="0.67235572210101102"/>
          <c:h val="3.677720573389865E-2"/>
        </c:manualLayout>
      </c:layout>
    </c:legend>
    <c:plotVisOnly val="1"/>
    <c:dispBlanksAs val="gap"/>
  </c:chart>
  <c:spPr>
    <a:ln>
      <a:noFill/>
    </a:ln>
  </c:spPr>
  <c:txPr>
    <a:bodyPr/>
    <a:lstStyle/>
    <a:p>
      <a:pPr>
        <a:defRPr>
          <a:latin typeface="Arial Narrow" panose="020B0606020202030204" pitchFamily="34" charset="0"/>
        </a:defRPr>
      </a:pPr>
      <a:endParaRPr lang="ru-RU"/>
    </a:p>
  </c:txPr>
  <c:externalData r:id="rId2"/>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27650257804892092"/>
          <c:y val="0.17241063939172827"/>
          <c:w val="0.68250275481088496"/>
          <c:h val="0.81383553859891899"/>
        </c:manualLayout>
      </c:layout>
      <c:barChart>
        <c:barDir val="bar"/>
        <c:grouping val="stacked"/>
        <c:ser>
          <c:idx val="0"/>
          <c:order val="0"/>
          <c:tx>
            <c:strRef>
              <c:f>Лист1!$B$1</c:f>
              <c:strCache>
                <c:ptCount val="1"/>
                <c:pt idx="0">
                  <c:v>Удовлетворительно</c:v>
                </c:pt>
              </c:strCache>
            </c:strRef>
          </c:tx>
          <c:spPr>
            <a:solidFill>
              <a:srgbClr val="ED7D31">
                <a:lumMod val="40000"/>
                <a:lumOff val="60000"/>
              </a:srgbClr>
            </a:solidFill>
          </c:spPr>
          <c:dLbls>
            <c:spPr>
              <a:noFill/>
              <a:ln>
                <a:no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среднее предприятие</c:v>
                </c:pt>
                <c:pt idx="1">
                  <c:v>малое предприятие</c:v>
                </c:pt>
              </c:strCache>
            </c:strRef>
          </c:cat>
          <c:val>
            <c:numRef>
              <c:f>Лист1!$B$2:$B$3</c:f>
              <c:numCache>
                <c:formatCode>0.0%</c:formatCode>
                <c:ptCount val="2"/>
                <c:pt idx="0">
                  <c:v>0.36400000000000032</c:v>
                </c:pt>
                <c:pt idx="1">
                  <c:v>0.61700000000000665</c:v>
                </c:pt>
              </c:numCache>
            </c:numRef>
          </c:val>
          <c:extLst xmlns:c16r2="http://schemas.microsoft.com/office/drawing/2015/06/chart">
            <c:ext xmlns:c16="http://schemas.microsoft.com/office/drawing/2014/chart" uri="{C3380CC4-5D6E-409C-BE32-E72D297353CC}">
              <c16:uniqueId val="{00000000-9268-4880-8969-FCC4BCE7DAC6}"/>
            </c:ext>
          </c:extLst>
        </c:ser>
        <c:ser>
          <c:idx val="1"/>
          <c:order val="1"/>
          <c:tx>
            <c:strRef>
              <c:f>Лист1!$C$1</c:f>
              <c:strCache>
                <c:ptCount val="1"/>
                <c:pt idx="0">
                  <c:v>Неудовлетворительно</c:v>
                </c:pt>
              </c:strCache>
            </c:strRef>
          </c:tx>
          <c:spPr>
            <a:solidFill>
              <a:srgbClr val="B28AB2"/>
            </a:solidFill>
            <a:ln>
              <a:noFill/>
            </a:ln>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среднее предприятие</c:v>
                </c:pt>
                <c:pt idx="1">
                  <c:v>малое предприятие</c:v>
                </c:pt>
              </c:strCache>
            </c:strRef>
          </c:cat>
          <c:val>
            <c:numRef>
              <c:f>Лист1!$C$2:$C$3</c:f>
              <c:numCache>
                <c:formatCode>0.0%</c:formatCode>
                <c:ptCount val="2"/>
                <c:pt idx="0">
                  <c:v>0.27300000000000002</c:v>
                </c:pt>
                <c:pt idx="1">
                  <c:v>0.16</c:v>
                </c:pt>
              </c:numCache>
            </c:numRef>
          </c:val>
          <c:extLst xmlns:c16r2="http://schemas.microsoft.com/office/drawing/2015/06/chart">
            <c:ext xmlns:c16="http://schemas.microsoft.com/office/drawing/2014/chart" uri="{C3380CC4-5D6E-409C-BE32-E72D297353CC}">
              <c16:uniqueId val="{00000001-9268-4880-8969-FCC4BCE7DAC6}"/>
            </c:ext>
          </c:extLst>
        </c:ser>
        <c:ser>
          <c:idx val="2"/>
          <c:order val="2"/>
          <c:tx>
            <c:strRef>
              <c:f>Лист1!$D$1</c:f>
              <c:strCache>
                <c:ptCount val="1"/>
                <c:pt idx="0">
                  <c:v>Затрудняюсь ответить</c:v>
                </c:pt>
              </c:strCache>
            </c:strRef>
          </c:tx>
          <c:spPr>
            <a:solidFill>
              <a:sysClr val="window" lastClr="FFFFFF">
                <a:lumMod val="85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среднее предприятие</c:v>
                </c:pt>
                <c:pt idx="1">
                  <c:v>малое предприятие</c:v>
                </c:pt>
              </c:strCache>
            </c:strRef>
          </c:cat>
          <c:val>
            <c:numRef>
              <c:f>Лист1!$D$2:$D$3</c:f>
              <c:numCache>
                <c:formatCode>0.0%</c:formatCode>
                <c:ptCount val="2"/>
                <c:pt idx="0">
                  <c:v>0.36400000000000032</c:v>
                </c:pt>
                <c:pt idx="1">
                  <c:v>0.223</c:v>
                </c:pt>
              </c:numCache>
            </c:numRef>
          </c:val>
          <c:extLst xmlns:c16r2="http://schemas.microsoft.com/office/drawing/2015/06/chart">
            <c:ext xmlns:c16="http://schemas.microsoft.com/office/drawing/2014/chart" uri="{C3380CC4-5D6E-409C-BE32-E72D297353CC}">
              <c16:uniqueId val="{00000002-9268-4880-8969-FCC4BCE7DAC6}"/>
            </c:ext>
          </c:extLst>
        </c:ser>
        <c:overlap val="100"/>
        <c:axId val="117410048"/>
        <c:axId val="117424128"/>
      </c:barChart>
      <c:catAx>
        <c:axId val="117410048"/>
        <c:scaling>
          <c:orientation val="maxMin"/>
        </c:scaling>
        <c:axPos val="l"/>
        <c:numFmt formatCode="General" sourceLinked="1"/>
        <c:tickLblPos val="nextTo"/>
        <c:crossAx val="117424128"/>
        <c:crosses val="autoZero"/>
        <c:auto val="1"/>
        <c:lblAlgn val="ctr"/>
        <c:lblOffset val="100"/>
      </c:catAx>
      <c:valAx>
        <c:axId val="117424128"/>
        <c:scaling>
          <c:orientation val="minMax"/>
          <c:max val="1"/>
          <c:min val="0"/>
        </c:scaling>
        <c:delete val="1"/>
        <c:axPos val="t"/>
        <c:majorGridlines/>
        <c:numFmt formatCode="0.0%" sourceLinked="1"/>
        <c:tickLblPos val="none"/>
        <c:crossAx val="117410048"/>
        <c:crosses val="autoZero"/>
        <c:crossBetween val="between"/>
        <c:majorUnit val="0.2"/>
      </c:valAx>
      <c:spPr>
        <a:noFill/>
        <a:ln>
          <a:solidFill>
            <a:schemeClr val="accent1"/>
          </a:solidFill>
        </a:ln>
      </c:spPr>
    </c:plotArea>
    <c:legend>
      <c:legendPos val="t"/>
      <c:layout>
        <c:manualLayout>
          <c:xMode val="edge"/>
          <c:yMode val="edge"/>
          <c:x val="0.1432583403385379"/>
          <c:y val="0"/>
          <c:w val="0.70506032766119064"/>
          <c:h val="0.11829369266986002"/>
        </c:manualLayout>
      </c:layout>
    </c:legend>
    <c:plotVisOnly val="1"/>
    <c:dispBlanksAs val="gap"/>
  </c:chart>
  <c:spPr>
    <a:ln>
      <a:noFill/>
    </a:ln>
  </c:spPr>
  <c:txPr>
    <a:bodyPr/>
    <a:lstStyle/>
    <a:p>
      <a:pPr>
        <a:defRPr>
          <a:latin typeface="Arial Narrow" panose="020B0606020202030204" pitchFamily="34" charset="0"/>
        </a:defRPr>
      </a:pPr>
      <a:endParaRPr lang="ru-RU"/>
    </a:p>
  </c:txPr>
</c:chartSpace>
</file>

<file path=word/charts/chart23.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27650257804892092"/>
          <c:y val="7.0470315936984898E-2"/>
          <c:w val="0.68250275481088496"/>
          <c:h val="0.92133243738405779"/>
        </c:manualLayout>
      </c:layout>
      <c:barChart>
        <c:barDir val="bar"/>
        <c:grouping val="stacked"/>
        <c:ser>
          <c:idx val="0"/>
          <c:order val="0"/>
          <c:tx>
            <c:strRef>
              <c:f>Лист1!$B$1</c:f>
              <c:strCache>
                <c:ptCount val="1"/>
                <c:pt idx="0">
                  <c:v>Удовлетворительно</c:v>
                </c:pt>
              </c:strCache>
            </c:strRef>
          </c:tx>
          <c:spPr>
            <a:solidFill>
              <a:srgbClr val="ED7D31">
                <a:lumMod val="40000"/>
                <a:lumOff val="60000"/>
              </a:srgbClr>
            </a:solidFill>
          </c:spPr>
          <c:dLbls>
            <c:spPr>
              <a:noFill/>
              <a:ln>
                <a:no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Болотнинский МР</c:v>
                </c:pt>
                <c:pt idx="1">
                  <c:v>Карасукский МР</c:v>
                </c:pt>
                <c:pt idx="2">
                  <c:v>Чистоозерный МР</c:v>
                </c:pt>
                <c:pt idx="3">
                  <c:v>Тогучинский МР</c:v>
                </c:pt>
                <c:pt idx="4">
                  <c:v>Чулымский МР</c:v>
                </c:pt>
                <c:pt idx="5">
                  <c:v>Татарский МР</c:v>
                </c:pt>
                <c:pt idx="6">
                  <c:v>Черепановский МР</c:v>
                </c:pt>
                <c:pt idx="7">
                  <c:v>Кочковский МР</c:v>
                </c:pt>
                <c:pt idx="8">
                  <c:v>г. Искитим</c:v>
                </c:pt>
                <c:pt idx="9">
                  <c:v>Северный МР</c:v>
                </c:pt>
                <c:pt idx="10">
                  <c:v>Усть-Таркский МР</c:v>
                </c:pt>
                <c:pt idx="11">
                  <c:v>г. Бердск</c:v>
                </c:pt>
                <c:pt idx="12">
                  <c:v>Ордынский МР</c:v>
                </c:pt>
                <c:pt idx="13">
                  <c:v>г. Новосибирск</c:v>
                </c:pt>
                <c:pt idx="14">
                  <c:v>р. п. Кольцово</c:v>
                </c:pt>
                <c:pt idx="15">
                  <c:v>Сузунский МР</c:v>
                </c:pt>
                <c:pt idx="16">
                  <c:v>Куйбышевский МР</c:v>
                </c:pt>
                <c:pt idx="17">
                  <c:v>Доволенский МР</c:v>
                </c:pt>
                <c:pt idx="18">
                  <c:v>Убинский МР</c:v>
                </c:pt>
                <c:pt idx="19">
                  <c:v>Маслянинский МР</c:v>
                </c:pt>
                <c:pt idx="20">
                  <c:v>г. Обь</c:v>
                </c:pt>
                <c:pt idx="21">
                  <c:v>Здвинский МР</c:v>
                </c:pt>
                <c:pt idx="22">
                  <c:v>Барабинский МР</c:v>
                </c:pt>
                <c:pt idx="23">
                  <c:v>Искитимский МР</c:v>
                </c:pt>
                <c:pt idx="24">
                  <c:v>Мошковский МР</c:v>
                </c:pt>
                <c:pt idx="25">
                  <c:v>Колыванский МР</c:v>
                </c:pt>
                <c:pt idx="26">
                  <c:v>Чановский МР</c:v>
                </c:pt>
                <c:pt idx="27">
                  <c:v>Коченевский МР</c:v>
                </c:pt>
                <c:pt idx="28">
                  <c:v>Баганский МР</c:v>
                </c:pt>
                <c:pt idx="29">
                  <c:v>Краснозерский МР</c:v>
                </c:pt>
                <c:pt idx="30">
                  <c:v>Каргатский МР</c:v>
                </c:pt>
                <c:pt idx="31">
                  <c:v>Купинский МР</c:v>
                </c:pt>
                <c:pt idx="32">
                  <c:v>Кыштовский МР</c:v>
                </c:pt>
                <c:pt idx="33">
                  <c:v>Венгеровский МР</c:v>
                </c:pt>
                <c:pt idx="34">
                  <c:v>Новосибирский МР</c:v>
                </c:pt>
              </c:strCache>
            </c:strRef>
          </c:cat>
          <c:val>
            <c:numRef>
              <c:f>Лист1!$B$2:$B$36</c:f>
              <c:numCache>
                <c:formatCode>0.0%</c:formatCode>
                <c:ptCount val="35"/>
                <c:pt idx="0">
                  <c:v>0.92300000000000004</c:v>
                </c:pt>
                <c:pt idx="1">
                  <c:v>0.88200000000000001</c:v>
                </c:pt>
                <c:pt idx="2">
                  <c:v>0.81799999999999995</c:v>
                </c:pt>
                <c:pt idx="3">
                  <c:v>0.75000000000000655</c:v>
                </c:pt>
                <c:pt idx="4">
                  <c:v>0.73300000000000065</c:v>
                </c:pt>
                <c:pt idx="5">
                  <c:v>0.72200000000000064</c:v>
                </c:pt>
                <c:pt idx="6">
                  <c:v>0.72200000000000064</c:v>
                </c:pt>
                <c:pt idx="7">
                  <c:v>0.71400000000000063</c:v>
                </c:pt>
                <c:pt idx="8">
                  <c:v>0.70400000000000063</c:v>
                </c:pt>
                <c:pt idx="9">
                  <c:v>0.66700000000000825</c:v>
                </c:pt>
                <c:pt idx="10">
                  <c:v>0.66700000000000825</c:v>
                </c:pt>
                <c:pt idx="11">
                  <c:v>0.64100000000000723</c:v>
                </c:pt>
                <c:pt idx="12">
                  <c:v>0.63200000000000722</c:v>
                </c:pt>
                <c:pt idx="13">
                  <c:v>0.62800000000000689</c:v>
                </c:pt>
                <c:pt idx="14">
                  <c:v>0.62500000000000655</c:v>
                </c:pt>
                <c:pt idx="15">
                  <c:v>0.62500000000000655</c:v>
                </c:pt>
                <c:pt idx="16">
                  <c:v>0.61500000000000365</c:v>
                </c:pt>
                <c:pt idx="17">
                  <c:v>0.57099999999999995</c:v>
                </c:pt>
                <c:pt idx="18">
                  <c:v>0.57099999999999995</c:v>
                </c:pt>
                <c:pt idx="19">
                  <c:v>0.53800000000000003</c:v>
                </c:pt>
                <c:pt idx="20">
                  <c:v>0.53600000000000003</c:v>
                </c:pt>
                <c:pt idx="21">
                  <c:v>0.5</c:v>
                </c:pt>
                <c:pt idx="22">
                  <c:v>0.47400000000000031</c:v>
                </c:pt>
                <c:pt idx="23">
                  <c:v>0.47100000000000031</c:v>
                </c:pt>
                <c:pt idx="24">
                  <c:v>0.44400000000000001</c:v>
                </c:pt>
                <c:pt idx="25">
                  <c:v>0.43500000000000238</c:v>
                </c:pt>
                <c:pt idx="26">
                  <c:v>0.42400000000000032</c:v>
                </c:pt>
                <c:pt idx="27">
                  <c:v>0.38500000000000362</c:v>
                </c:pt>
                <c:pt idx="28">
                  <c:v>0.37500000000000322</c:v>
                </c:pt>
                <c:pt idx="29">
                  <c:v>0.37500000000000322</c:v>
                </c:pt>
                <c:pt idx="30">
                  <c:v>0.33300000000000413</c:v>
                </c:pt>
                <c:pt idx="31">
                  <c:v>0.33300000000000413</c:v>
                </c:pt>
                <c:pt idx="32">
                  <c:v>0.33300000000000413</c:v>
                </c:pt>
                <c:pt idx="33">
                  <c:v>0.28600000000000031</c:v>
                </c:pt>
                <c:pt idx="34">
                  <c:v>9.1000000000000025E-2</c:v>
                </c:pt>
              </c:numCache>
            </c:numRef>
          </c:val>
          <c:extLst xmlns:c16r2="http://schemas.microsoft.com/office/drawing/2015/06/chart">
            <c:ext xmlns:c16="http://schemas.microsoft.com/office/drawing/2014/chart" uri="{C3380CC4-5D6E-409C-BE32-E72D297353CC}">
              <c16:uniqueId val="{00000000-7910-43E8-B7EB-0A462184D64D}"/>
            </c:ext>
          </c:extLst>
        </c:ser>
        <c:ser>
          <c:idx val="1"/>
          <c:order val="1"/>
          <c:tx>
            <c:strRef>
              <c:f>Лист1!$C$1</c:f>
              <c:strCache>
                <c:ptCount val="1"/>
                <c:pt idx="0">
                  <c:v>Неудовлетворительно</c:v>
                </c:pt>
              </c:strCache>
            </c:strRef>
          </c:tx>
          <c:spPr>
            <a:solidFill>
              <a:srgbClr val="B28AB2"/>
            </a:solidFill>
            <a:ln>
              <a:noFill/>
            </a:ln>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Болотнинский МР</c:v>
                </c:pt>
                <c:pt idx="1">
                  <c:v>Карасукский МР</c:v>
                </c:pt>
                <c:pt idx="2">
                  <c:v>Чистоозерный МР</c:v>
                </c:pt>
                <c:pt idx="3">
                  <c:v>Тогучинский МР</c:v>
                </c:pt>
                <c:pt idx="4">
                  <c:v>Чулымский МР</c:v>
                </c:pt>
                <c:pt idx="5">
                  <c:v>Татарский МР</c:v>
                </c:pt>
                <c:pt idx="6">
                  <c:v>Черепановский МР</c:v>
                </c:pt>
                <c:pt idx="7">
                  <c:v>Кочковский МР</c:v>
                </c:pt>
                <c:pt idx="8">
                  <c:v>г. Искитим</c:v>
                </c:pt>
                <c:pt idx="9">
                  <c:v>Северный МР</c:v>
                </c:pt>
                <c:pt idx="10">
                  <c:v>Усть-Таркский МР</c:v>
                </c:pt>
                <c:pt idx="11">
                  <c:v>г. Бердск</c:v>
                </c:pt>
                <c:pt idx="12">
                  <c:v>Ордынский МР</c:v>
                </c:pt>
                <c:pt idx="13">
                  <c:v>г. Новосибирск</c:v>
                </c:pt>
                <c:pt idx="14">
                  <c:v>р. п. Кольцово</c:v>
                </c:pt>
                <c:pt idx="15">
                  <c:v>Сузунский МР</c:v>
                </c:pt>
                <c:pt idx="16">
                  <c:v>Куйбышевский МР</c:v>
                </c:pt>
                <c:pt idx="17">
                  <c:v>Доволенский МР</c:v>
                </c:pt>
                <c:pt idx="18">
                  <c:v>Убинский МР</c:v>
                </c:pt>
                <c:pt idx="19">
                  <c:v>Маслянинский МР</c:v>
                </c:pt>
                <c:pt idx="20">
                  <c:v>г. Обь</c:v>
                </c:pt>
                <c:pt idx="21">
                  <c:v>Здвинский МР</c:v>
                </c:pt>
                <c:pt idx="22">
                  <c:v>Барабинский МР</c:v>
                </c:pt>
                <c:pt idx="23">
                  <c:v>Искитимский МР</c:v>
                </c:pt>
                <c:pt idx="24">
                  <c:v>Мошковский МР</c:v>
                </c:pt>
                <c:pt idx="25">
                  <c:v>Колыванский МР</c:v>
                </c:pt>
                <c:pt idx="26">
                  <c:v>Чановский МР</c:v>
                </c:pt>
                <c:pt idx="27">
                  <c:v>Коченевский МР</c:v>
                </c:pt>
                <c:pt idx="28">
                  <c:v>Баганский МР</c:v>
                </c:pt>
                <c:pt idx="29">
                  <c:v>Краснозерский МР</c:v>
                </c:pt>
                <c:pt idx="30">
                  <c:v>Каргатский МР</c:v>
                </c:pt>
                <c:pt idx="31">
                  <c:v>Купинский МР</c:v>
                </c:pt>
                <c:pt idx="32">
                  <c:v>Кыштовский МР</c:v>
                </c:pt>
                <c:pt idx="33">
                  <c:v>Венгеровский МР</c:v>
                </c:pt>
                <c:pt idx="34">
                  <c:v>Новосибирский МР</c:v>
                </c:pt>
              </c:strCache>
            </c:strRef>
          </c:cat>
          <c:val>
            <c:numRef>
              <c:f>Лист1!$C$2:$C$36</c:f>
              <c:numCache>
                <c:formatCode>0.0%</c:formatCode>
                <c:ptCount val="35"/>
                <c:pt idx="0">
                  <c:v>0</c:v>
                </c:pt>
                <c:pt idx="1">
                  <c:v>5.9000000000000434E-2</c:v>
                </c:pt>
                <c:pt idx="2">
                  <c:v>0.18200000000000024</c:v>
                </c:pt>
                <c:pt idx="3">
                  <c:v>0.16700000000000001</c:v>
                </c:pt>
                <c:pt idx="4">
                  <c:v>0.26700000000000002</c:v>
                </c:pt>
                <c:pt idx="5">
                  <c:v>0.16700000000000001</c:v>
                </c:pt>
                <c:pt idx="6">
                  <c:v>5.6000000000000001E-2</c:v>
                </c:pt>
                <c:pt idx="7">
                  <c:v>0.28600000000000031</c:v>
                </c:pt>
                <c:pt idx="8">
                  <c:v>0.16700000000000001</c:v>
                </c:pt>
                <c:pt idx="9">
                  <c:v>0.33300000000000413</c:v>
                </c:pt>
                <c:pt idx="10">
                  <c:v>0</c:v>
                </c:pt>
                <c:pt idx="11">
                  <c:v>0.17900000000000021</c:v>
                </c:pt>
                <c:pt idx="12">
                  <c:v>0.21100000000000024</c:v>
                </c:pt>
                <c:pt idx="13">
                  <c:v>0.13500000000000001</c:v>
                </c:pt>
                <c:pt idx="14">
                  <c:v>0.25</c:v>
                </c:pt>
                <c:pt idx="15">
                  <c:v>0.18800000000000044</c:v>
                </c:pt>
                <c:pt idx="16">
                  <c:v>0.34600000000000031</c:v>
                </c:pt>
                <c:pt idx="17">
                  <c:v>0.28600000000000031</c:v>
                </c:pt>
                <c:pt idx="18">
                  <c:v>0.14300000000000004</c:v>
                </c:pt>
                <c:pt idx="19">
                  <c:v>0.23100000000000001</c:v>
                </c:pt>
                <c:pt idx="20">
                  <c:v>0.28600000000000031</c:v>
                </c:pt>
                <c:pt idx="21">
                  <c:v>0.5</c:v>
                </c:pt>
                <c:pt idx="22">
                  <c:v>0.36800000000000038</c:v>
                </c:pt>
                <c:pt idx="23">
                  <c:v>0.23500000000000001</c:v>
                </c:pt>
                <c:pt idx="24">
                  <c:v>0.111</c:v>
                </c:pt>
                <c:pt idx="25">
                  <c:v>0.47800000000000031</c:v>
                </c:pt>
                <c:pt idx="26">
                  <c:v>0.18200000000000024</c:v>
                </c:pt>
                <c:pt idx="27">
                  <c:v>0.30800000000000038</c:v>
                </c:pt>
                <c:pt idx="28">
                  <c:v>0.125</c:v>
                </c:pt>
                <c:pt idx="29">
                  <c:v>0.125</c:v>
                </c:pt>
                <c:pt idx="30">
                  <c:v>0.16700000000000001</c:v>
                </c:pt>
                <c:pt idx="31">
                  <c:v>0.33300000000000413</c:v>
                </c:pt>
                <c:pt idx="32">
                  <c:v>0.5</c:v>
                </c:pt>
                <c:pt idx="33">
                  <c:v>0.42900000000000038</c:v>
                </c:pt>
                <c:pt idx="34">
                  <c:v>9.1000000000000025E-2</c:v>
                </c:pt>
              </c:numCache>
            </c:numRef>
          </c:val>
          <c:extLst xmlns:c16r2="http://schemas.microsoft.com/office/drawing/2015/06/chart">
            <c:ext xmlns:c16="http://schemas.microsoft.com/office/drawing/2014/chart" uri="{C3380CC4-5D6E-409C-BE32-E72D297353CC}">
              <c16:uniqueId val="{00000001-7910-43E8-B7EB-0A462184D64D}"/>
            </c:ext>
          </c:extLst>
        </c:ser>
        <c:ser>
          <c:idx val="2"/>
          <c:order val="2"/>
          <c:tx>
            <c:strRef>
              <c:f>Лист1!$D$1</c:f>
              <c:strCache>
                <c:ptCount val="1"/>
                <c:pt idx="0">
                  <c:v>Затрудняюсь ответить</c:v>
                </c:pt>
              </c:strCache>
            </c:strRef>
          </c:tx>
          <c:spPr>
            <a:solidFill>
              <a:sysClr val="window" lastClr="FFFFFF">
                <a:lumMod val="85000"/>
              </a:sysClr>
            </a:solidFill>
          </c:spPr>
          <c:dLbls>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2847-4439-B9DB-39C0DF15BA65}"/>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Болотнинский МР</c:v>
                </c:pt>
                <c:pt idx="1">
                  <c:v>Карасукский МР</c:v>
                </c:pt>
                <c:pt idx="2">
                  <c:v>Чистоозерный МР</c:v>
                </c:pt>
                <c:pt idx="3">
                  <c:v>Тогучинский МР</c:v>
                </c:pt>
                <c:pt idx="4">
                  <c:v>Чулымский МР</c:v>
                </c:pt>
                <c:pt idx="5">
                  <c:v>Татарский МР</c:v>
                </c:pt>
                <c:pt idx="6">
                  <c:v>Черепановский МР</c:v>
                </c:pt>
                <c:pt idx="7">
                  <c:v>Кочковский МР</c:v>
                </c:pt>
                <c:pt idx="8">
                  <c:v>г. Искитим</c:v>
                </c:pt>
                <c:pt idx="9">
                  <c:v>Северный МР</c:v>
                </c:pt>
                <c:pt idx="10">
                  <c:v>Усть-Таркский МР</c:v>
                </c:pt>
                <c:pt idx="11">
                  <c:v>г. Бердск</c:v>
                </c:pt>
                <c:pt idx="12">
                  <c:v>Ордынский МР</c:v>
                </c:pt>
                <c:pt idx="13">
                  <c:v>г. Новосибирск</c:v>
                </c:pt>
                <c:pt idx="14">
                  <c:v>р. п. Кольцово</c:v>
                </c:pt>
                <c:pt idx="15">
                  <c:v>Сузунский МР</c:v>
                </c:pt>
                <c:pt idx="16">
                  <c:v>Куйбышевский МР</c:v>
                </c:pt>
                <c:pt idx="17">
                  <c:v>Доволенский МР</c:v>
                </c:pt>
                <c:pt idx="18">
                  <c:v>Убинский МР</c:v>
                </c:pt>
                <c:pt idx="19">
                  <c:v>Маслянинский МР</c:v>
                </c:pt>
                <c:pt idx="20">
                  <c:v>г. Обь</c:v>
                </c:pt>
                <c:pt idx="21">
                  <c:v>Здвинский МР</c:v>
                </c:pt>
                <c:pt idx="22">
                  <c:v>Барабинский МР</c:v>
                </c:pt>
                <c:pt idx="23">
                  <c:v>Искитимский МР</c:v>
                </c:pt>
                <c:pt idx="24">
                  <c:v>Мошковский МР</c:v>
                </c:pt>
                <c:pt idx="25">
                  <c:v>Колыванский МР</c:v>
                </c:pt>
                <c:pt idx="26">
                  <c:v>Чановский МР</c:v>
                </c:pt>
                <c:pt idx="27">
                  <c:v>Коченевский МР</c:v>
                </c:pt>
                <c:pt idx="28">
                  <c:v>Баганский МР</c:v>
                </c:pt>
                <c:pt idx="29">
                  <c:v>Краснозерский МР</c:v>
                </c:pt>
                <c:pt idx="30">
                  <c:v>Каргатский МР</c:v>
                </c:pt>
                <c:pt idx="31">
                  <c:v>Купинский МР</c:v>
                </c:pt>
                <c:pt idx="32">
                  <c:v>Кыштовский МР</c:v>
                </c:pt>
                <c:pt idx="33">
                  <c:v>Венгеровский МР</c:v>
                </c:pt>
                <c:pt idx="34">
                  <c:v>Новосибирский МР</c:v>
                </c:pt>
              </c:strCache>
            </c:strRef>
          </c:cat>
          <c:val>
            <c:numRef>
              <c:f>Лист1!$D$2:$D$36</c:f>
              <c:numCache>
                <c:formatCode>0.0%</c:formatCode>
                <c:ptCount val="35"/>
                <c:pt idx="0">
                  <c:v>7.6999999999999999E-2</c:v>
                </c:pt>
                <c:pt idx="1">
                  <c:v>5.9000000000000434E-2</c:v>
                </c:pt>
                <c:pt idx="2">
                  <c:v>0</c:v>
                </c:pt>
                <c:pt idx="3">
                  <c:v>8.3000000000000046E-2</c:v>
                </c:pt>
                <c:pt idx="4">
                  <c:v>0</c:v>
                </c:pt>
                <c:pt idx="5">
                  <c:v>0.111</c:v>
                </c:pt>
                <c:pt idx="6">
                  <c:v>0.222</c:v>
                </c:pt>
                <c:pt idx="7">
                  <c:v>0</c:v>
                </c:pt>
                <c:pt idx="8">
                  <c:v>0.13</c:v>
                </c:pt>
                <c:pt idx="9">
                  <c:v>0</c:v>
                </c:pt>
                <c:pt idx="10">
                  <c:v>0.33300000000000413</c:v>
                </c:pt>
                <c:pt idx="11">
                  <c:v>0.17900000000000021</c:v>
                </c:pt>
                <c:pt idx="12">
                  <c:v>0.15800000000000144</c:v>
                </c:pt>
                <c:pt idx="13">
                  <c:v>0.23700000000000004</c:v>
                </c:pt>
                <c:pt idx="14">
                  <c:v>0.125</c:v>
                </c:pt>
                <c:pt idx="15">
                  <c:v>0.18800000000000044</c:v>
                </c:pt>
                <c:pt idx="16">
                  <c:v>3.7999999999999999E-2</c:v>
                </c:pt>
                <c:pt idx="17">
                  <c:v>0.14300000000000004</c:v>
                </c:pt>
                <c:pt idx="18">
                  <c:v>0.28600000000000031</c:v>
                </c:pt>
                <c:pt idx="19">
                  <c:v>0.23100000000000001</c:v>
                </c:pt>
                <c:pt idx="20">
                  <c:v>0.17900000000000021</c:v>
                </c:pt>
                <c:pt idx="21">
                  <c:v>0</c:v>
                </c:pt>
                <c:pt idx="22">
                  <c:v>0.15800000000000144</c:v>
                </c:pt>
                <c:pt idx="23">
                  <c:v>0.29400000000000032</c:v>
                </c:pt>
                <c:pt idx="24">
                  <c:v>0.44400000000000001</c:v>
                </c:pt>
                <c:pt idx="25">
                  <c:v>8.7000000000000022E-2</c:v>
                </c:pt>
                <c:pt idx="26">
                  <c:v>0.39400000000000412</c:v>
                </c:pt>
                <c:pt idx="27">
                  <c:v>0.30800000000000038</c:v>
                </c:pt>
                <c:pt idx="28">
                  <c:v>0.5</c:v>
                </c:pt>
                <c:pt idx="29">
                  <c:v>0.5</c:v>
                </c:pt>
                <c:pt idx="30">
                  <c:v>0.5</c:v>
                </c:pt>
                <c:pt idx="31">
                  <c:v>0.33300000000000413</c:v>
                </c:pt>
                <c:pt idx="32">
                  <c:v>0.16700000000000001</c:v>
                </c:pt>
                <c:pt idx="33">
                  <c:v>0.28600000000000031</c:v>
                </c:pt>
                <c:pt idx="34">
                  <c:v>0.81799999999999995</c:v>
                </c:pt>
              </c:numCache>
            </c:numRef>
          </c:val>
          <c:extLst xmlns:c16r2="http://schemas.microsoft.com/office/drawing/2015/06/chart">
            <c:ext xmlns:c16="http://schemas.microsoft.com/office/drawing/2014/chart" uri="{C3380CC4-5D6E-409C-BE32-E72D297353CC}">
              <c16:uniqueId val="{00000002-7910-43E8-B7EB-0A462184D64D}"/>
            </c:ext>
          </c:extLst>
        </c:ser>
        <c:overlap val="100"/>
        <c:axId val="117878144"/>
        <c:axId val="117879936"/>
      </c:barChart>
      <c:catAx>
        <c:axId val="117878144"/>
        <c:scaling>
          <c:orientation val="maxMin"/>
        </c:scaling>
        <c:axPos val="l"/>
        <c:numFmt formatCode="General" sourceLinked="1"/>
        <c:tickLblPos val="nextTo"/>
        <c:crossAx val="117879936"/>
        <c:crosses val="autoZero"/>
        <c:auto val="1"/>
        <c:lblAlgn val="ctr"/>
        <c:lblOffset val="100"/>
      </c:catAx>
      <c:valAx>
        <c:axId val="117879936"/>
        <c:scaling>
          <c:orientation val="minMax"/>
          <c:max val="1"/>
          <c:min val="0"/>
        </c:scaling>
        <c:axPos val="t"/>
        <c:majorGridlines/>
        <c:numFmt formatCode="0.0%" sourceLinked="1"/>
        <c:tickLblPos val="nextTo"/>
        <c:txPr>
          <a:bodyPr/>
          <a:lstStyle/>
          <a:p>
            <a:pPr>
              <a:defRPr sz="800"/>
            </a:pPr>
            <a:endParaRPr lang="ru-RU"/>
          </a:p>
        </c:txPr>
        <c:crossAx val="117878144"/>
        <c:crosses val="autoZero"/>
        <c:crossBetween val="between"/>
        <c:majorUnit val="0.2"/>
      </c:valAx>
      <c:spPr>
        <a:noFill/>
        <a:ln>
          <a:solidFill>
            <a:schemeClr val="accent1"/>
          </a:solidFill>
        </a:ln>
      </c:spPr>
    </c:plotArea>
    <c:legend>
      <c:legendPos val="t"/>
      <c:layout>
        <c:manualLayout>
          <c:xMode val="edge"/>
          <c:yMode val="edge"/>
          <c:x val="0.17115180873457367"/>
          <c:y val="0"/>
          <c:w val="0.65769622786545479"/>
          <c:h val="2.945953321945155E-2"/>
        </c:manualLayout>
      </c:layout>
    </c:legend>
    <c:plotVisOnly val="1"/>
    <c:dispBlanksAs val="gap"/>
  </c:chart>
  <c:spPr>
    <a:ln>
      <a:noFill/>
    </a:ln>
  </c:spPr>
  <c:txPr>
    <a:bodyPr/>
    <a:lstStyle/>
    <a:p>
      <a:pPr>
        <a:defRPr>
          <a:latin typeface="Arial Narrow" panose="020B0606020202030204" pitchFamily="34" charset="0"/>
        </a:defRPr>
      </a:pPr>
      <a:endParaRPr lang="ru-RU"/>
    </a:p>
  </c:txPr>
  <c:externalData r:id="rId2"/>
</c:chartSpace>
</file>

<file path=word/charts/chart24.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51190350623760839"/>
          <c:y val="9.5085528102091268E-2"/>
          <c:w val="0.55048954640716508"/>
          <c:h val="0.89116060834861399"/>
        </c:manualLayout>
      </c:layout>
      <c:barChart>
        <c:barDir val="bar"/>
        <c:grouping val="stacked"/>
        <c:ser>
          <c:idx val="0"/>
          <c:order val="0"/>
          <c:tx>
            <c:strRef>
              <c:f>Лист1!$B$1</c:f>
              <c:strCache>
                <c:ptCount val="1"/>
                <c:pt idx="0">
                  <c:v>Удовлетворительно</c:v>
                </c:pt>
              </c:strCache>
            </c:strRef>
          </c:tx>
          <c:spPr>
            <a:solidFill>
              <a:srgbClr val="ED7D31">
                <a:lumMod val="40000"/>
                <a:lumOff val="60000"/>
              </a:srgbClr>
            </a:solidFill>
          </c:spPr>
          <c:dLbls>
            <c:spPr>
              <a:noFill/>
              <a:ln>
                <a:no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дополнительного образования детей</c:v>
                </c:pt>
                <c:pt idx="1">
                  <c:v>Рынок услуг психолого-педагогического сопровождения детей с ограниченными возможностями здоровья</c:v>
                </c:pt>
                <c:pt idx="2">
                  <c:v>Рынок услуг социального обслуживания населения</c:v>
                </c:pt>
                <c:pt idx="3">
                  <c:v>Рынок услуг дошкольного образования</c:v>
                </c:pt>
                <c:pt idx="4">
                  <c:v>Рынок услуг ЖКХ</c:v>
                </c:pt>
                <c:pt idx="5">
                  <c:v>Рынок медицинских услуг</c:v>
                </c:pt>
                <c:pt idx="6">
                  <c:v>Рынок услуг связи</c:v>
                </c:pt>
                <c:pt idx="7">
                  <c:v>Рынок услуг в сфере культуры</c:v>
                </c:pt>
                <c:pt idx="8">
                  <c:v>Розничная торговля</c:v>
                </c:pt>
                <c:pt idx="9">
                  <c:v>Рынок услуг детского отдыха и оздоровления</c:v>
                </c:pt>
                <c:pt idx="10">
                  <c:v>Рынок услуг по сбору, сортировке и переработке твердых коммунальных (бытовых) отходов</c:v>
                </c:pt>
                <c:pt idx="11">
                  <c:v>Рынок развития, производства, переработки и хранения с‎\х продукции</c:v>
                </c:pt>
                <c:pt idx="12">
                  <c:v>Рынок услуг перевозок пассажиров наземным транспортом</c:v>
                </c:pt>
              </c:strCache>
            </c:strRef>
          </c:cat>
          <c:val>
            <c:numRef>
              <c:f>Лист1!$B$2:$B$14</c:f>
              <c:numCache>
                <c:formatCode>0.0%</c:formatCode>
                <c:ptCount val="13"/>
                <c:pt idx="0">
                  <c:v>0.76000000000000745</c:v>
                </c:pt>
                <c:pt idx="1">
                  <c:v>0.76000000000000745</c:v>
                </c:pt>
                <c:pt idx="2">
                  <c:v>0.76000000000000745</c:v>
                </c:pt>
                <c:pt idx="3">
                  <c:v>0.70000000000000062</c:v>
                </c:pt>
                <c:pt idx="4">
                  <c:v>0.65700000000000858</c:v>
                </c:pt>
                <c:pt idx="5">
                  <c:v>0.57099999999999995</c:v>
                </c:pt>
                <c:pt idx="6">
                  <c:v>0.56000000000000005</c:v>
                </c:pt>
                <c:pt idx="7">
                  <c:v>0.52</c:v>
                </c:pt>
                <c:pt idx="8">
                  <c:v>0.41100000000000031</c:v>
                </c:pt>
                <c:pt idx="9">
                  <c:v>0.4</c:v>
                </c:pt>
                <c:pt idx="10">
                  <c:v>0.4</c:v>
                </c:pt>
                <c:pt idx="11">
                  <c:v>0.34</c:v>
                </c:pt>
                <c:pt idx="12">
                  <c:v>0.26700000000000002</c:v>
                </c:pt>
              </c:numCache>
            </c:numRef>
          </c:val>
          <c:extLst xmlns:c16r2="http://schemas.microsoft.com/office/drawing/2015/06/chart">
            <c:ext xmlns:c16="http://schemas.microsoft.com/office/drawing/2014/chart" uri="{C3380CC4-5D6E-409C-BE32-E72D297353CC}">
              <c16:uniqueId val="{00000000-2377-4009-8DB1-0B620E819D41}"/>
            </c:ext>
          </c:extLst>
        </c:ser>
        <c:ser>
          <c:idx val="1"/>
          <c:order val="1"/>
          <c:tx>
            <c:strRef>
              <c:f>Лист1!$C$1</c:f>
              <c:strCache>
                <c:ptCount val="1"/>
                <c:pt idx="0">
                  <c:v>Неудовлетворительно</c:v>
                </c:pt>
              </c:strCache>
            </c:strRef>
          </c:tx>
          <c:spPr>
            <a:solidFill>
              <a:srgbClr val="B28AB2"/>
            </a:solidFill>
            <a:ln>
              <a:noFill/>
            </a:ln>
          </c:spPr>
          <c:dLbls>
            <c:dLbl>
              <c:idx val="6"/>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377-4009-8DB1-0B620E819D41}"/>
                </c:ext>
              </c:extLst>
            </c:dLbl>
            <c:dLbl>
              <c:idx val="7"/>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2377-4009-8DB1-0B620E819D41}"/>
                </c:ext>
              </c:extLst>
            </c:dLbl>
            <c:dLbl>
              <c:idx val="9"/>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2377-4009-8DB1-0B620E819D41}"/>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дополнительного образования детей</c:v>
                </c:pt>
                <c:pt idx="1">
                  <c:v>Рынок услуг психолого-педагогического сопровождения детей с ограниченными возможностями здоровья</c:v>
                </c:pt>
                <c:pt idx="2">
                  <c:v>Рынок услуг социального обслуживания населения</c:v>
                </c:pt>
                <c:pt idx="3">
                  <c:v>Рынок услуг дошкольного образования</c:v>
                </c:pt>
                <c:pt idx="4">
                  <c:v>Рынок услуг ЖКХ</c:v>
                </c:pt>
                <c:pt idx="5">
                  <c:v>Рынок медицинских услуг</c:v>
                </c:pt>
                <c:pt idx="6">
                  <c:v>Рынок услуг связи</c:v>
                </c:pt>
                <c:pt idx="7">
                  <c:v>Рынок услуг в сфере культуры</c:v>
                </c:pt>
                <c:pt idx="8">
                  <c:v>Розничная торговля</c:v>
                </c:pt>
                <c:pt idx="9">
                  <c:v>Рынок услуг детского отдыха и оздоровления</c:v>
                </c:pt>
                <c:pt idx="10">
                  <c:v>Рынок услуг по сбору, сортировке и переработке твердых коммунальных (бытовых) отходов</c:v>
                </c:pt>
                <c:pt idx="11">
                  <c:v>Рынок развития, производства, переработки и хранения с‎\х продукции</c:v>
                </c:pt>
                <c:pt idx="12">
                  <c:v>Рынок услуг перевозок пассажиров наземным транспортом</c:v>
                </c:pt>
              </c:strCache>
            </c:strRef>
          </c:cat>
          <c:val>
            <c:numRef>
              <c:f>Лист1!$C$2:$C$14</c:f>
              <c:numCache>
                <c:formatCode>0.0%</c:formatCode>
                <c:ptCount val="13"/>
                <c:pt idx="0">
                  <c:v>0.12000000000000002</c:v>
                </c:pt>
                <c:pt idx="1">
                  <c:v>0.16</c:v>
                </c:pt>
                <c:pt idx="2">
                  <c:v>0.16</c:v>
                </c:pt>
                <c:pt idx="3">
                  <c:v>0.30000000000000032</c:v>
                </c:pt>
                <c:pt idx="4">
                  <c:v>2.9000000000000001E-2</c:v>
                </c:pt>
                <c:pt idx="5">
                  <c:v>7.0999999999999994E-2</c:v>
                </c:pt>
                <c:pt idx="6">
                  <c:v>0</c:v>
                </c:pt>
                <c:pt idx="7">
                  <c:v>0</c:v>
                </c:pt>
                <c:pt idx="8">
                  <c:v>0.17800000000000021</c:v>
                </c:pt>
                <c:pt idx="9">
                  <c:v>0</c:v>
                </c:pt>
                <c:pt idx="10">
                  <c:v>0.5</c:v>
                </c:pt>
                <c:pt idx="11">
                  <c:v>0.1</c:v>
                </c:pt>
                <c:pt idx="12">
                  <c:v>8.3000000000000046E-2</c:v>
                </c:pt>
              </c:numCache>
            </c:numRef>
          </c:val>
          <c:extLst xmlns:c16r2="http://schemas.microsoft.com/office/drawing/2015/06/chart">
            <c:ext xmlns:c16="http://schemas.microsoft.com/office/drawing/2014/chart" uri="{C3380CC4-5D6E-409C-BE32-E72D297353CC}">
              <c16:uniqueId val="{00000004-2377-4009-8DB1-0B620E819D41}"/>
            </c:ext>
          </c:extLst>
        </c:ser>
        <c:ser>
          <c:idx val="2"/>
          <c:order val="2"/>
          <c:tx>
            <c:strRef>
              <c:f>Лист1!$D$1</c:f>
              <c:strCache>
                <c:ptCount val="1"/>
                <c:pt idx="0">
                  <c:v>Затрудняюсь ответить</c:v>
                </c:pt>
              </c:strCache>
            </c:strRef>
          </c:tx>
          <c:spPr>
            <a:solidFill>
              <a:sysClr val="window" lastClr="FFFFFF">
                <a:lumMod val="85000"/>
              </a:sysClr>
            </a:solidFill>
          </c:spPr>
          <c:dLbls>
            <c:dLbl>
              <c:idx val="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2377-4009-8DB1-0B620E819D41}"/>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дополнительного образования детей</c:v>
                </c:pt>
                <c:pt idx="1">
                  <c:v>Рынок услуг психолого-педагогического сопровождения детей с ограниченными возможностями здоровья</c:v>
                </c:pt>
                <c:pt idx="2">
                  <c:v>Рынок услуг социального обслуживания населения</c:v>
                </c:pt>
                <c:pt idx="3">
                  <c:v>Рынок услуг дошкольного образования</c:v>
                </c:pt>
                <c:pt idx="4">
                  <c:v>Рынок услуг ЖКХ</c:v>
                </c:pt>
                <c:pt idx="5">
                  <c:v>Рынок медицинских услуг</c:v>
                </c:pt>
                <c:pt idx="6">
                  <c:v>Рынок услуг связи</c:v>
                </c:pt>
                <c:pt idx="7">
                  <c:v>Рынок услуг в сфере культуры</c:v>
                </c:pt>
                <c:pt idx="8">
                  <c:v>Розничная торговля</c:v>
                </c:pt>
                <c:pt idx="9">
                  <c:v>Рынок услуг детского отдыха и оздоровления</c:v>
                </c:pt>
                <c:pt idx="10">
                  <c:v>Рынок услуг по сбору, сортировке и переработке твердых коммунальных (бытовых) отходов</c:v>
                </c:pt>
                <c:pt idx="11">
                  <c:v>Рынок развития, производства, переработки и хранения с‎\х продукции</c:v>
                </c:pt>
                <c:pt idx="12">
                  <c:v>Рынок услуг перевозок пассажиров наземным транспортом</c:v>
                </c:pt>
              </c:strCache>
            </c:strRef>
          </c:cat>
          <c:val>
            <c:numRef>
              <c:f>Лист1!$D$2:$D$14</c:f>
              <c:numCache>
                <c:formatCode>0.0%</c:formatCode>
                <c:ptCount val="13"/>
                <c:pt idx="0">
                  <c:v>0.12000000000000002</c:v>
                </c:pt>
                <c:pt idx="1">
                  <c:v>8.0000000000000043E-2</c:v>
                </c:pt>
                <c:pt idx="2">
                  <c:v>8.0000000000000043E-2</c:v>
                </c:pt>
                <c:pt idx="3">
                  <c:v>0</c:v>
                </c:pt>
                <c:pt idx="4">
                  <c:v>0.31400000000000333</c:v>
                </c:pt>
                <c:pt idx="5">
                  <c:v>0.35700000000000032</c:v>
                </c:pt>
                <c:pt idx="6">
                  <c:v>0.44</c:v>
                </c:pt>
                <c:pt idx="7">
                  <c:v>0.48000000000000032</c:v>
                </c:pt>
                <c:pt idx="8">
                  <c:v>0.41100000000000031</c:v>
                </c:pt>
                <c:pt idx="9">
                  <c:v>0.60000000000000064</c:v>
                </c:pt>
                <c:pt idx="10">
                  <c:v>0.1</c:v>
                </c:pt>
                <c:pt idx="11">
                  <c:v>0.56000000000000005</c:v>
                </c:pt>
                <c:pt idx="12">
                  <c:v>0.65000000000000768</c:v>
                </c:pt>
              </c:numCache>
            </c:numRef>
          </c:val>
          <c:extLst xmlns:c16r2="http://schemas.microsoft.com/office/drawing/2015/06/chart">
            <c:ext xmlns:c16="http://schemas.microsoft.com/office/drawing/2014/chart" uri="{C3380CC4-5D6E-409C-BE32-E72D297353CC}">
              <c16:uniqueId val="{00000006-2377-4009-8DB1-0B620E819D41}"/>
            </c:ext>
          </c:extLst>
        </c:ser>
        <c:overlap val="100"/>
        <c:axId val="112142208"/>
        <c:axId val="112143744"/>
      </c:barChart>
      <c:catAx>
        <c:axId val="112142208"/>
        <c:scaling>
          <c:orientation val="maxMin"/>
        </c:scaling>
        <c:axPos val="l"/>
        <c:numFmt formatCode="General" sourceLinked="1"/>
        <c:tickLblPos val="nextTo"/>
        <c:crossAx val="112143744"/>
        <c:crosses val="autoZero"/>
        <c:auto val="1"/>
        <c:lblAlgn val="ctr"/>
        <c:lblOffset val="100"/>
      </c:catAx>
      <c:valAx>
        <c:axId val="112143744"/>
        <c:scaling>
          <c:orientation val="minMax"/>
          <c:max val="1"/>
          <c:min val="0"/>
        </c:scaling>
        <c:axPos val="t"/>
        <c:majorGridlines/>
        <c:numFmt formatCode="0.0%" sourceLinked="1"/>
        <c:tickLblPos val="nextTo"/>
        <c:txPr>
          <a:bodyPr/>
          <a:lstStyle/>
          <a:p>
            <a:pPr>
              <a:defRPr sz="600"/>
            </a:pPr>
            <a:endParaRPr lang="ru-RU"/>
          </a:p>
        </c:txPr>
        <c:crossAx val="112142208"/>
        <c:crosses val="autoZero"/>
        <c:crossBetween val="between"/>
        <c:majorUnit val="0.2"/>
      </c:valAx>
      <c:spPr>
        <a:noFill/>
        <a:ln>
          <a:solidFill>
            <a:schemeClr val="accent1"/>
          </a:solidFill>
        </a:ln>
      </c:spPr>
    </c:plotArea>
    <c:legend>
      <c:legendPos val="t"/>
    </c:legend>
    <c:plotVisOnly val="1"/>
    <c:dispBlanksAs val="gap"/>
  </c:chart>
  <c:spPr>
    <a:ln>
      <a:noFill/>
    </a:ln>
  </c:spPr>
  <c:txPr>
    <a:bodyPr/>
    <a:lstStyle/>
    <a:p>
      <a:pPr>
        <a:defRPr>
          <a:latin typeface="Arial Narrow" panose="020B0606020202030204" pitchFamily="34" charset="0"/>
        </a:defRPr>
      </a:pPr>
      <a:endParaRPr lang="ru-RU"/>
    </a:p>
  </c:txPr>
  <c:externalData r:id="rId2"/>
</c:chartSpace>
</file>

<file path=word/charts/chart25.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27650257804892092"/>
          <c:y val="0.18031876733147487"/>
          <c:w val="0.68250275481088496"/>
          <c:h val="0.80592732713914661"/>
        </c:manualLayout>
      </c:layout>
      <c:barChart>
        <c:barDir val="bar"/>
        <c:grouping val="stacked"/>
        <c:ser>
          <c:idx val="0"/>
          <c:order val="0"/>
          <c:tx>
            <c:strRef>
              <c:f>Лист1!$B$1</c:f>
              <c:strCache>
                <c:ptCount val="1"/>
                <c:pt idx="0">
                  <c:v>Удовлетворительно</c:v>
                </c:pt>
              </c:strCache>
            </c:strRef>
          </c:tx>
          <c:spPr>
            <a:solidFill>
              <a:srgbClr val="ED7D31">
                <a:lumMod val="40000"/>
                <a:lumOff val="60000"/>
              </a:srgbClr>
            </a:solidFill>
          </c:spPr>
          <c:dLbls>
            <c:spPr>
              <a:noFill/>
              <a:ln>
                <a:no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среднее предприятие</c:v>
                </c:pt>
                <c:pt idx="1">
                  <c:v>малое предприятие</c:v>
                </c:pt>
              </c:strCache>
            </c:strRef>
          </c:cat>
          <c:val>
            <c:numRef>
              <c:f>Лист1!$B$2:$B$3</c:f>
              <c:numCache>
                <c:formatCode>0.0%</c:formatCode>
                <c:ptCount val="2"/>
                <c:pt idx="0">
                  <c:v>0.36400000000000032</c:v>
                </c:pt>
                <c:pt idx="1">
                  <c:v>0.52500000000000002</c:v>
                </c:pt>
              </c:numCache>
            </c:numRef>
          </c:val>
          <c:extLst xmlns:c16r2="http://schemas.microsoft.com/office/drawing/2015/06/chart">
            <c:ext xmlns:c16="http://schemas.microsoft.com/office/drawing/2014/chart" uri="{C3380CC4-5D6E-409C-BE32-E72D297353CC}">
              <c16:uniqueId val="{00000000-368E-490C-B479-C9EA60ADB7B2}"/>
            </c:ext>
          </c:extLst>
        </c:ser>
        <c:ser>
          <c:idx val="1"/>
          <c:order val="1"/>
          <c:tx>
            <c:strRef>
              <c:f>Лист1!$C$1</c:f>
              <c:strCache>
                <c:ptCount val="1"/>
                <c:pt idx="0">
                  <c:v>Неудовлетворительно</c:v>
                </c:pt>
              </c:strCache>
            </c:strRef>
          </c:tx>
          <c:spPr>
            <a:solidFill>
              <a:srgbClr val="B28AB2"/>
            </a:solidFill>
            <a:ln>
              <a:noFill/>
            </a:ln>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среднее предприятие</c:v>
                </c:pt>
                <c:pt idx="1">
                  <c:v>малое предприятие</c:v>
                </c:pt>
              </c:strCache>
            </c:strRef>
          </c:cat>
          <c:val>
            <c:numRef>
              <c:f>Лист1!$C$2:$C$3</c:f>
              <c:numCache>
                <c:formatCode>0.0%</c:formatCode>
                <c:ptCount val="2"/>
                <c:pt idx="0">
                  <c:v>0.18200000000000024</c:v>
                </c:pt>
                <c:pt idx="1">
                  <c:v>0.127</c:v>
                </c:pt>
              </c:numCache>
            </c:numRef>
          </c:val>
          <c:extLst xmlns:c16r2="http://schemas.microsoft.com/office/drawing/2015/06/chart">
            <c:ext xmlns:c16="http://schemas.microsoft.com/office/drawing/2014/chart" uri="{C3380CC4-5D6E-409C-BE32-E72D297353CC}">
              <c16:uniqueId val="{00000001-368E-490C-B479-C9EA60ADB7B2}"/>
            </c:ext>
          </c:extLst>
        </c:ser>
        <c:ser>
          <c:idx val="2"/>
          <c:order val="2"/>
          <c:tx>
            <c:strRef>
              <c:f>Лист1!$D$1</c:f>
              <c:strCache>
                <c:ptCount val="1"/>
                <c:pt idx="0">
                  <c:v>Затрудняюсь ответить</c:v>
                </c:pt>
              </c:strCache>
            </c:strRef>
          </c:tx>
          <c:spPr>
            <a:solidFill>
              <a:srgbClr val="A5A5A5">
                <a:lumMod val="40000"/>
                <a:lumOff val="60000"/>
              </a:srgb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среднее предприятие</c:v>
                </c:pt>
                <c:pt idx="1">
                  <c:v>малое предприятие</c:v>
                </c:pt>
              </c:strCache>
            </c:strRef>
          </c:cat>
          <c:val>
            <c:numRef>
              <c:f>Лист1!$D$2:$D$3</c:f>
              <c:numCache>
                <c:formatCode>0.0%</c:formatCode>
                <c:ptCount val="2"/>
                <c:pt idx="0">
                  <c:v>0.45500000000000002</c:v>
                </c:pt>
                <c:pt idx="1">
                  <c:v>0.34700000000000031</c:v>
                </c:pt>
              </c:numCache>
            </c:numRef>
          </c:val>
          <c:extLst xmlns:c16r2="http://schemas.microsoft.com/office/drawing/2015/06/chart">
            <c:ext xmlns:c16="http://schemas.microsoft.com/office/drawing/2014/chart" uri="{C3380CC4-5D6E-409C-BE32-E72D297353CC}">
              <c16:uniqueId val="{00000002-368E-490C-B479-C9EA60ADB7B2}"/>
            </c:ext>
          </c:extLst>
        </c:ser>
        <c:overlap val="100"/>
        <c:axId val="112196224"/>
        <c:axId val="118309248"/>
      </c:barChart>
      <c:catAx>
        <c:axId val="112196224"/>
        <c:scaling>
          <c:orientation val="maxMin"/>
        </c:scaling>
        <c:axPos val="l"/>
        <c:numFmt formatCode="General" sourceLinked="1"/>
        <c:tickLblPos val="nextTo"/>
        <c:crossAx val="118309248"/>
        <c:crosses val="autoZero"/>
        <c:auto val="1"/>
        <c:lblAlgn val="ctr"/>
        <c:lblOffset val="100"/>
      </c:catAx>
      <c:valAx>
        <c:axId val="118309248"/>
        <c:scaling>
          <c:orientation val="minMax"/>
          <c:max val="1"/>
          <c:min val="0"/>
        </c:scaling>
        <c:delete val="1"/>
        <c:axPos val="t"/>
        <c:majorGridlines/>
        <c:numFmt formatCode="0.0%" sourceLinked="1"/>
        <c:tickLblPos val="none"/>
        <c:crossAx val="112196224"/>
        <c:crosses val="autoZero"/>
        <c:crossBetween val="between"/>
        <c:majorUnit val="0.2"/>
      </c:valAx>
      <c:spPr>
        <a:noFill/>
        <a:ln>
          <a:solidFill>
            <a:schemeClr val="accent1"/>
          </a:solidFill>
        </a:ln>
      </c:spPr>
    </c:plotArea>
    <c:legend>
      <c:legendPos val="t"/>
    </c:legend>
    <c:plotVisOnly val="1"/>
    <c:dispBlanksAs val="gap"/>
  </c:chart>
  <c:spPr>
    <a:ln>
      <a:noFill/>
    </a:ln>
  </c:spPr>
  <c:txPr>
    <a:bodyPr/>
    <a:lstStyle/>
    <a:p>
      <a:pPr>
        <a:defRPr>
          <a:latin typeface="Arial Narrow" panose="020B0606020202030204" pitchFamily="34" charset="0"/>
        </a:defRPr>
      </a:pPr>
      <a:endParaRPr lang="ru-RU"/>
    </a:p>
  </c:txPr>
</c:chartSpace>
</file>

<file path=word/charts/chart26.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27650257804892092"/>
          <c:y val="7.9511002230044023E-2"/>
          <c:w val="0.68250275481088496"/>
          <c:h val="0.90726375754947264"/>
        </c:manualLayout>
      </c:layout>
      <c:barChart>
        <c:barDir val="bar"/>
        <c:grouping val="stacked"/>
        <c:ser>
          <c:idx val="0"/>
          <c:order val="0"/>
          <c:tx>
            <c:strRef>
              <c:f>Лист1!$B$1</c:f>
              <c:strCache>
                <c:ptCount val="1"/>
                <c:pt idx="0">
                  <c:v>Удовлетворительно</c:v>
                </c:pt>
              </c:strCache>
            </c:strRef>
          </c:tx>
          <c:spPr>
            <a:solidFill>
              <a:srgbClr val="ED7D31">
                <a:lumMod val="40000"/>
                <a:lumOff val="60000"/>
              </a:srgbClr>
            </a:solidFill>
          </c:spPr>
          <c:dLbls>
            <c:dLbl>
              <c:idx val="3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A9BD-4AC5-8986-58129ED4CD14}"/>
                </c:ext>
              </c:extLst>
            </c:dLbl>
            <c:dLbl>
              <c:idx val="3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A9BD-4AC5-8986-58129ED4CD14}"/>
                </c:ext>
              </c:extLst>
            </c:dLbl>
            <c:dLbl>
              <c:idx val="3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A9BD-4AC5-8986-58129ED4CD14}"/>
                </c:ext>
              </c:extLst>
            </c:dLbl>
            <c:spPr>
              <a:noFill/>
              <a:ln>
                <a:no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г. Искитим</c:v>
                </c:pt>
                <c:pt idx="1">
                  <c:v>Чулымский МР</c:v>
                </c:pt>
                <c:pt idx="2">
                  <c:v>Карасукский МР</c:v>
                </c:pt>
                <c:pt idx="3">
                  <c:v>Куйбышевский МР</c:v>
                </c:pt>
                <c:pt idx="4">
                  <c:v>Черепановский МР</c:v>
                </c:pt>
                <c:pt idx="5">
                  <c:v>р. п. Кольцово</c:v>
                </c:pt>
                <c:pt idx="6">
                  <c:v>Чистоозерный МР</c:v>
                </c:pt>
                <c:pt idx="7">
                  <c:v>г. Бердск</c:v>
                </c:pt>
                <c:pt idx="8">
                  <c:v>Ордынский МР</c:v>
                </c:pt>
                <c:pt idx="9">
                  <c:v>г. Обь</c:v>
                </c:pt>
                <c:pt idx="10">
                  <c:v>Сузунский МР</c:v>
                </c:pt>
                <c:pt idx="11">
                  <c:v>Татарский МР</c:v>
                </c:pt>
                <c:pt idx="12">
                  <c:v>г. Новосибирск</c:v>
                </c:pt>
                <c:pt idx="13">
                  <c:v>Болотнинский МР</c:v>
                </c:pt>
                <c:pt idx="14">
                  <c:v>Барабинский МР</c:v>
                </c:pt>
                <c:pt idx="15">
                  <c:v>Маслянинский МР</c:v>
                </c:pt>
                <c:pt idx="16">
                  <c:v>Колыванский МР</c:v>
                </c:pt>
                <c:pt idx="17">
                  <c:v>Венгеровский МР</c:v>
                </c:pt>
                <c:pt idx="18">
                  <c:v>Коченевский МР</c:v>
                </c:pt>
                <c:pt idx="19">
                  <c:v>Здвинский МР</c:v>
                </c:pt>
                <c:pt idx="20">
                  <c:v>Северный МР</c:v>
                </c:pt>
                <c:pt idx="21">
                  <c:v>Искитимский МР</c:v>
                </c:pt>
                <c:pt idx="22">
                  <c:v>Доволенский МР</c:v>
                </c:pt>
                <c:pt idx="23">
                  <c:v>Кочковский МР</c:v>
                </c:pt>
                <c:pt idx="24">
                  <c:v>Убинский МР</c:v>
                </c:pt>
                <c:pt idx="25">
                  <c:v>Чановский МР</c:v>
                </c:pt>
                <c:pt idx="26">
                  <c:v>Мошковский МР</c:v>
                </c:pt>
                <c:pt idx="27">
                  <c:v>Каргатский МР</c:v>
                </c:pt>
                <c:pt idx="28">
                  <c:v>Усть-Таркский МР</c:v>
                </c:pt>
                <c:pt idx="29">
                  <c:v>Купинский МР</c:v>
                </c:pt>
                <c:pt idx="30">
                  <c:v>Баганский МР</c:v>
                </c:pt>
                <c:pt idx="31">
                  <c:v>Тогучинский МР</c:v>
                </c:pt>
                <c:pt idx="32">
                  <c:v>Краснозерский МР</c:v>
                </c:pt>
                <c:pt idx="33">
                  <c:v>Кыштовский МР</c:v>
                </c:pt>
                <c:pt idx="34">
                  <c:v>Новосибирский МР</c:v>
                </c:pt>
              </c:strCache>
            </c:strRef>
          </c:cat>
          <c:val>
            <c:numRef>
              <c:f>Лист1!$B$2:$B$36</c:f>
              <c:numCache>
                <c:formatCode>0.0%</c:formatCode>
                <c:ptCount val="35"/>
                <c:pt idx="0">
                  <c:v>0.73600000000000065</c:v>
                </c:pt>
                <c:pt idx="1">
                  <c:v>0.73300000000000065</c:v>
                </c:pt>
                <c:pt idx="2">
                  <c:v>0.70600000000000063</c:v>
                </c:pt>
                <c:pt idx="3">
                  <c:v>0.65400000000000791</c:v>
                </c:pt>
                <c:pt idx="4">
                  <c:v>0.63900000000000723</c:v>
                </c:pt>
                <c:pt idx="5">
                  <c:v>0.62500000000000655</c:v>
                </c:pt>
                <c:pt idx="6">
                  <c:v>0.54500000000000004</c:v>
                </c:pt>
                <c:pt idx="7">
                  <c:v>0.59</c:v>
                </c:pt>
                <c:pt idx="8">
                  <c:v>0.57900000000000063</c:v>
                </c:pt>
                <c:pt idx="9">
                  <c:v>0.57099999999999995</c:v>
                </c:pt>
                <c:pt idx="10">
                  <c:v>0.56299999999999994</c:v>
                </c:pt>
                <c:pt idx="11">
                  <c:v>0.55600000000000005</c:v>
                </c:pt>
                <c:pt idx="12">
                  <c:v>0.55100000000000005</c:v>
                </c:pt>
                <c:pt idx="13">
                  <c:v>0.53800000000000003</c:v>
                </c:pt>
                <c:pt idx="14">
                  <c:v>0.52600000000000002</c:v>
                </c:pt>
                <c:pt idx="15">
                  <c:v>0.46200000000000002</c:v>
                </c:pt>
                <c:pt idx="16">
                  <c:v>0.43500000000000238</c:v>
                </c:pt>
                <c:pt idx="17">
                  <c:v>0.42900000000000038</c:v>
                </c:pt>
                <c:pt idx="18">
                  <c:v>0.38500000000000362</c:v>
                </c:pt>
                <c:pt idx="19">
                  <c:v>0.33300000000000413</c:v>
                </c:pt>
                <c:pt idx="20">
                  <c:v>0.33300000000000413</c:v>
                </c:pt>
                <c:pt idx="21">
                  <c:v>0.29400000000000032</c:v>
                </c:pt>
                <c:pt idx="22">
                  <c:v>0.28600000000000031</c:v>
                </c:pt>
                <c:pt idx="23">
                  <c:v>0.28600000000000031</c:v>
                </c:pt>
                <c:pt idx="24">
                  <c:v>0.28600000000000031</c:v>
                </c:pt>
                <c:pt idx="25">
                  <c:v>0.27300000000000002</c:v>
                </c:pt>
                <c:pt idx="26">
                  <c:v>0.222</c:v>
                </c:pt>
                <c:pt idx="27">
                  <c:v>0.16700000000000001</c:v>
                </c:pt>
                <c:pt idx="28">
                  <c:v>0.16700000000000001</c:v>
                </c:pt>
                <c:pt idx="29">
                  <c:v>0.13300000000000001</c:v>
                </c:pt>
                <c:pt idx="30">
                  <c:v>0.125</c:v>
                </c:pt>
                <c:pt idx="31">
                  <c:v>8.3000000000000046E-2</c:v>
                </c:pt>
                <c:pt idx="32">
                  <c:v>0</c:v>
                </c:pt>
                <c:pt idx="33">
                  <c:v>0</c:v>
                </c:pt>
                <c:pt idx="34">
                  <c:v>0</c:v>
                </c:pt>
              </c:numCache>
            </c:numRef>
          </c:val>
          <c:extLst xmlns:c16r2="http://schemas.microsoft.com/office/drawing/2015/06/chart">
            <c:ext xmlns:c16="http://schemas.microsoft.com/office/drawing/2014/chart" uri="{C3380CC4-5D6E-409C-BE32-E72D297353CC}">
              <c16:uniqueId val="{00000000-E23D-4006-9607-1C35FF30D9F2}"/>
            </c:ext>
          </c:extLst>
        </c:ser>
        <c:ser>
          <c:idx val="1"/>
          <c:order val="1"/>
          <c:tx>
            <c:strRef>
              <c:f>Лист1!$C$1</c:f>
              <c:strCache>
                <c:ptCount val="1"/>
                <c:pt idx="0">
                  <c:v>Неудовлетворительно</c:v>
                </c:pt>
              </c:strCache>
            </c:strRef>
          </c:tx>
          <c:spPr>
            <a:solidFill>
              <a:srgbClr val="B28AB2"/>
            </a:solidFill>
            <a:ln>
              <a:noFill/>
            </a:ln>
          </c:spPr>
          <c:dLbls>
            <c:dLbl>
              <c:idx val="3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A9BD-4AC5-8986-58129ED4CD14}"/>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г. Искитим</c:v>
                </c:pt>
                <c:pt idx="1">
                  <c:v>Чулымский МР</c:v>
                </c:pt>
                <c:pt idx="2">
                  <c:v>Карасукский МР</c:v>
                </c:pt>
                <c:pt idx="3">
                  <c:v>Куйбышевский МР</c:v>
                </c:pt>
                <c:pt idx="4">
                  <c:v>Черепановский МР</c:v>
                </c:pt>
                <c:pt idx="5">
                  <c:v>р. п. Кольцово</c:v>
                </c:pt>
                <c:pt idx="6">
                  <c:v>Чистоозерный МР</c:v>
                </c:pt>
                <c:pt idx="7">
                  <c:v>г. Бердск</c:v>
                </c:pt>
                <c:pt idx="8">
                  <c:v>Ордынский МР</c:v>
                </c:pt>
                <c:pt idx="9">
                  <c:v>г. Обь</c:v>
                </c:pt>
                <c:pt idx="10">
                  <c:v>Сузунский МР</c:v>
                </c:pt>
                <c:pt idx="11">
                  <c:v>Татарский МР</c:v>
                </c:pt>
                <c:pt idx="12">
                  <c:v>г. Новосибирск</c:v>
                </c:pt>
                <c:pt idx="13">
                  <c:v>Болотнинский МР</c:v>
                </c:pt>
                <c:pt idx="14">
                  <c:v>Барабинский МР</c:v>
                </c:pt>
                <c:pt idx="15">
                  <c:v>Маслянинский МР</c:v>
                </c:pt>
                <c:pt idx="16">
                  <c:v>Колыванский МР</c:v>
                </c:pt>
                <c:pt idx="17">
                  <c:v>Венгеровский МР</c:v>
                </c:pt>
                <c:pt idx="18">
                  <c:v>Коченевский МР</c:v>
                </c:pt>
                <c:pt idx="19">
                  <c:v>Здвинский МР</c:v>
                </c:pt>
                <c:pt idx="20">
                  <c:v>Северный МР</c:v>
                </c:pt>
                <c:pt idx="21">
                  <c:v>Искитимский МР</c:v>
                </c:pt>
                <c:pt idx="22">
                  <c:v>Доволенский МР</c:v>
                </c:pt>
                <c:pt idx="23">
                  <c:v>Кочковский МР</c:v>
                </c:pt>
                <c:pt idx="24">
                  <c:v>Убинский МР</c:v>
                </c:pt>
                <c:pt idx="25">
                  <c:v>Чановский МР</c:v>
                </c:pt>
                <c:pt idx="26">
                  <c:v>Мошковский МР</c:v>
                </c:pt>
                <c:pt idx="27">
                  <c:v>Каргатский МР</c:v>
                </c:pt>
                <c:pt idx="28">
                  <c:v>Усть-Таркский МР</c:v>
                </c:pt>
                <c:pt idx="29">
                  <c:v>Купинский МР</c:v>
                </c:pt>
                <c:pt idx="30">
                  <c:v>Баганский МР</c:v>
                </c:pt>
                <c:pt idx="31">
                  <c:v>Тогучинский МР</c:v>
                </c:pt>
                <c:pt idx="32">
                  <c:v>Краснозерский МР</c:v>
                </c:pt>
                <c:pt idx="33">
                  <c:v>Кыштовский МР</c:v>
                </c:pt>
                <c:pt idx="34">
                  <c:v>Новосибирский МР</c:v>
                </c:pt>
              </c:strCache>
            </c:strRef>
          </c:cat>
          <c:val>
            <c:numRef>
              <c:f>Лист1!$C$2:$C$36</c:f>
              <c:numCache>
                <c:formatCode>0.0%</c:formatCode>
                <c:ptCount val="35"/>
                <c:pt idx="0">
                  <c:v>0.113</c:v>
                </c:pt>
                <c:pt idx="1">
                  <c:v>0.26700000000000002</c:v>
                </c:pt>
                <c:pt idx="2">
                  <c:v>0.11799999999999998</c:v>
                </c:pt>
                <c:pt idx="3">
                  <c:v>0.26900000000000002</c:v>
                </c:pt>
                <c:pt idx="4">
                  <c:v>5.6000000000000001E-2</c:v>
                </c:pt>
                <c:pt idx="5">
                  <c:v>0.125</c:v>
                </c:pt>
                <c:pt idx="6">
                  <c:v>0.18200000000000024</c:v>
                </c:pt>
                <c:pt idx="7">
                  <c:v>0.15400000000000041</c:v>
                </c:pt>
                <c:pt idx="8">
                  <c:v>0.21100000000000024</c:v>
                </c:pt>
                <c:pt idx="9">
                  <c:v>0.25</c:v>
                </c:pt>
                <c:pt idx="10">
                  <c:v>0.18800000000000044</c:v>
                </c:pt>
                <c:pt idx="11">
                  <c:v>0.16700000000000001</c:v>
                </c:pt>
                <c:pt idx="12">
                  <c:v>0.10900000000000012</c:v>
                </c:pt>
                <c:pt idx="13">
                  <c:v>7.6999999999999999E-2</c:v>
                </c:pt>
                <c:pt idx="14">
                  <c:v>0.26300000000000001</c:v>
                </c:pt>
                <c:pt idx="15">
                  <c:v>0.23100000000000001</c:v>
                </c:pt>
                <c:pt idx="16">
                  <c:v>0.47800000000000031</c:v>
                </c:pt>
                <c:pt idx="17">
                  <c:v>0.28600000000000031</c:v>
                </c:pt>
                <c:pt idx="18">
                  <c:v>0.30800000000000038</c:v>
                </c:pt>
                <c:pt idx="19">
                  <c:v>0</c:v>
                </c:pt>
                <c:pt idx="20">
                  <c:v>0.33300000000000413</c:v>
                </c:pt>
                <c:pt idx="21">
                  <c:v>0.23500000000000001</c:v>
                </c:pt>
                <c:pt idx="22">
                  <c:v>0.14300000000000004</c:v>
                </c:pt>
                <c:pt idx="23">
                  <c:v>0.28600000000000031</c:v>
                </c:pt>
                <c:pt idx="24">
                  <c:v>0.28600000000000031</c:v>
                </c:pt>
                <c:pt idx="25">
                  <c:v>3.0000000000000002E-2</c:v>
                </c:pt>
                <c:pt idx="26">
                  <c:v>0.111</c:v>
                </c:pt>
                <c:pt idx="27">
                  <c:v>0.16700000000000001</c:v>
                </c:pt>
                <c:pt idx="28">
                  <c:v>0.16700000000000001</c:v>
                </c:pt>
                <c:pt idx="29">
                  <c:v>0</c:v>
                </c:pt>
                <c:pt idx="30">
                  <c:v>0</c:v>
                </c:pt>
                <c:pt idx="31">
                  <c:v>8.3000000000000046E-2</c:v>
                </c:pt>
                <c:pt idx="32">
                  <c:v>0</c:v>
                </c:pt>
                <c:pt idx="33">
                  <c:v>0.16700000000000001</c:v>
                </c:pt>
                <c:pt idx="34">
                  <c:v>0.18200000000000024</c:v>
                </c:pt>
              </c:numCache>
            </c:numRef>
          </c:val>
          <c:extLst xmlns:c16r2="http://schemas.microsoft.com/office/drawing/2015/06/chart">
            <c:ext xmlns:c16="http://schemas.microsoft.com/office/drawing/2014/chart" uri="{C3380CC4-5D6E-409C-BE32-E72D297353CC}">
              <c16:uniqueId val="{00000001-E23D-4006-9607-1C35FF30D9F2}"/>
            </c:ext>
          </c:extLst>
        </c:ser>
        <c:ser>
          <c:idx val="2"/>
          <c:order val="2"/>
          <c:tx>
            <c:strRef>
              <c:f>Лист1!$D$1</c:f>
              <c:strCache>
                <c:ptCount val="1"/>
                <c:pt idx="0">
                  <c:v>Затрудняюсь ответить</c:v>
                </c:pt>
              </c:strCache>
            </c:strRef>
          </c:tx>
          <c:spPr>
            <a:solidFill>
              <a:srgbClr val="A5A5A5">
                <a:lumMod val="40000"/>
                <a:lumOff val="60000"/>
              </a:srgb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г. Искитим</c:v>
                </c:pt>
                <c:pt idx="1">
                  <c:v>Чулымский МР</c:v>
                </c:pt>
                <c:pt idx="2">
                  <c:v>Карасукский МР</c:v>
                </c:pt>
                <c:pt idx="3">
                  <c:v>Куйбышевский МР</c:v>
                </c:pt>
                <c:pt idx="4">
                  <c:v>Черепановский МР</c:v>
                </c:pt>
                <c:pt idx="5">
                  <c:v>р. п. Кольцово</c:v>
                </c:pt>
                <c:pt idx="6">
                  <c:v>Чистоозерный МР</c:v>
                </c:pt>
                <c:pt idx="7">
                  <c:v>г. Бердск</c:v>
                </c:pt>
                <c:pt idx="8">
                  <c:v>Ордынский МР</c:v>
                </c:pt>
                <c:pt idx="9">
                  <c:v>г. Обь</c:v>
                </c:pt>
                <c:pt idx="10">
                  <c:v>Сузунский МР</c:v>
                </c:pt>
                <c:pt idx="11">
                  <c:v>Татарский МР</c:v>
                </c:pt>
                <c:pt idx="12">
                  <c:v>г. Новосибирск</c:v>
                </c:pt>
                <c:pt idx="13">
                  <c:v>Болотнинский МР</c:v>
                </c:pt>
                <c:pt idx="14">
                  <c:v>Барабинский МР</c:v>
                </c:pt>
                <c:pt idx="15">
                  <c:v>Маслянинский МР</c:v>
                </c:pt>
                <c:pt idx="16">
                  <c:v>Колыванский МР</c:v>
                </c:pt>
                <c:pt idx="17">
                  <c:v>Венгеровский МР</c:v>
                </c:pt>
                <c:pt idx="18">
                  <c:v>Коченевский МР</c:v>
                </c:pt>
                <c:pt idx="19">
                  <c:v>Здвинский МР</c:v>
                </c:pt>
                <c:pt idx="20">
                  <c:v>Северный МР</c:v>
                </c:pt>
                <c:pt idx="21">
                  <c:v>Искитимский МР</c:v>
                </c:pt>
                <c:pt idx="22">
                  <c:v>Доволенский МР</c:v>
                </c:pt>
                <c:pt idx="23">
                  <c:v>Кочковский МР</c:v>
                </c:pt>
                <c:pt idx="24">
                  <c:v>Убинский МР</c:v>
                </c:pt>
                <c:pt idx="25">
                  <c:v>Чановский МР</c:v>
                </c:pt>
                <c:pt idx="26">
                  <c:v>Мошковский МР</c:v>
                </c:pt>
                <c:pt idx="27">
                  <c:v>Каргатский МР</c:v>
                </c:pt>
                <c:pt idx="28">
                  <c:v>Усть-Таркский МР</c:v>
                </c:pt>
                <c:pt idx="29">
                  <c:v>Купинский МР</c:v>
                </c:pt>
                <c:pt idx="30">
                  <c:v>Баганский МР</c:v>
                </c:pt>
                <c:pt idx="31">
                  <c:v>Тогучинский МР</c:v>
                </c:pt>
                <c:pt idx="32">
                  <c:v>Краснозерский МР</c:v>
                </c:pt>
                <c:pt idx="33">
                  <c:v>Кыштовский МР</c:v>
                </c:pt>
                <c:pt idx="34">
                  <c:v>Новосибирский МР</c:v>
                </c:pt>
              </c:strCache>
            </c:strRef>
          </c:cat>
          <c:val>
            <c:numRef>
              <c:f>Лист1!$D$2:$D$36</c:f>
              <c:numCache>
                <c:formatCode>0.0%</c:formatCode>
                <c:ptCount val="35"/>
                <c:pt idx="0">
                  <c:v>0.15100000000000041</c:v>
                </c:pt>
                <c:pt idx="1">
                  <c:v>0</c:v>
                </c:pt>
                <c:pt idx="2">
                  <c:v>0.17600000000000021</c:v>
                </c:pt>
                <c:pt idx="3">
                  <c:v>7.6999999999999999E-2</c:v>
                </c:pt>
                <c:pt idx="4">
                  <c:v>0.30600000000000038</c:v>
                </c:pt>
                <c:pt idx="5">
                  <c:v>0.25</c:v>
                </c:pt>
                <c:pt idx="6">
                  <c:v>0.27300000000000002</c:v>
                </c:pt>
                <c:pt idx="7">
                  <c:v>0.25600000000000001</c:v>
                </c:pt>
                <c:pt idx="8">
                  <c:v>0.21100000000000024</c:v>
                </c:pt>
                <c:pt idx="9">
                  <c:v>0.17900000000000021</c:v>
                </c:pt>
                <c:pt idx="10">
                  <c:v>0.25</c:v>
                </c:pt>
                <c:pt idx="11">
                  <c:v>0.27800000000000002</c:v>
                </c:pt>
                <c:pt idx="12">
                  <c:v>0.34</c:v>
                </c:pt>
                <c:pt idx="13">
                  <c:v>0.38500000000000362</c:v>
                </c:pt>
                <c:pt idx="14">
                  <c:v>0.21100000000000024</c:v>
                </c:pt>
                <c:pt idx="15">
                  <c:v>0.30800000000000038</c:v>
                </c:pt>
                <c:pt idx="16">
                  <c:v>8.7000000000000022E-2</c:v>
                </c:pt>
                <c:pt idx="17">
                  <c:v>0.28600000000000031</c:v>
                </c:pt>
                <c:pt idx="18">
                  <c:v>0.30800000000000038</c:v>
                </c:pt>
                <c:pt idx="19">
                  <c:v>0.66700000000000825</c:v>
                </c:pt>
                <c:pt idx="20">
                  <c:v>0.33300000000000413</c:v>
                </c:pt>
                <c:pt idx="21">
                  <c:v>0.47100000000000031</c:v>
                </c:pt>
                <c:pt idx="22">
                  <c:v>0.57099999999999995</c:v>
                </c:pt>
                <c:pt idx="23">
                  <c:v>0.42900000000000038</c:v>
                </c:pt>
                <c:pt idx="24">
                  <c:v>0.42900000000000038</c:v>
                </c:pt>
                <c:pt idx="25">
                  <c:v>0.69699999999999995</c:v>
                </c:pt>
                <c:pt idx="26">
                  <c:v>0.66700000000000825</c:v>
                </c:pt>
                <c:pt idx="27">
                  <c:v>0.66700000000000825</c:v>
                </c:pt>
                <c:pt idx="28">
                  <c:v>0.66700000000000825</c:v>
                </c:pt>
                <c:pt idx="29">
                  <c:v>0.86700000000000643</c:v>
                </c:pt>
                <c:pt idx="30">
                  <c:v>0.87500000000000655</c:v>
                </c:pt>
                <c:pt idx="31">
                  <c:v>0.83300000000000063</c:v>
                </c:pt>
                <c:pt idx="32">
                  <c:v>1</c:v>
                </c:pt>
                <c:pt idx="33">
                  <c:v>0.83300000000000063</c:v>
                </c:pt>
                <c:pt idx="34">
                  <c:v>0.81799999999999995</c:v>
                </c:pt>
              </c:numCache>
            </c:numRef>
          </c:val>
          <c:extLst xmlns:c16r2="http://schemas.microsoft.com/office/drawing/2015/06/chart">
            <c:ext xmlns:c16="http://schemas.microsoft.com/office/drawing/2014/chart" uri="{C3380CC4-5D6E-409C-BE32-E72D297353CC}">
              <c16:uniqueId val="{00000002-E23D-4006-9607-1C35FF30D9F2}"/>
            </c:ext>
          </c:extLst>
        </c:ser>
        <c:overlap val="100"/>
        <c:axId val="119473280"/>
        <c:axId val="119474816"/>
      </c:barChart>
      <c:catAx>
        <c:axId val="119473280"/>
        <c:scaling>
          <c:orientation val="maxMin"/>
        </c:scaling>
        <c:axPos val="l"/>
        <c:numFmt formatCode="General" sourceLinked="1"/>
        <c:tickLblPos val="nextTo"/>
        <c:crossAx val="119474816"/>
        <c:crosses val="autoZero"/>
        <c:auto val="1"/>
        <c:lblAlgn val="ctr"/>
        <c:lblOffset val="100"/>
      </c:catAx>
      <c:valAx>
        <c:axId val="119474816"/>
        <c:scaling>
          <c:orientation val="minMax"/>
          <c:max val="1"/>
          <c:min val="0"/>
        </c:scaling>
        <c:axPos val="t"/>
        <c:majorGridlines/>
        <c:numFmt formatCode="0.0%" sourceLinked="1"/>
        <c:tickLblPos val="nextTo"/>
        <c:txPr>
          <a:bodyPr/>
          <a:lstStyle/>
          <a:p>
            <a:pPr>
              <a:defRPr sz="800"/>
            </a:pPr>
            <a:endParaRPr lang="ru-RU"/>
          </a:p>
        </c:txPr>
        <c:crossAx val="119473280"/>
        <c:crosses val="autoZero"/>
        <c:crossBetween val="between"/>
        <c:majorUnit val="0.2"/>
      </c:valAx>
      <c:spPr>
        <a:noFill/>
        <a:ln>
          <a:solidFill>
            <a:schemeClr val="accent1"/>
          </a:solidFill>
        </a:ln>
      </c:spPr>
    </c:plotArea>
    <c:legend>
      <c:legendPos val="t"/>
    </c:legend>
    <c:plotVisOnly val="1"/>
    <c:dispBlanksAs val="gap"/>
  </c:chart>
  <c:spPr>
    <a:ln>
      <a:noFill/>
    </a:ln>
  </c:spPr>
  <c:txPr>
    <a:bodyPr/>
    <a:lstStyle/>
    <a:p>
      <a:pPr>
        <a:defRPr>
          <a:latin typeface="Arial Narrow" panose="020B0606020202030204" pitchFamily="34" charset="0"/>
        </a:defRPr>
      </a:pPr>
      <a:endParaRPr lang="ru-RU"/>
    </a:p>
  </c:txPr>
  <c:externalData r:id="rId2"/>
</c:chartSpace>
</file>

<file path=word/charts/chart27.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27650257804892092"/>
          <c:y val="0.24922190008967224"/>
          <c:w val="0.68250275481088496"/>
          <c:h val="0.74556582338543065"/>
        </c:manualLayout>
      </c:layout>
      <c:barChart>
        <c:barDir val="bar"/>
        <c:grouping val="stacked"/>
        <c:ser>
          <c:idx val="0"/>
          <c:order val="0"/>
          <c:tx>
            <c:strRef>
              <c:f>Лист1!$B$1</c:f>
              <c:strCache>
                <c:ptCount val="1"/>
                <c:pt idx="0">
                  <c:v>Удовлетворительно</c:v>
                </c:pt>
              </c:strCache>
            </c:strRef>
          </c:tx>
          <c:spPr>
            <a:solidFill>
              <a:srgbClr val="ED7D31">
                <a:lumMod val="40000"/>
                <a:lumOff val="60000"/>
              </a:srgbClr>
            </a:solidFill>
          </c:spPr>
          <c:dLbls>
            <c:spPr>
              <a:noFill/>
              <a:ln>
                <a:no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Водоснабжение, водоотведение</c:v>
                </c:pt>
                <c:pt idx="1">
                  <c:v>Электроснабжение</c:v>
                </c:pt>
                <c:pt idx="2">
                  <c:v>Теплоснабжение</c:v>
                </c:pt>
                <c:pt idx="3">
                  <c:v>Газоснабжение</c:v>
                </c:pt>
              </c:strCache>
            </c:strRef>
          </c:cat>
          <c:val>
            <c:numRef>
              <c:f>Лист1!$B$2:$B$5</c:f>
              <c:numCache>
                <c:formatCode>0.0%</c:formatCode>
                <c:ptCount val="4"/>
                <c:pt idx="0">
                  <c:v>0.36900000000000038</c:v>
                </c:pt>
                <c:pt idx="1">
                  <c:v>0.36800000000000038</c:v>
                </c:pt>
                <c:pt idx="2">
                  <c:v>0.35300000000000031</c:v>
                </c:pt>
                <c:pt idx="3">
                  <c:v>0.29300000000000032</c:v>
                </c:pt>
              </c:numCache>
            </c:numRef>
          </c:val>
          <c:extLst xmlns:c16r2="http://schemas.microsoft.com/office/drawing/2015/06/chart">
            <c:ext xmlns:c16="http://schemas.microsoft.com/office/drawing/2014/chart" uri="{C3380CC4-5D6E-409C-BE32-E72D297353CC}">
              <c16:uniqueId val="{00000000-3156-414A-9DAB-6D0369C79429}"/>
            </c:ext>
          </c:extLst>
        </c:ser>
        <c:ser>
          <c:idx val="1"/>
          <c:order val="1"/>
          <c:tx>
            <c:strRef>
              <c:f>Лист1!$C$1</c:f>
              <c:strCache>
                <c:ptCount val="1"/>
                <c:pt idx="0">
                  <c:v>Неудовлетворительно</c:v>
                </c:pt>
              </c:strCache>
            </c:strRef>
          </c:tx>
          <c:spPr>
            <a:solidFill>
              <a:srgbClr val="B28AB2"/>
            </a:solidFill>
            <a:ln>
              <a:noFill/>
            </a:ln>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Водоснабжение, водоотведение</c:v>
                </c:pt>
                <c:pt idx="1">
                  <c:v>Электроснабжение</c:v>
                </c:pt>
                <c:pt idx="2">
                  <c:v>Теплоснабжение</c:v>
                </c:pt>
                <c:pt idx="3">
                  <c:v>Газоснабжение</c:v>
                </c:pt>
              </c:strCache>
            </c:strRef>
          </c:cat>
          <c:val>
            <c:numRef>
              <c:f>Лист1!$C$2:$C$5</c:f>
              <c:numCache>
                <c:formatCode>0.0%</c:formatCode>
                <c:ptCount val="4"/>
                <c:pt idx="0">
                  <c:v>0.13800000000000001</c:v>
                </c:pt>
                <c:pt idx="1">
                  <c:v>0.161</c:v>
                </c:pt>
                <c:pt idx="2">
                  <c:v>0.13600000000000001</c:v>
                </c:pt>
                <c:pt idx="3">
                  <c:v>0.14500000000000021</c:v>
                </c:pt>
              </c:numCache>
            </c:numRef>
          </c:val>
          <c:extLst xmlns:c16r2="http://schemas.microsoft.com/office/drawing/2015/06/chart">
            <c:ext xmlns:c16="http://schemas.microsoft.com/office/drawing/2014/chart" uri="{C3380CC4-5D6E-409C-BE32-E72D297353CC}">
              <c16:uniqueId val="{00000001-3156-414A-9DAB-6D0369C79429}"/>
            </c:ext>
          </c:extLst>
        </c:ser>
        <c:ser>
          <c:idx val="2"/>
          <c:order val="2"/>
          <c:tx>
            <c:strRef>
              <c:f>Лист1!$D$1</c:f>
              <c:strCache>
                <c:ptCount val="1"/>
                <c:pt idx="0">
                  <c:v>Затруднились ответить</c:v>
                </c:pt>
              </c:strCache>
            </c:strRef>
          </c:tx>
          <c:spPr>
            <a:solidFill>
              <a:sysClr val="window" lastClr="FFFFFF">
                <a:lumMod val="85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Водоснабжение, водоотведение</c:v>
                </c:pt>
                <c:pt idx="1">
                  <c:v>Электроснабжение</c:v>
                </c:pt>
                <c:pt idx="2">
                  <c:v>Теплоснабжение</c:v>
                </c:pt>
                <c:pt idx="3">
                  <c:v>Газоснабжение</c:v>
                </c:pt>
              </c:strCache>
            </c:strRef>
          </c:cat>
          <c:val>
            <c:numRef>
              <c:f>Лист1!$D$2:$D$5</c:f>
              <c:numCache>
                <c:formatCode>0.0%</c:formatCode>
                <c:ptCount val="4"/>
                <c:pt idx="0">
                  <c:v>0.49300000000000038</c:v>
                </c:pt>
                <c:pt idx="1">
                  <c:v>0.47100000000000031</c:v>
                </c:pt>
                <c:pt idx="2">
                  <c:v>0.51100000000000001</c:v>
                </c:pt>
                <c:pt idx="3">
                  <c:v>0.56200000000000061</c:v>
                </c:pt>
              </c:numCache>
            </c:numRef>
          </c:val>
          <c:extLst xmlns:c16r2="http://schemas.microsoft.com/office/drawing/2015/06/chart">
            <c:ext xmlns:c16="http://schemas.microsoft.com/office/drawing/2014/chart" uri="{C3380CC4-5D6E-409C-BE32-E72D297353CC}">
              <c16:uniqueId val="{00000002-3156-414A-9DAB-6D0369C79429}"/>
            </c:ext>
          </c:extLst>
        </c:ser>
        <c:overlap val="100"/>
        <c:axId val="119646080"/>
        <c:axId val="119647616"/>
      </c:barChart>
      <c:catAx>
        <c:axId val="119646080"/>
        <c:scaling>
          <c:orientation val="maxMin"/>
        </c:scaling>
        <c:axPos val="l"/>
        <c:numFmt formatCode="General" sourceLinked="1"/>
        <c:tickLblPos val="nextTo"/>
        <c:crossAx val="119647616"/>
        <c:crosses val="autoZero"/>
        <c:auto val="1"/>
        <c:lblAlgn val="ctr"/>
        <c:lblOffset val="100"/>
      </c:catAx>
      <c:valAx>
        <c:axId val="119647616"/>
        <c:scaling>
          <c:orientation val="minMax"/>
          <c:max val="1"/>
          <c:min val="0"/>
        </c:scaling>
        <c:axPos val="t"/>
        <c:majorGridlines/>
        <c:numFmt formatCode="0.0%" sourceLinked="1"/>
        <c:tickLblPos val="nextTo"/>
        <c:txPr>
          <a:bodyPr/>
          <a:lstStyle/>
          <a:p>
            <a:pPr>
              <a:defRPr sz="800"/>
            </a:pPr>
            <a:endParaRPr lang="ru-RU"/>
          </a:p>
        </c:txPr>
        <c:crossAx val="119646080"/>
        <c:crosses val="autoZero"/>
        <c:crossBetween val="between"/>
        <c:majorUnit val="0.2"/>
      </c:valAx>
      <c:spPr>
        <a:noFill/>
        <a:ln>
          <a:solidFill>
            <a:schemeClr val="accent1"/>
          </a:solidFill>
        </a:ln>
      </c:spPr>
    </c:plotArea>
    <c:legend>
      <c:legendPos val="t"/>
      <c:layout>
        <c:manualLayout>
          <c:xMode val="edge"/>
          <c:yMode val="edge"/>
          <c:x val="0.14322468219583925"/>
          <c:y val="0"/>
          <c:w val="0.71355046980465908"/>
          <c:h val="0.11952591863517062"/>
        </c:manualLayout>
      </c:layout>
    </c:legend>
    <c:plotVisOnly val="1"/>
    <c:dispBlanksAs val="gap"/>
  </c:chart>
  <c:spPr>
    <a:ln>
      <a:noFill/>
    </a:ln>
  </c:spPr>
  <c:txPr>
    <a:bodyPr/>
    <a:lstStyle/>
    <a:p>
      <a:pPr>
        <a:defRPr>
          <a:latin typeface="Arial Narrow" panose="020B0606020202030204" pitchFamily="34" charset="0"/>
        </a:defRPr>
      </a:pPr>
      <a:endParaRPr lang="ru-RU"/>
    </a:p>
  </c:txPr>
</c:chartSpace>
</file>

<file path=word/charts/chart28.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44923208391437652"/>
          <c:y val="9.5085528102091268E-2"/>
          <c:w val="0.50977326403072609"/>
          <c:h val="0.89116060834861399"/>
        </c:manualLayout>
      </c:layout>
      <c:barChart>
        <c:barDir val="bar"/>
        <c:grouping val="stacked"/>
        <c:ser>
          <c:idx val="0"/>
          <c:order val="0"/>
          <c:tx>
            <c:strRef>
              <c:f>Лист1!$B$1</c:f>
              <c:strCache>
                <c:ptCount val="1"/>
                <c:pt idx="0">
                  <c:v>Удовлетворительно</c:v>
                </c:pt>
              </c:strCache>
            </c:strRef>
          </c:tx>
          <c:spPr>
            <a:solidFill>
              <a:srgbClr val="ED7D31">
                <a:lumMod val="40000"/>
                <a:lumOff val="60000"/>
              </a:srgbClr>
            </a:solidFill>
          </c:spPr>
          <c:dLbls>
            <c:dLbl>
              <c:idx val="11"/>
              <c:layout>
                <c:manualLayout>
                  <c:x val="2.1864440469091601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F6BD-4F08-B62C-726022252193}"/>
                </c:ext>
              </c:extLst>
            </c:dLbl>
            <c:dLbl>
              <c:idx val="1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F6BD-4F08-B62C-726022252193}"/>
                </c:ext>
              </c:extLst>
            </c:dLbl>
            <c:spPr>
              <a:noFill/>
              <a:ln>
                <a:no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развития, производства, переработки и хранения с‎\х продукции</c:v>
                </c:pt>
                <c:pt idx="1">
                  <c:v>Рынок услуг ЖКХ</c:v>
                </c:pt>
                <c:pt idx="2">
                  <c:v>Розничная торговля</c:v>
                </c:pt>
                <c:pt idx="3">
                  <c:v>Рынок медицинских услуг</c:v>
                </c:pt>
                <c:pt idx="4">
                  <c:v>Рынок услуг дополнительного образования детей</c:v>
                </c:pt>
                <c:pt idx="5">
                  <c:v>Рынок услуг в сфере культуры</c:v>
                </c:pt>
                <c:pt idx="6">
                  <c:v>Рынок услуг связи</c:v>
                </c:pt>
                <c:pt idx="7">
                  <c:v>Рынок услуг социального обслуживания населения</c:v>
                </c:pt>
                <c:pt idx="8">
                  <c:v>Рынок услуг детского отдыха и оздоровления</c:v>
                </c:pt>
                <c:pt idx="9">
                  <c:v>Рынок услуг по сбору, сортировке и переработке твердых коммунальных (бытовых) отходов</c:v>
                </c:pt>
                <c:pt idx="10">
                  <c:v>Рынок услуг психолого-педагогического сопровождения детей с ограниченными возможностями здоровья</c:v>
                </c:pt>
                <c:pt idx="11">
                  <c:v>Рынок услуг перевозок пассажиров наземным транспортом</c:v>
                </c:pt>
                <c:pt idx="12">
                  <c:v>Рынок услуг дошкольного образования</c:v>
                </c:pt>
              </c:strCache>
            </c:strRef>
          </c:cat>
          <c:val>
            <c:numRef>
              <c:f>Лист1!$B$2:$B$14</c:f>
              <c:numCache>
                <c:formatCode>0.0%</c:formatCode>
                <c:ptCount val="13"/>
                <c:pt idx="0">
                  <c:v>0.51</c:v>
                </c:pt>
                <c:pt idx="1">
                  <c:v>0.45700000000000002</c:v>
                </c:pt>
                <c:pt idx="2">
                  <c:v>0.40600000000000008</c:v>
                </c:pt>
                <c:pt idx="3">
                  <c:v>0.3290000000000039</c:v>
                </c:pt>
                <c:pt idx="4">
                  <c:v>0.24000000000000021</c:v>
                </c:pt>
                <c:pt idx="5">
                  <c:v>0.24000000000000021</c:v>
                </c:pt>
                <c:pt idx="6">
                  <c:v>0.24000000000000021</c:v>
                </c:pt>
                <c:pt idx="7">
                  <c:v>0.24000000000000021</c:v>
                </c:pt>
                <c:pt idx="8">
                  <c:v>0.2</c:v>
                </c:pt>
                <c:pt idx="9">
                  <c:v>0.2</c:v>
                </c:pt>
                <c:pt idx="10">
                  <c:v>0.16</c:v>
                </c:pt>
                <c:pt idx="11">
                  <c:v>3.3000000000000002E-2</c:v>
                </c:pt>
                <c:pt idx="12">
                  <c:v>0</c:v>
                </c:pt>
              </c:numCache>
            </c:numRef>
          </c:val>
          <c:extLst xmlns:c16r2="http://schemas.microsoft.com/office/drawing/2015/06/chart">
            <c:ext xmlns:c16="http://schemas.microsoft.com/office/drawing/2014/chart" uri="{C3380CC4-5D6E-409C-BE32-E72D297353CC}">
              <c16:uniqueId val="{00000002-F6BD-4F08-B62C-726022252193}"/>
            </c:ext>
          </c:extLst>
        </c:ser>
        <c:ser>
          <c:idx val="1"/>
          <c:order val="1"/>
          <c:tx>
            <c:strRef>
              <c:f>Лист1!$C$1</c:f>
              <c:strCache>
                <c:ptCount val="1"/>
                <c:pt idx="0">
                  <c:v>Неудовлетворительно</c:v>
                </c:pt>
              </c:strCache>
            </c:strRef>
          </c:tx>
          <c:spPr>
            <a:solidFill>
              <a:srgbClr val="B28AB2"/>
            </a:solidFill>
            <a:ln>
              <a:noFill/>
            </a:ln>
          </c:spPr>
          <c:dLbls>
            <c:dLbl>
              <c:idx val="5"/>
              <c:layout>
                <c:manualLayout>
                  <c:x val="1.3913734843967669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F6BD-4F08-B62C-726022252193}"/>
                </c:ext>
              </c:extLst>
            </c:dLbl>
            <c:dLbl>
              <c:idx val="8"/>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F6BD-4F08-B62C-726022252193}"/>
                </c:ext>
              </c:extLst>
            </c:dLbl>
            <c:dLbl>
              <c:idx val="10"/>
              <c:layout>
                <c:manualLayout>
                  <c:x val="2.3852116875372691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F6BD-4F08-B62C-726022252193}"/>
                </c:ext>
              </c:extLst>
            </c:dLbl>
            <c:dLbl>
              <c:idx val="11"/>
              <c:layout>
                <c:manualLayout>
                  <c:x val="3.5778175313059282E-2"/>
                  <c:y val="-2.5839793281654333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F6BD-4F08-B62C-726022252193}"/>
                </c:ext>
              </c:extLst>
            </c:dLbl>
            <c:dLbl>
              <c:idx val="1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F6BD-4F08-B62C-726022252193}"/>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развития, производства, переработки и хранения с‎\х продукции</c:v>
                </c:pt>
                <c:pt idx="1">
                  <c:v>Рынок услуг ЖКХ</c:v>
                </c:pt>
                <c:pt idx="2">
                  <c:v>Розничная торговля</c:v>
                </c:pt>
                <c:pt idx="3">
                  <c:v>Рынок медицинских услуг</c:v>
                </c:pt>
                <c:pt idx="4">
                  <c:v>Рынок услуг дополнительного образования детей</c:v>
                </c:pt>
                <c:pt idx="5">
                  <c:v>Рынок услуг в сфере культуры</c:v>
                </c:pt>
                <c:pt idx="6">
                  <c:v>Рынок услуг связи</c:v>
                </c:pt>
                <c:pt idx="7">
                  <c:v>Рынок услуг социального обслуживания населения</c:v>
                </c:pt>
                <c:pt idx="8">
                  <c:v>Рынок услуг детского отдыха и оздоровления</c:v>
                </c:pt>
                <c:pt idx="9">
                  <c:v>Рынок услуг по сбору, сортировке и переработке твердых коммунальных (бытовых) отходов</c:v>
                </c:pt>
                <c:pt idx="10">
                  <c:v>Рынок услуг психолого-педагогического сопровождения детей с ограниченными возможностями здоровья</c:v>
                </c:pt>
                <c:pt idx="11">
                  <c:v>Рынок услуг перевозок пассажиров наземным транспортом</c:v>
                </c:pt>
                <c:pt idx="12">
                  <c:v>Рынок услуг дошкольного образования</c:v>
                </c:pt>
              </c:strCache>
            </c:strRef>
          </c:cat>
          <c:val>
            <c:numRef>
              <c:f>Лист1!$C$2:$C$14</c:f>
              <c:numCache>
                <c:formatCode>0.0%</c:formatCode>
                <c:ptCount val="13"/>
                <c:pt idx="0">
                  <c:v>0.16</c:v>
                </c:pt>
                <c:pt idx="1">
                  <c:v>0.1</c:v>
                </c:pt>
                <c:pt idx="2">
                  <c:v>0.17800000000000021</c:v>
                </c:pt>
                <c:pt idx="3">
                  <c:v>8.6000000000000021E-2</c:v>
                </c:pt>
                <c:pt idx="4">
                  <c:v>8.0000000000000043E-2</c:v>
                </c:pt>
                <c:pt idx="5">
                  <c:v>4.0000000000000022E-2</c:v>
                </c:pt>
                <c:pt idx="6">
                  <c:v>8.0000000000000043E-2</c:v>
                </c:pt>
                <c:pt idx="7">
                  <c:v>8.0000000000000043E-2</c:v>
                </c:pt>
                <c:pt idx="8">
                  <c:v>0</c:v>
                </c:pt>
                <c:pt idx="9">
                  <c:v>0.2</c:v>
                </c:pt>
                <c:pt idx="10">
                  <c:v>4.0000000000000022E-2</c:v>
                </c:pt>
                <c:pt idx="11">
                  <c:v>0.15000000000000024</c:v>
                </c:pt>
                <c:pt idx="12">
                  <c:v>0</c:v>
                </c:pt>
              </c:numCache>
            </c:numRef>
          </c:val>
          <c:extLst xmlns:c16r2="http://schemas.microsoft.com/office/drawing/2015/06/chart">
            <c:ext xmlns:c16="http://schemas.microsoft.com/office/drawing/2014/chart" uri="{C3380CC4-5D6E-409C-BE32-E72D297353CC}">
              <c16:uniqueId val="{00000008-F6BD-4F08-B62C-726022252193}"/>
            </c:ext>
          </c:extLst>
        </c:ser>
        <c:ser>
          <c:idx val="2"/>
          <c:order val="2"/>
          <c:tx>
            <c:strRef>
              <c:f>Лист1!$D$1</c:f>
              <c:strCache>
                <c:ptCount val="1"/>
                <c:pt idx="0">
                  <c:v>Затрудняюсь ответить</c:v>
                </c:pt>
              </c:strCache>
            </c:strRef>
          </c:tx>
          <c:spPr>
            <a:solidFill>
              <a:sysClr val="window" lastClr="FFFFFF">
                <a:lumMod val="85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развития, производства, переработки и хранения с‎\х продукции</c:v>
                </c:pt>
                <c:pt idx="1">
                  <c:v>Рынок услуг ЖКХ</c:v>
                </c:pt>
                <c:pt idx="2">
                  <c:v>Розничная торговля</c:v>
                </c:pt>
                <c:pt idx="3">
                  <c:v>Рынок медицинских услуг</c:v>
                </c:pt>
                <c:pt idx="4">
                  <c:v>Рынок услуг дополнительного образования детей</c:v>
                </c:pt>
                <c:pt idx="5">
                  <c:v>Рынок услуг в сфере культуры</c:v>
                </c:pt>
                <c:pt idx="6">
                  <c:v>Рынок услуг связи</c:v>
                </c:pt>
                <c:pt idx="7">
                  <c:v>Рынок услуг социального обслуживания населения</c:v>
                </c:pt>
                <c:pt idx="8">
                  <c:v>Рынок услуг детского отдыха и оздоровления</c:v>
                </c:pt>
                <c:pt idx="9">
                  <c:v>Рынок услуг по сбору, сортировке и переработке твердых коммунальных (бытовых) отходов</c:v>
                </c:pt>
                <c:pt idx="10">
                  <c:v>Рынок услуг психолого-педагогического сопровождения детей с ограниченными возможностями здоровья</c:v>
                </c:pt>
                <c:pt idx="11">
                  <c:v>Рынок услуг перевозок пассажиров наземным транспортом</c:v>
                </c:pt>
                <c:pt idx="12">
                  <c:v>Рынок услуг дошкольного образования</c:v>
                </c:pt>
              </c:strCache>
            </c:strRef>
          </c:cat>
          <c:val>
            <c:numRef>
              <c:f>Лист1!$D$2:$D$14</c:f>
              <c:numCache>
                <c:formatCode>0.0%</c:formatCode>
                <c:ptCount val="13"/>
                <c:pt idx="0">
                  <c:v>0.33000000000000401</c:v>
                </c:pt>
                <c:pt idx="1">
                  <c:v>0.443</c:v>
                </c:pt>
                <c:pt idx="2">
                  <c:v>0.41700000000000031</c:v>
                </c:pt>
                <c:pt idx="3">
                  <c:v>0.58599999999999997</c:v>
                </c:pt>
                <c:pt idx="4">
                  <c:v>0.68</c:v>
                </c:pt>
                <c:pt idx="5">
                  <c:v>0.72000000000000064</c:v>
                </c:pt>
                <c:pt idx="6">
                  <c:v>0.68</c:v>
                </c:pt>
                <c:pt idx="7">
                  <c:v>0.68</c:v>
                </c:pt>
                <c:pt idx="8">
                  <c:v>0.8</c:v>
                </c:pt>
                <c:pt idx="9">
                  <c:v>0.60000000000000064</c:v>
                </c:pt>
                <c:pt idx="10">
                  <c:v>0.8</c:v>
                </c:pt>
                <c:pt idx="11">
                  <c:v>0.81699999999999995</c:v>
                </c:pt>
                <c:pt idx="12">
                  <c:v>1</c:v>
                </c:pt>
              </c:numCache>
            </c:numRef>
          </c:val>
          <c:extLst xmlns:c16r2="http://schemas.microsoft.com/office/drawing/2015/06/chart">
            <c:ext xmlns:c16="http://schemas.microsoft.com/office/drawing/2014/chart" uri="{C3380CC4-5D6E-409C-BE32-E72D297353CC}">
              <c16:uniqueId val="{00000009-F6BD-4F08-B62C-726022252193}"/>
            </c:ext>
          </c:extLst>
        </c:ser>
        <c:overlap val="100"/>
        <c:axId val="117724672"/>
        <c:axId val="117726208"/>
      </c:barChart>
      <c:catAx>
        <c:axId val="117724672"/>
        <c:scaling>
          <c:orientation val="maxMin"/>
        </c:scaling>
        <c:axPos val="l"/>
        <c:numFmt formatCode="General" sourceLinked="1"/>
        <c:tickLblPos val="nextTo"/>
        <c:crossAx val="117726208"/>
        <c:crosses val="autoZero"/>
        <c:auto val="1"/>
        <c:lblAlgn val="ctr"/>
        <c:lblOffset val="100"/>
      </c:catAx>
      <c:valAx>
        <c:axId val="117726208"/>
        <c:scaling>
          <c:orientation val="minMax"/>
          <c:max val="1"/>
          <c:min val="0"/>
        </c:scaling>
        <c:axPos val="t"/>
        <c:majorGridlines/>
        <c:numFmt formatCode="0.0%" sourceLinked="1"/>
        <c:tickLblPos val="nextTo"/>
        <c:txPr>
          <a:bodyPr/>
          <a:lstStyle/>
          <a:p>
            <a:pPr>
              <a:defRPr sz="600"/>
            </a:pPr>
            <a:endParaRPr lang="ru-RU"/>
          </a:p>
        </c:txPr>
        <c:crossAx val="117724672"/>
        <c:crosses val="autoZero"/>
        <c:crossBetween val="between"/>
        <c:majorUnit val="0.2"/>
      </c:valAx>
      <c:spPr>
        <a:noFill/>
        <a:ln>
          <a:solidFill>
            <a:schemeClr val="accent1"/>
          </a:solidFill>
        </a:ln>
      </c:spPr>
    </c:plotArea>
    <c:legend>
      <c:legendPos val="t"/>
    </c:legend>
    <c:plotVisOnly val="1"/>
    <c:dispBlanksAs val="gap"/>
  </c:chart>
  <c:spPr>
    <a:ln>
      <a:noFill/>
    </a:ln>
  </c:spPr>
  <c:txPr>
    <a:bodyPr/>
    <a:lstStyle/>
    <a:p>
      <a:pPr>
        <a:defRPr>
          <a:latin typeface="Arial Narrow" panose="020B0606020202030204" pitchFamily="34" charset="0"/>
        </a:defRPr>
      </a:pPr>
      <a:endParaRPr lang="ru-RU"/>
    </a:p>
  </c:txPr>
  <c:externalData r:id="rId2"/>
</c:chartSpace>
</file>

<file path=word/charts/chart29.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27650257804892092"/>
          <c:y val="0.15667390167778322"/>
          <c:w val="0.68250275481088496"/>
          <c:h val="0.82957271186171488"/>
        </c:manualLayout>
      </c:layout>
      <c:barChart>
        <c:barDir val="bar"/>
        <c:grouping val="stacked"/>
        <c:ser>
          <c:idx val="0"/>
          <c:order val="0"/>
          <c:tx>
            <c:strRef>
              <c:f>Лист1!$B$1</c:f>
              <c:strCache>
                <c:ptCount val="1"/>
                <c:pt idx="0">
                  <c:v>Удовлетворительно</c:v>
                </c:pt>
              </c:strCache>
            </c:strRef>
          </c:tx>
          <c:spPr>
            <a:solidFill>
              <a:srgbClr val="ED7D31">
                <a:lumMod val="40000"/>
                <a:lumOff val="60000"/>
              </a:srgbClr>
            </a:solidFill>
          </c:spPr>
          <c:dLbls>
            <c:spPr>
              <a:noFill/>
              <a:ln>
                <a:no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среднее предприятие</c:v>
                </c:pt>
                <c:pt idx="1">
                  <c:v>малое предприятие</c:v>
                </c:pt>
              </c:strCache>
            </c:strRef>
          </c:cat>
          <c:val>
            <c:numRef>
              <c:f>Лист1!$B$2:$B$3</c:f>
              <c:numCache>
                <c:formatCode>0.0%</c:formatCode>
                <c:ptCount val="2"/>
                <c:pt idx="0">
                  <c:v>0.36400000000000032</c:v>
                </c:pt>
                <c:pt idx="1">
                  <c:v>0.36800000000000038</c:v>
                </c:pt>
              </c:numCache>
            </c:numRef>
          </c:val>
          <c:extLst xmlns:c16r2="http://schemas.microsoft.com/office/drawing/2015/06/chart">
            <c:ext xmlns:c16="http://schemas.microsoft.com/office/drawing/2014/chart" uri="{C3380CC4-5D6E-409C-BE32-E72D297353CC}">
              <c16:uniqueId val="{00000000-5B37-4BDB-AC7F-9FB5740F2CEA}"/>
            </c:ext>
          </c:extLst>
        </c:ser>
        <c:ser>
          <c:idx val="1"/>
          <c:order val="1"/>
          <c:tx>
            <c:strRef>
              <c:f>Лист1!$C$1</c:f>
              <c:strCache>
                <c:ptCount val="1"/>
                <c:pt idx="0">
                  <c:v>Неудовлетворительно</c:v>
                </c:pt>
              </c:strCache>
            </c:strRef>
          </c:tx>
          <c:spPr>
            <a:solidFill>
              <a:srgbClr val="B28AB2"/>
            </a:solidFill>
            <a:ln>
              <a:noFill/>
            </a:ln>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среднее предприятие</c:v>
                </c:pt>
                <c:pt idx="1">
                  <c:v>малое предприятие</c:v>
                </c:pt>
              </c:strCache>
            </c:strRef>
          </c:cat>
          <c:val>
            <c:numRef>
              <c:f>Лист1!$C$2:$C$3</c:f>
              <c:numCache>
                <c:formatCode>0.0%</c:formatCode>
                <c:ptCount val="2"/>
                <c:pt idx="0">
                  <c:v>0.27300000000000002</c:v>
                </c:pt>
                <c:pt idx="1">
                  <c:v>0.16</c:v>
                </c:pt>
              </c:numCache>
            </c:numRef>
          </c:val>
          <c:extLst xmlns:c16r2="http://schemas.microsoft.com/office/drawing/2015/06/chart">
            <c:ext xmlns:c16="http://schemas.microsoft.com/office/drawing/2014/chart" uri="{C3380CC4-5D6E-409C-BE32-E72D297353CC}">
              <c16:uniqueId val="{00000001-5B37-4BDB-AC7F-9FB5740F2CEA}"/>
            </c:ext>
          </c:extLst>
        </c:ser>
        <c:ser>
          <c:idx val="2"/>
          <c:order val="2"/>
          <c:tx>
            <c:strRef>
              <c:f>Лист1!$D$1</c:f>
              <c:strCache>
                <c:ptCount val="1"/>
                <c:pt idx="0">
                  <c:v>Затрудняюсь ответить</c:v>
                </c:pt>
              </c:strCache>
            </c:strRef>
          </c:tx>
          <c:spPr>
            <a:solidFill>
              <a:sysClr val="window" lastClr="FFFFFF">
                <a:lumMod val="85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среднее предприятие</c:v>
                </c:pt>
                <c:pt idx="1">
                  <c:v>малое предприятие</c:v>
                </c:pt>
              </c:strCache>
            </c:strRef>
          </c:cat>
          <c:val>
            <c:numRef>
              <c:f>Лист1!$D$2:$D$3</c:f>
              <c:numCache>
                <c:formatCode>0.0%</c:formatCode>
                <c:ptCount val="2"/>
                <c:pt idx="0">
                  <c:v>0.36400000000000032</c:v>
                </c:pt>
                <c:pt idx="1">
                  <c:v>0.47200000000000031</c:v>
                </c:pt>
              </c:numCache>
            </c:numRef>
          </c:val>
          <c:extLst xmlns:c16r2="http://schemas.microsoft.com/office/drawing/2015/06/chart">
            <c:ext xmlns:c16="http://schemas.microsoft.com/office/drawing/2014/chart" uri="{C3380CC4-5D6E-409C-BE32-E72D297353CC}">
              <c16:uniqueId val="{00000002-5B37-4BDB-AC7F-9FB5740F2CEA}"/>
            </c:ext>
          </c:extLst>
        </c:ser>
        <c:overlap val="100"/>
        <c:axId val="119589120"/>
        <c:axId val="121438208"/>
      </c:barChart>
      <c:catAx>
        <c:axId val="119589120"/>
        <c:scaling>
          <c:orientation val="maxMin"/>
        </c:scaling>
        <c:axPos val="l"/>
        <c:numFmt formatCode="General" sourceLinked="1"/>
        <c:tickLblPos val="nextTo"/>
        <c:crossAx val="121438208"/>
        <c:crosses val="autoZero"/>
        <c:auto val="1"/>
        <c:lblAlgn val="ctr"/>
        <c:lblOffset val="100"/>
      </c:catAx>
      <c:valAx>
        <c:axId val="121438208"/>
        <c:scaling>
          <c:orientation val="minMax"/>
          <c:max val="1"/>
          <c:min val="0"/>
        </c:scaling>
        <c:delete val="1"/>
        <c:axPos val="t"/>
        <c:majorGridlines/>
        <c:numFmt formatCode="0.0%" sourceLinked="1"/>
        <c:tickLblPos val="none"/>
        <c:crossAx val="119589120"/>
        <c:crosses val="autoZero"/>
        <c:crossBetween val="between"/>
        <c:majorUnit val="0.2"/>
      </c:valAx>
      <c:spPr>
        <a:noFill/>
        <a:ln>
          <a:solidFill>
            <a:schemeClr val="accent1"/>
          </a:solidFill>
        </a:ln>
      </c:spPr>
    </c:plotArea>
    <c:legend>
      <c:legendPos val="t"/>
    </c:legend>
    <c:plotVisOnly val="1"/>
    <c:dispBlanksAs val="gap"/>
  </c:chart>
  <c:spPr>
    <a:ln>
      <a:noFill/>
    </a:ln>
  </c:spPr>
  <c:txPr>
    <a:bodyPr/>
    <a:lstStyle/>
    <a:p>
      <a:pPr>
        <a:defRPr>
          <a:latin typeface="Arial Narrow" panose="020B0606020202030204" pitchFamily="34" charset="0"/>
        </a:defRPr>
      </a:pPr>
      <a:endParaRPr lang="ru-RU"/>
    </a:p>
  </c:txPr>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27650257804892092"/>
          <c:y val="0.16314732397580736"/>
          <c:w val="0.68250275481088496"/>
          <c:h val="0.8230989387196167"/>
        </c:manualLayout>
      </c:layout>
      <c:barChart>
        <c:barDir val="bar"/>
        <c:grouping val="stacked"/>
        <c:ser>
          <c:idx val="0"/>
          <c:order val="0"/>
          <c:tx>
            <c:strRef>
              <c:f>Лист1!$B$1</c:f>
              <c:strCache>
                <c:ptCount val="1"/>
                <c:pt idx="0">
                  <c:v>Удовлетворительно</c:v>
                </c:pt>
              </c:strCache>
            </c:strRef>
          </c:tx>
          <c:spPr>
            <a:solidFill>
              <a:srgbClr val="ED7D31">
                <a:lumMod val="40000"/>
                <a:lumOff val="60000"/>
              </a:srgbClr>
            </a:solidFill>
          </c:spPr>
          <c:dLbls>
            <c:spPr>
              <a:noFill/>
              <a:ln>
                <a:no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среднее предприятие</c:v>
                </c:pt>
                <c:pt idx="1">
                  <c:v>малое предприятие</c:v>
                </c:pt>
              </c:strCache>
            </c:strRef>
          </c:cat>
          <c:val>
            <c:numRef>
              <c:f>Лист1!$B$2:$B$3</c:f>
              <c:numCache>
                <c:formatCode>0.0%</c:formatCode>
                <c:ptCount val="2"/>
                <c:pt idx="0">
                  <c:v>0.27300000000000002</c:v>
                </c:pt>
                <c:pt idx="1">
                  <c:v>0.34500000000000008</c:v>
                </c:pt>
              </c:numCache>
            </c:numRef>
          </c:val>
          <c:extLst xmlns:c16r2="http://schemas.microsoft.com/office/drawing/2015/06/chart">
            <c:ext xmlns:c16="http://schemas.microsoft.com/office/drawing/2014/chart" uri="{C3380CC4-5D6E-409C-BE32-E72D297353CC}">
              <c16:uniqueId val="{00000000-9B8B-467D-9DFA-AB77C920000B}"/>
            </c:ext>
          </c:extLst>
        </c:ser>
        <c:ser>
          <c:idx val="1"/>
          <c:order val="1"/>
          <c:tx>
            <c:strRef>
              <c:f>Лист1!$C$1</c:f>
              <c:strCache>
                <c:ptCount val="1"/>
                <c:pt idx="0">
                  <c:v>Неудовлетворительно</c:v>
                </c:pt>
              </c:strCache>
            </c:strRef>
          </c:tx>
          <c:spPr>
            <a:solidFill>
              <a:srgbClr val="B28AB2"/>
            </a:solidFill>
            <a:ln>
              <a:noFill/>
            </a:ln>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среднее предприятие</c:v>
                </c:pt>
                <c:pt idx="1">
                  <c:v>малое предприятие</c:v>
                </c:pt>
              </c:strCache>
            </c:strRef>
          </c:cat>
          <c:val>
            <c:numRef>
              <c:f>Лист1!$C$2:$C$3</c:f>
              <c:numCache>
                <c:formatCode>0.0%</c:formatCode>
                <c:ptCount val="2"/>
                <c:pt idx="0">
                  <c:v>0.54500000000000004</c:v>
                </c:pt>
                <c:pt idx="1">
                  <c:v>0.43500000000000238</c:v>
                </c:pt>
              </c:numCache>
            </c:numRef>
          </c:val>
          <c:extLst xmlns:c16r2="http://schemas.microsoft.com/office/drawing/2015/06/chart">
            <c:ext xmlns:c16="http://schemas.microsoft.com/office/drawing/2014/chart" uri="{C3380CC4-5D6E-409C-BE32-E72D297353CC}">
              <c16:uniqueId val="{00000001-9B8B-467D-9DFA-AB77C920000B}"/>
            </c:ext>
          </c:extLst>
        </c:ser>
        <c:ser>
          <c:idx val="2"/>
          <c:order val="2"/>
          <c:tx>
            <c:strRef>
              <c:f>Лист1!$D$1</c:f>
              <c:strCache>
                <c:ptCount val="1"/>
                <c:pt idx="0">
                  <c:v>Затрудняюсь ответить</c:v>
                </c:pt>
              </c:strCache>
            </c:strRef>
          </c:tx>
          <c:spPr>
            <a:solidFill>
              <a:sysClr val="window" lastClr="FFFFFF">
                <a:lumMod val="85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среднее предприятие</c:v>
                </c:pt>
                <c:pt idx="1">
                  <c:v>малое предприятие</c:v>
                </c:pt>
              </c:strCache>
            </c:strRef>
          </c:cat>
          <c:val>
            <c:numRef>
              <c:f>Лист1!$D$2:$D$3</c:f>
              <c:numCache>
                <c:formatCode>0.0%</c:formatCode>
                <c:ptCount val="2"/>
                <c:pt idx="0">
                  <c:v>0.18200000000000024</c:v>
                </c:pt>
                <c:pt idx="1">
                  <c:v>0.22</c:v>
                </c:pt>
              </c:numCache>
            </c:numRef>
          </c:val>
          <c:extLst xmlns:c16r2="http://schemas.microsoft.com/office/drawing/2015/06/chart">
            <c:ext xmlns:c16="http://schemas.microsoft.com/office/drawing/2014/chart" uri="{C3380CC4-5D6E-409C-BE32-E72D297353CC}">
              <c16:uniqueId val="{00000002-9B8B-467D-9DFA-AB77C920000B}"/>
            </c:ext>
          </c:extLst>
        </c:ser>
        <c:overlap val="100"/>
        <c:axId val="96626560"/>
        <c:axId val="96628096"/>
      </c:barChart>
      <c:catAx>
        <c:axId val="96626560"/>
        <c:scaling>
          <c:orientation val="maxMin"/>
        </c:scaling>
        <c:axPos val="l"/>
        <c:numFmt formatCode="General" sourceLinked="1"/>
        <c:tickLblPos val="nextTo"/>
        <c:crossAx val="96628096"/>
        <c:crosses val="autoZero"/>
        <c:auto val="1"/>
        <c:lblAlgn val="ctr"/>
        <c:lblOffset val="100"/>
      </c:catAx>
      <c:valAx>
        <c:axId val="96628096"/>
        <c:scaling>
          <c:orientation val="minMax"/>
          <c:max val="1"/>
          <c:min val="0"/>
        </c:scaling>
        <c:delete val="1"/>
        <c:axPos val="t"/>
        <c:majorGridlines/>
        <c:numFmt formatCode="0.0%" sourceLinked="1"/>
        <c:tickLblPos val="none"/>
        <c:crossAx val="96626560"/>
        <c:crosses val="autoZero"/>
        <c:crossBetween val="between"/>
        <c:majorUnit val="0.2"/>
      </c:valAx>
      <c:spPr>
        <a:noFill/>
        <a:ln>
          <a:solidFill>
            <a:schemeClr val="accent1"/>
          </a:solidFill>
        </a:ln>
      </c:spPr>
    </c:plotArea>
    <c:legend>
      <c:legendPos val="t"/>
    </c:legend>
    <c:plotVisOnly val="1"/>
    <c:dispBlanksAs val="gap"/>
  </c:chart>
  <c:spPr>
    <a:ln>
      <a:noFill/>
    </a:ln>
  </c:spPr>
  <c:txPr>
    <a:bodyPr/>
    <a:lstStyle/>
    <a:p>
      <a:pPr>
        <a:defRPr>
          <a:latin typeface="Arial Narrow" panose="020B0606020202030204" pitchFamily="34" charset="0"/>
        </a:defRPr>
      </a:pPr>
      <a:endParaRPr lang="ru-RU"/>
    </a:p>
  </c:txPr>
</c:chartSpace>
</file>

<file path=word/charts/chart30.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27650257804892092"/>
          <c:y val="7.6190911549699314E-2"/>
          <c:w val="0.68250275481088496"/>
          <c:h val="0.91005535048322161"/>
        </c:manualLayout>
      </c:layout>
      <c:barChart>
        <c:barDir val="bar"/>
        <c:grouping val="stacked"/>
        <c:ser>
          <c:idx val="0"/>
          <c:order val="0"/>
          <c:tx>
            <c:strRef>
              <c:f>Лист1!$B$1</c:f>
              <c:strCache>
                <c:ptCount val="1"/>
                <c:pt idx="0">
                  <c:v>Удовлетворительно</c:v>
                </c:pt>
              </c:strCache>
            </c:strRef>
          </c:tx>
          <c:spPr>
            <a:solidFill>
              <a:srgbClr val="ED7D31">
                <a:lumMod val="40000"/>
                <a:lumOff val="60000"/>
              </a:srgbClr>
            </a:solidFill>
          </c:spPr>
          <c:dLbls>
            <c:dLbl>
              <c:idx val="3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051B-4B29-A273-EC4C1DC71C7C}"/>
                </c:ext>
              </c:extLst>
            </c:dLbl>
            <c:spPr>
              <a:noFill/>
              <a:ln>
                <a:no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Усть-Таркский МР</c:v>
                </c:pt>
                <c:pt idx="1">
                  <c:v>Купинский МР</c:v>
                </c:pt>
                <c:pt idx="2">
                  <c:v>Барабинский МР</c:v>
                </c:pt>
                <c:pt idx="3">
                  <c:v>Карасукский МР</c:v>
                </c:pt>
                <c:pt idx="4">
                  <c:v>Куйбышевский МР</c:v>
                </c:pt>
                <c:pt idx="5">
                  <c:v>Колыванский МР</c:v>
                </c:pt>
                <c:pt idx="6">
                  <c:v>Ордынский МР</c:v>
                </c:pt>
                <c:pt idx="7">
                  <c:v>Сузунский МР</c:v>
                </c:pt>
                <c:pt idx="8">
                  <c:v>Маслянинский МР</c:v>
                </c:pt>
                <c:pt idx="9">
                  <c:v>Чулымский МР</c:v>
                </c:pt>
                <c:pt idx="10">
                  <c:v>г. Искитим</c:v>
                </c:pt>
                <c:pt idx="11">
                  <c:v>Здвинский МР</c:v>
                </c:pt>
                <c:pt idx="12">
                  <c:v>Краснозерский МР</c:v>
                </c:pt>
                <c:pt idx="13">
                  <c:v>Северный МР</c:v>
                </c:pt>
                <c:pt idx="14">
                  <c:v>Татарский МР</c:v>
                </c:pt>
                <c:pt idx="15">
                  <c:v>г. Обь</c:v>
                </c:pt>
                <c:pt idx="16">
                  <c:v>Мошковский МР</c:v>
                </c:pt>
                <c:pt idx="17">
                  <c:v>Черепановский МР</c:v>
                </c:pt>
                <c:pt idx="18">
                  <c:v>Венгеровский МР</c:v>
                </c:pt>
                <c:pt idx="19">
                  <c:v>Тогучинский МР</c:v>
                </c:pt>
                <c:pt idx="20">
                  <c:v>Искитимский МР</c:v>
                </c:pt>
                <c:pt idx="21">
                  <c:v>Баганский МР</c:v>
                </c:pt>
                <c:pt idx="22">
                  <c:v>Новосибирский МР</c:v>
                </c:pt>
                <c:pt idx="23">
                  <c:v>Чистоозерный МР</c:v>
                </c:pt>
                <c:pt idx="24">
                  <c:v>Кыштовский МР</c:v>
                </c:pt>
                <c:pt idx="25">
                  <c:v>г. Новосибирск</c:v>
                </c:pt>
                <c:pt idx="26">
                  <c:v>Болотнинский МР</c:v>
                </c:pt>
                <c:pt idx="27">
                  <c:v>Коченевский МР</c:v>
                </c:pt>
                <c:pt idx="28">
                  <c:v>Доволенский МР</c:v>
                </c:pt>
                <c:pt idx="29">
                  <c:v>Кочковский МР</c:v>
                </c:pt>
                <c:pt idx="30">
                  <c:v>Убинский МР</c:v>
                </c:pt>
                <c:pt idx="31">
                  <c:v>г. Бердск</c:v>
                </c:pt>
                <c:pt idx="32">
                  <c:v>Чановский МР</c:v>
                </c:pt>
                <c:pt idx="33">
                  <c:v>Каргатский МР</c:v>
                </c:pt>
                <c:pt idx="34">
                  <c:v>р. п. Кольцово</c:v>
                </c:pt>
              </c:strCache>
            </c:strRef>
          </c:cat>
          <c:val>
            <c:numRef>
              <c:f>Лист1!$B$2:$B$36</c:f>
              <c:numCache>
                <c:formatCode>0.0%</c:formatCode>
                <c:ptCount val="35"/>
                <c:pt idx="0">
                  <c:v>0.83300000000000063</c:v>
                </c:pt>
                <c:pt idx="1">
                  <c:v>0.8</c:v>
                </c:pt>
                <c:pt idx="2">
                  <c:v>0.73700000000000065</c:v>
                </c:pt>
                <c:pt idx="3">
                  <c:v>0.70600000000000063</c:v>
                </c:pt>
                <c:pt idx="4">
                  <c:v>0.69199999999999995</c:v>
                </c:pt>
                <c:pt idx="5">
                  <c:v>0.65200000000000768</c:v>
                </c:pt>
                <c:pt idx="6">
                  <c:v>0.63200000000000722</c:v>
                </c:pt>
                <c:pt idx="7">
                  <c:v>0.56299999999999994</c:v>
                </c:pt>
                <c:pt idx="8">
                  <c:v>0.53800000000000003</c:v>
                </c:pt>
                <c:pt idx="9">
                  <c:v>0.53300000000000003</c:v>
                </c:pt>
                <c:pt idx="10">
                  <c:v>0.52800000000000002</c:v>
                </c:pt>
                <c:pt idx="11">
                  <c:v>0.5</c:v>
                </c:pt>
                <c:pt idx="12">
                  <c:v>0.5</c:v>
                </c:pt>
                <c:pt idx="13">
                  <c:v>0.5</c:v>
                </c:pt>
                <c:pt idx="14">
                  <c:v>0.5</c:v>
                </c:pt>
                <c:pt idx="15">
                  <c:v>0.46400000000000002</c:v>
                </c:pt>
                <c:pt idx="16">
                  <c:v>0.44400000000000001</c:v>
                </c:pt>
                <c:pt idx="17">
                  <c:v>0.44400000000000001</c:v>
                </c:pt>
                <c:pt idx="18">
                  <c:v>0.42900000000000038</c:v>
                </c:pt>
                <c:pt idx="19">
                  <c:v>0.41700000000000031</c:v>
                </c:pt>
                <c:pt idx="20">
                  <c:v>0.41200000000000031</c:v>
                </c:pt>
                <c:pt idx="21">
                  <c:v>0.37500000000000322</c:v>
                </c:pt>
                <c:pt idx="22">
                  <c:v>0.36400000000000032</c:v>
                </c:pt>
                <c:pt idx="23">
                  <c:v>0.36400000000000032</c:v>
                </c:pt>
                <c:pt idx="24">
                  <c:v>0.33300000000000413</c:v>
                </c:pt>
                <c:pt idx="25">
                  <c:v>0.31900000000000361</c:v>
                </c:pt>
                <c:pt idx="26">
                  <c:v>0.30800000000000038</c:v>
                </c:pt>
                <c:pt idx="27">
                  <c:v>0.30800000000000038</c:v>
                </c:pt>
                <c:pt idx="28">
                  <c:v>0.28600000000000031</c:v>
                </c:pt>
                <c:pt idx="29">
                  <c:v>0.28600000000000031</c:v>
                </c:pt>
                <c:pt idx="30">
                  <c:v>0.28600000000000031</c:v>
                </c:pt>
                <c:pt idx="31">
                  <c:v>0.28200000000000008</c:v>
                </c:pt>
                <c:pt idx="32">
                  <c:v>0.27300000000000002</c:v>
                </c:pt>
                <c:pt idx="33">
                  <c:v>0.16700000000000001</c:v>
                </c:pt>
                <c:pt idx="34">
                  <c:v>0</c:v>
                </c:pt>
              </c:numCache>
            </c:numRef>
          </c:val>
          <c:extLst xmlns:c16r2="http://schemas.microsoft.com/office/drawing/2015/06/chart">
            <c:ext xmlns:c16="http://schemas.microsoft.com/office/drawing/2014/chart" uri="{C3380CC4-5D6E-409C-BE32-E72D297353CC}">
              <c16:uniqueId val="{00000000-DE9E-4F9E-A2FD-9C892763E4B7}"/>
            </c:ext>
          </c:extLst>
        </c:ser>
        <c:ser>
          <c:idx val="1"/>
          <c:order val="1"/>
          <c:tx>
            <c:strRef>
              <c:f>Лист1!$C$1</c:f>
              <c:strCache>
                <c:ptCount val="1"/>
                <c:pt idx="0">
                  <c:v>Неудовлетворительно</c:v>
                </c:pt>
              </c:strCache>
            </c:strRef>
          </c:tx>
          <c:spPr>
            <a:solidFill>
              <a:srgbClr val="B28AB2"/>
            </a:solidFill>
            <a:ln>
              <a:noFill/>
            </a:ln>
          </c:spPr>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051B-4B29-A273-EC4C1DC71C7C}"/>
                </c:ext>
              </c:extLst>
            </c:dLbl>
            <c:dLbl>
              <c:idx val="26"/>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051B-4B29-A273-EC4C1DC71C7C}"/>
                </c:ext>
              </c:extLst>
            </c:dLbl>
            <c:dLbl>
              <c:idx val="29"/>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051B-4B29-A273-EC4C1DC71C7C}"/>
                </c:ext>
              </c:extLst>
            </c:dLbl>
            <c:dLbl>
              <c:idx val="3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051B-4B29-A273-EC4C1DC71C7C}"/>
                </c:ext>
              </c:extLst>
            </c:dLbl>
            <c:dLbl>
              <c:idx val="3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051B-4B29-A273-EC4C1DC71C7C}"/>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Усть-Таркский МР</c:v>
                </c:pt>
                <c:pt idx="1">
                  <c:v>Купинский МР</c:v>
                </c:pt>
                <c:pt idx="2">
                  <c:v>Барабинский МР</c:v>
                </c:pt>
                <c:pt idx="3">
                  <c:v>Карасукский МР</c:v>
                </c:pt>
                <c:pt idx="4">
                  <c:v>Куйбышевский МР</c:v>
                </c:pt>
                <c:pt idx="5">
                  <c:v>Колыванский МР</c:v>
                </c:pt>
                <c:pt idx="6">
                  <c:v>Ордынский МР</c:v>
                </c:pt>
                <c:pt idx="7">
                  <c:v>Сузунский МР</c:v>
                </c:pt>
                <c:pt idx="8">
                  <c:v>Маслянинский МР</c:v>
                </c:pt>
                <c:pt idx="9">
                  <c:v>Чулымский МР</c:v>
                </c:pt>
                <c:pt idx="10">
                  <c:v>г. Искитим</c:v>
                </c:pt>
                <c:pt idx="11">
                  <c:v>Здвинский МР</c:v>
                </c:pt>
                <c:pt idx="12">
                  <c:v>Краснозерский МР</c:v>
                </c:pt>
                <c:pt idx="13">
                  <c:v>Северный МР</c:v>
                </c:pt>
                <c:pt idx="14">
                  <c:v>Татарский МР</c:v>
                </c:pt>
                <c:pt idx="15">
                  <c:v>г. Обь</c:v>
                </c:pt>
                <c:pt idx="16">
                  <c:v>Мошковский МР</c:v>
                </c:pt>
                <c:pt idx="17">
                  <c:v>Черепановский МР</c:v>
                </c:pt>
                <c:pt idx="18">
                  <c:v>Венгеровский МР</c:v>
                </c:pt>
                <c:pt idx="19">
                  <c:v>Тогучинский МР</c:v>
                </c:pt>
                <c:pt idx="20">
                  <c:v>Искитимский МР</c:v>
                </c:pt>
                <c:pt idx="21">
                  <c:v>Баганский МР</c:v>
                </c:pt>
                <c:pt idx="22">
                  <c:v>Новосибирский МР</c:v>
                </c:pt>
                <c:pt idx="23">
                  <c:v>Чистоозерный МР</c:v>
                </c:pt>
                <c:pt idx="24">
                  <c:v>Кыштовский МР</c:v>
                </c:pt>
                <c:pt idx="25">
                  <c:v>г. Новосибирск</c:v>
                </c:pt>
                <c:pt idx="26">
                  <c:v>Болотнинский МР</c:v>
                </c:pt>
                <c:pt idx="27">
                  <c:v>Коченевский МР</c:v>
                </c:pt>
                <c:pt idx="28">
                  <c:v>Доволенский МР</c:v>
                </c:pt>
                <c:pt idx="29">
                  <c:v>Кочковский МР</c:v>
                </c:pt>
                <c:pt idx="30">
                  <c:v>Убинский МР</c:v>
                </c:pt>
                <c:pt idx="31">
                  <c:v>г. Бердск</c:v>
                </c:pt>
                <c:pt idx="32">
                  <c:v>Чановский МР</c:v>
                </c:pt>
                <c:pt idx="33">
                  <c:v>Каргатский МР</c:v>
                </c:pt>
                <c:pt idx="34">
                  <c:v>р. п. Кольцово</c:v>
                </c:pt>
              </c:strCache>
            </c:strRef>
          </c:cat>
          <c:val>
            <c:numRef>
              <c:f>Лист1!$C$2:$C$36</c:f>
              <c:numCache>
                <c:formatCode>0.0%</c:formatCode>
                <c:ptCount val="35"/>
                <c:pt idx="0">
                  <c:v>0</c:v>
                </c:pt>
                <c:pt idx="1">
                  <c:v>0.13300000000000001</c:v>
                </c:pt>
                <c:pt idx="2">
                  <c:v>0.21100000000000024</c:v>
                </c:pt>
                <c:pt idx="3">
                  <c:v>0.17600000000000021</c:v>
                </c:pt>
                <c:pt idx="4">
                  <c:v>0.26900000000000002</c:v>
                </c:pt>
                <c:pt idx="5">
                  <c:v>0.26100000000000001</c:v>
                </c:pt>
                <c:pt idx="6">
                  <c:v>0.26300000000000001</c:v>
                </c:pt>
                <c:pt idx="7">
                  <c:v>0.25</c:v>
                </c:pt>
                <c:pt idx="8">
                  <c:v>0.23100000000000001</c:v>
                </c:pt>
                <c:pt idx="9">
                  <c:v>0.13300000000000001</c:v>
                </c:pt>
                <c:pt idx="10">
                  <c:v>0.18900000000000144</c:v>
                </c:pt>
                <c:pt idx="11">
                  <c:v>0.16700000000000001</c:v>
                </c:pt>
                <c:pt idx="12">
                  <c:v>0.25</c:v>
                </c:pt>
                <c:pt idx="13">
                  <c:v>0.5</c:v>
                </c:pt>
                <c:pt idx="14">
                  <c:v>0.222</c:v>
                </c:pt>
                <c:pt idx="15">
                  <c:v>0.35700000000000032</c:v>
                </c:pt>
                <c:pt idx="16">
                  <c:v>0.222</c:v>
                </c:pt>
                <c:pt idx="17">
                  <c:v>0.111</c:v>
                </c:pt>
                <c:pt idx="18">
                  <c:v>0.28600000000000031</c:v>
                </c:pt>
                <c:pt idx="19">
                  <c:v>0.37500000000000322</c:v>
                </c:pt>
                <c:pt idx="20">
                  <c:v>0.23500000000000001</c:v>
                </c:pt>
                <c:pt idx="21">
                  <c:v>0.37500000000000322</c:v>
                </c:pt>
                <c:pt idx="22">
                  <c:v>0.18200000000000024</c:v>
                </c:pt>
                <c:pt idx="23">
                  <c:v>0.27300000000000002</c:v>
                </c:pt>
                <c:pt idx="24">
                  <c:v>0.66700000000000825</c:v>
                </c:pt>
                <c:pt idx="25">
                  <c:v>0.13100000000000001</c:v>
                </c:pt>
                <c:pt idx="26">
                  <c:v>0</c:v>
                </c:pt>
                <c:pt idx="27">
                  <c:v>0.53800000000000003</c:v>
                </c:pt>
                <c:pt idx="28">
                  <c:v>0.42900000000000038</c:v>
                </c:pt>
                <c:pt idx="29">
                  <c:v>0</c:v>
                </c:pt>
                <c:pt idx="30">
                  <c:v>0</c:v>
                </c:pt>
                <c:pt idx="31">
                  <c:v>0.15400000000000041</c:v>
                </c:pt>
                <c:pt idx="32">
                  <c:v>0.12100000000000002</c:v>
                </c:pt>
                <c:pt idx="33">
                  <c:v>0.66700000000000825</c:v>
                </c:pt>
                <c:pt idx="34">
                  <c:v>0</c:v>
                </c:pt>
              </c:numCache>
            </c:numRef>
          </c:val>
          <c:extLst xmlns:c16r2="http://schemas.microsoft.com/office/drawing/2015/06/chart">
            <c:ext xmlns:c16="http://schemas.microsoft.com/office/drawing/2014/chart" uri="{C3380CC4-5D6E-409C-BE32-E72D297353CC}">
              <c16:uniqueId val="{00000001-DE9E-4F9E-A2FD-9C892763E4B7}"/>
            </c:ext>
          </c:extLst>
        </c:ser>
        <c:ser>
          <c:idx val="2"/>
          <c:order val="2"/>
          <c:tx>
            <c:strRef>
              <c:f>Лист1!$D$1</c:f>
              <c:strCache>
                <c:ptCount val="1"/>
                <c:pt idx="0">
                  <c:v>Затрудняюсь ответить</c:v>
                </c:pt>
              </c:strCache>
            </c:strRef>
          </c:tx>
          <c:spPr>
            <a:solidFill>
              <a:sysClr val="window" lastClr="FFFFFF">
                <a:lumMod val="85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Усть-Таркский МР</c:v>
                </c:pt>
                <c:pt idx="1">
                  <c:v>Купинский МР</c:v>
                </c:pt>
                <c:pt idx="2">
                  <c:v>Барабинский МР</c:v>
                </c:pt>
                <c:pt idx="3">
                  <c:v>Карасукский МР</c:v>
                </c:pt>
                <c:pt idx="4">
                  <c:v>Куйбышевский МР</c:v>
                </c:pt>
                <c:pt idx="5">
                  <c:v>Колыванский МР</c:v>
                </c:pt>
                <c:pt idx="6">
                  <c:v>Ордынский МР</c:v>
                </c:pt>
                <c:pt idx="7">
                  <c:v>Сузунский МР</c:v>
                </c:pt>
                <c:pt idx="8">
                  <c:v>Маслянинский МР</c:v>
                </c:pt>
                <c:pt idx="9">
                  <c:v>Чулымский МР</c:v>
                </c:pt>
                <c:pt idx="10">
                  <c:v>г. Искитим</c:v>
                </c:pt>
                <c:pt idx="11">
                  <c:v>Здвинский МР</c:v>
                </c:pt>
                <c:pt idx="12">
                  <c:v>Краснозерский МР</c:v>
                </c:pt>
                <c:pt idx="13">
                  <c:v>Северный МР</c:v>
                </c:pt>
                <c:pt idx="14">
                  <c:v>Татарский МР</c:v>
                </c:pt>
                <c:pt idx="15">
                  <c:v>г. Обь</c:v>
                </c:pt>
                <c:pt idx="16">
                  <c:v>Мошковский МР</c:v>
                </c:pt>
                <c:pt idx="17">
                  <c:v>Черепановский МР</c:v>
                </c:pt>
                <c:pt idx="18">
                  <c:v>Венгеровский МР</c:v>
                </c:pt>
                <c:pt idx="19">
                  <c:v>Тогучинский МР</c:v>
                </c:pt>
                <c:pt idx="20">
                  <c:v>Искитимский МР</c:v>
                </c:pt>
                <c:pt idx="21">
                  <c:v>Баганский МР</c:v>
                </c:pt>
                <c:pt idx="22">
                  <c:v>Новосибирский МР</c:v>
                </c:pt>
                <c:pt idx="23">
                  <c:v>Чистоозерный МР</c:v>
                </c:pt>
                <c:pt idx="24">
                  <c:v>Кыштовский МР</c:v>
                </c:pt>
                <c:pt idx="25">
                  <c:v>г. Новосибирск</c:v>
                </c:pt>
                <c:pt idx="26">
                  <c:v>Болотнинский МР</c:v>
                </c:pt>
                <c:pt idx="27">
                  <c:v>Коченевский МР</c:v>
                </c:pt>
                <c:pt idx="28">
                  <c:v>Доволенский МР</c:v>
                </c:pt>
                <c:pt idx="29">
                  <c:v>Кочковский МР</c:v>
                </c:pt>
                <c:pt idx="30">
                  <c:v>Убинский МР</c:v>
                </c:pt>
                <c:pt idx="31">
                  <c:v>г. Бердск</c:v>
                </c:pt>
                <c:pt idx="32">
                  <c:v>Чановский МР</c:v>
                </c:pt>
                <c:pt idx="33">
                  <c:v>Каргатский МР</c:v>
                </c:pt>
                <c:pt idx="34">
                  <c:v>р. п. Кольцово</c:v>
                </c:pt>
              </c:strCache>
            </c:strRef>
          </c:cat>
          <c:val>
            <c:numRef>
              <c:f>Лист1!$D$2:$D$36</c:f>
              <c:numCache>
                <c:formatCode>0.0%</c:formatCode>
                <c:ptCount val="35"/>
                <c:pt idx="0">
                  <c:v>0.16700000000000001</c:v>
                </c:pt>
                <c:pt idx="1">
                  <c:v>6.7000000000000004E-2</c:v>
                </c:pt>
                <c:pt idx="2">
                  <c:v>5.3000000000000012E-2</c:v>
                </c:pt>
                <c:pt idx="3">
                  <c:v>0.11799999999999998</c:v>
                </c:pt>
                <c:pt idx="4">
                  <c:v>3.7999999999999999E-2</c:v>
                </c:pt>
                <c:pt idx="5">
                  <c:v>8.7000000000000022E-2</c:v>
                </c:pt>
                <c:pt idx="6">
                  <c:v>0.10500000000000002</c:v>
                </c:pt>
                <c:pt idx="7">
                  <c:v>0.18800000000000044</c:v>
                </c:pt>
                <c:pt idx="8">
                  <c:v>0.23100000000000001</c:v>
                </c:pt>
                <c:pt idx="9">
                  <c:v>0.33300000000000413</c:v>
                </c:pt>
                <c:pt idx="10">
                  <c:v>0.28300000000000008</c:v>
                </c:pt>
                <c:pt idx="11">
                  <c:v>0.33300000000000413</c:v>
                </c:pt>
                <c:pt idx="12">
                  <c:v>0.25</c:v>
                </c:pt>
                <c:pt idx="13">
                  <c:v>0</c:v>
                </c:pt>
                <c:pt idx="14">
                  <c:v>0.27800000000000002</c:v>
                </c:pt>
                <c:pt idx="15">
                  <c:v>0.17900000000000021</c:v>
                </c:pt>
                <c:pt idx="16">
                  <c:v>0.33300000000000413</c:v>
                </c:pt>
                <c:pt idx="17">
                  <c:v>0.44400000000000001</c:v>
                </c:pt>
                <c:pt idx="18">
                  <c:v>0.28600000000000031</c:v>
                </c:pt>
                <c:pt idx="19">
                  <c:v>0.20800000000000021</c:v>
                </c:pt>
                <c:pt idx="20">
                  <c:v>0.35300000000000031</c:v>
                </c:pt>
                <c:pt idx="21">
                  <c:v>0.25</c:v>
                </c:pt>
                <c:pt idx="22">
                  <c:v>0.45500000000000002</c:v>
                </c:pt>
                <c:pt idx="23">
                  <c:v>0.36400000000000032</c:v>
                </c:pt>
                <c:pt idx="24">
                  <c:v>0</c:v>
                </c:pt>
                <c:pt idx="25">
                  <c:v>0.55000000000000004</c:v>
                </c:pt>
                <c:pt idx="26">
                  <c:v>0.69199999999999995</c:v>
                </c:pt>
                <c:pt idx="27">
                  <c:v>0.15400000000000041</c:v>
                </c:pt>
                <c:pt idx="28">
                  <c:v>0.28600000000000031</c:v>
                </c:pt>
                <c:pt idx="29">
                  <c:v>0.71400000000000063</c:v>
                </c:pt>
                <c:pt idx="30">
                  <c:v>0.71400000000000063</c:v>
                </c:pt>
                <c:pt idx="31">
                  <c:v>0.56399999999999995</c:v>
                </c:pt>
                <c:pt idx="32">
                  <c:v>0.60600000000000065</c:v>
                </c:pt>
                <c:pt idx="33">
                  <c:v>0.16700000000000001</c:v>
                </c:pt>
                <c:pt idx="34">
                  <c:v>1</c:v>
                </c:pt>
              </c:numCache>
            </c:numRef>
          </c:val>
          <c:extLst xmlns:c16r2="http://schemas.microsoft.com/office/drawing/2015/06/chart">
            <c:ext xmlns:c16="http://schemas.microsoft.com/office/drawing/2014/chart" uri="{C3380CC4-5D6E-409C-BE32-E72D297353CC}">
              <c16:uniqueId val="{00000002-DE9E-4F9E-A2FD-9C892763E4B7}"/>
            </c:ext>
          </c:extLst>
        </c:ser>
        <c:overlap val="100"/>
        <c:axId val="121484800"/>
        <c:axId val="121486336"/>
      </c:barChart>
      <c:catAx>
        <c:axId val="121484800"/>
        <c:scaling>
          <c:orientation val="maxMin"/>
        </c:scaling>
        <c:axPos val="l"/>
        <c:numFmt formatCode="General" sourceLinked="1"/>
        <c:tickLblPos val="nextTo"/>
        <c:crossAx val="121486336"/>
        <c:crosses val="autoZero"/>
        <c:auto val="1"/>
        <c:lblAlgn val="ctr"/>
        <c:lblOffset val="100"/>
      </c:catAx>
      <c:valAx>
        <c:axId val="121486336"/>
        <c:scaling>
          <c:orientation val="minMax"/>
          <c:max val="1"/>
          <c:min val="0"/>
        </c:scaling>
        <c:axPos val="t"/>
        <c:majorGridlines/>
        <c:numFmt formatCode="0.0%" sourceLinked="1"/>
        <c:tickLblPos val="nextTo"/>
        <c:txPr>
          <a:bodyPr/>
          <a:lstStyle/>
          <a:p>
            <a:pPr>
              <a:defRPr sz="600"/>
            </a:pPr>
            <a:endParaRPr lang="ru-RU"/>
          </a:p>
        </c:txPr>
        <c:crossAx val="121484800"/>
        <c:crosses val="autoZero"/>
        <c:crossBetween val="between"/>
        <c:majorUnit val="0.2"/>
      </c:valAx>
      <c:spPr>
        <a:noFill/>
        <a:ln>
          <a:solidFill>
            <a:schemeClr val="accent1"/>
          </a:solidFill>
        </a:ln>
      </c:spPr>
    </c:plotArea>
    <c:legend>
      <c:legendPos val="t"/>
    </c:legend>
    <c:plotVisOnly val="1"/>
    <c:dispBlanksAs val="gap"/>
  </c:chart>
  <c:spPr>
    <a:ln>
      <a:noFill/>
    </a:ln>
  </c:spPr>
  <c:txPr>
    <a:bodyPr/>
    <a:lstStyle/>
    <a:p>
      <a:pPr>
        <a:defRPr>
          <a:latin typeface="Arial Narrow" panose="020B0606020202030204" pitchFamily="34" charset="0"/>
        </a:defRPr>
      </a:pPr>
      <a:endParaRPr lang="ru-RU"/>
    </a:p>
  </c:txPr>
  <c:externalData r:id="rId2"/>
</c:chartSpace>
</file>

<file path=word/charts/chart31.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46207158662466996"/>
          <c:y val="7.6190911549699314E-2"/>
          <c:w val="0.49693363396202994"/>
          <c:h val="0.91005535048322161"/>
        </c:manualLayout>
      </c:layout>
      <c:barChart>
        <c:barDir val="bar"/>
        <c:grouping val="stacked"/>
        <c:ser>
          <c:idx val="0"/>
          <c:order val="0"/>
          <c:tx>
            <c:strRef>
              <c:f>Лист1!$B$1</c:f>
              <c:strCache>
                <c:ptCount val="1"/>
                <c:pt idx="0">
                  <c:v>Удовлетворительно</c:v>
                </c:pt>
              </c:strCache>
            </c:strRef>
          </c:tx>
          <c:spPr>
            <a:solidFill>
              <a:srgbClr val="ED7D31">
                <a:lumMod val="40000"/>
                <a:lumOff val="60000"/>
              </a:srgbClr>
            </a:solidFill>
          </c:spPr>
          <c:dLbls>
            <c:dLbl>
              <c:idx val="11"/>
              <c:layout>
                <c:manualLayout>
                  <c:x val="1.3818971473694599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C485-4628-AEEB-E2B256131BF1}"/>
                </c:ext>
              </c:extLst>
            </c:dLbl>
            <c:dLbl>
              <c:idx val="1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C485-4628-AEEB-E2B256131BF1}"/>
                </c:ext>
              </c:extLst>
            </c:dLbl>
            <c:spPr>
              <a:noFill/>
              <a:ln>
                <a:no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развития, производства, переработки и хранения с‎\х продукции</c:v>
                </c:pt>
                <c:pt idx="1">
                  <c:v>Рынок услуг ЖКХ</c:v>
                </c:pt>
                <c:pt idx="2">
                  <c:v>Розничная торговля</c:v>
                </c:pt>
                <c:pt idx="3">
                  <c:v>Рынок медицинских услуг</c:v>
                </c:pt>
                <c:pt idx="4">
                  <c:v>Рынок услуг в сфере культуры</c:v>
                </c:pt>
                <c:pt idx="5">
                  <c:v>Рынок услуг связи</c:v>
                </c:pt>
                <c:pt idx="6">
                  <c:v>Рынок услуг детского отдыха и оздоровления</c:v>
                </c:pt>
                <c:pt idx="7">
                  <c:v>Рынок услуг дополнительного образования детей</c:v>
                </c:pt>
                <c:pt idx="8">
                  <c:v>Рынок услуг социального обслуживания населения</c:v>
                </c:pt>
                <c:pt idx="9">
                  <c:v>Рынок услуг по сбору, сортировке и переработке твердых коммунальных (бытовых) отходов</c:v>
                </c:pt>
                <c:pt idx="10">
                  <c:v>Рынок услуг психолого-педагогического сопровождения детей с ограниченными возможностями здоровья</c:v>
                </c:pt>
                <c:pt idx="11">
                  <c:v>Рынок услуг перевозок пассажиров наземным транспортом</c:v>
                </c:pt>
                <c:pt idx="12">
                  <c:v>Рынок услуг дошкольного образования</c:v>
                </c:pt>
              </c:strCache>
            </c:strRef>
          </c:cat>
          <c:val>
            <c:numRef>
              <c:f>Лист1!$B$2:$B$14</c:f>
              <c:numCache>
                <c:formatCode>0.0%</c:formatCode>
                <c:ptCount val="13"/>
                <c:pt idx="0">
                  <c:v>0.47000000000000008</c:v>
                </c:pt>
                <c:pt idx="1">
                  <c:v>0.443</c:v>
                </c:pt>
                <c:pt idx="2">
                  <c:v>0.43300000000000038</c:v>
                </c:pt>
                <c:pt idx="3">
                  <c:v>0.37100000000000088</c:v>
                </c:pt>
                <c:pt idx="4">
                  <c:v>0.24000000000000021</c:v>
                </c:pt>
                <c:pt idx="5">
                  <c:v>0.24000000000000021</c:v>
                </c:pt>
                <c:pt idx="6">
                  <c:v>0.2</c:v>
                </c:pt>
                <c:pt idx="7">
                  <c:v>0.2</c:v>
                </c:pt>
                <c:pt idx="8">
                  <c:v>0.2</c:v>
                </c:pt>
                <c:pt idx="9">
                  <c:v>0.2</c:v>
                </c:pt>
                <c:pt idx="10">
                  <c:v>0.16</c:v>
                </c:pt>
                <c:pt idx="11">
                  <c:v>3.3000000000000002E-2</c:v>
                </c:pt>
                <c:pt idx="12">
                  <c:v>0</c:v>
                </c:pt>
              </c:numCache>
            </c:numRef>
          </c:val>
          <c:extLst xmlns:c16r2="http://schemas.microsoft.com/office/drawing/2015/06/chart">
            <c:ext xmlns:c16="http://schemas.microsoft.com/office/drawing/2014/chart" uri="{C3380CC4-5D6E-409C-BE32-E72D297353CC}">
              <c16:uniqueId val="{00000002-C485-4628-AEEB-E2B256131BF1}"/>
            </c:ext>
          </c:extLst>
        </c:ser>
        <c:ser>
          <c:idx val="1"/>
          <c:order val="1"/>
          <c:tx>
            <c:strRef>
              <c:f>Лист1!$C$1</c:f>
              <c:strCache>
                <c:ptCount val="1"/>
                <c:pt idx="0">
                  <c:v>Неудовлетворительно</c:v>
                </c:pt>
              </c:strCache>
            </c:strRef>
          </c:tx>
          <c:spPr>
            <a:solidFill>
              <a:srgbClr val="B28AB2"/>
            </a:solidFill>
            <a:ln>
              <a:noFill/>
            </a:ln>
          </c:spPr>
          <c:dLbls>
            <c:dLbl>
              <c:idx val="1"/>
              <c:layout>
                <c:manualLayout>
                  <c:x val="2.3689665383476412E-2"/>
                  <c:y val="2.3571007660577971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C485-4628-AEEB-E2B256131BF1}"/>
                </c:ext>
              </c:extLst>
            </c:dLbl>
            <c:dLbl>
              <c:idx val="3"/>
              <c:layout>
                <c:manualLayout>
                  <c:x val="1.5793110255651045E-2"/>
                  <c:y val="2.3571007660577971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C485-4628-AEEB-E2B256131BF1}"/>
                </c:ext>
              </c:extLst>
            </c:dLbl>
            <c:dLbl>
              <c:idx val="4"/>
              <c:layout>
                <c:manualLayout>
                  <c:x val="1.7767249037607423E-2"/>
                  <c:y val="4.3213014843959908E-1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C485-4628-AEEB-E2B256131BF1}"/>
                </c:ext>
              </c:extLst>
            </c:dLbl>
            <c:dLbl>
              <c:idx val="6"/>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C485-4628-AEEB-E2B256131BF1}"/>
                </c:ext>
              </c:extLst>
            </c:dLbl>
            <c:dLbl>
              <c:idx val="10"/>
              <c:layout>
                <c:manualLayout>
                  <c:x val="1.5793110255650975E-2"/>
                  <c:y val="1.7285205937583724E-1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C485-4628-AEEB-E2B256131BF1}"/>
                </c:ext>
              </c:extLst>
            </c:dLbl>
            <c:dLbl>
              <c:idx val="11"/>
              <c:layout>
                <c:manualLayout>
                  <c:x val="2.7637942947389811E-2"/>
                  <c:y val="2.3571007660577971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C485-4628-AEEB-E2B256131BF1}"/>
                </c:ext>
              </c:extLst>
            </c:dLbl>
            <c:dLbl>
              <c:idx val="1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C485-4628-AEEB-E2B256131BF1}"/>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развития, производства, переработки и хранения с‎\х продукции</c:v>
                </c:pt>
                <c:pt idx="1">
                  <c:v>Рынок услуг ЖКХ</c:v>
                </c:pt>
                <c:pt idx="2">
                  <c:v>Розничная торговля</c:v>
                </c:pt>
                <c:pt idx="3">
                  <c:v>Рынок медицинских услуг</c:v>
                </c:pt>
                <c:pt idx="4">
                  <c:v>Рынок услуг в сфере культуры</c:v>
                </c:pt>
                <c:pt idx="5">
                  <c:v>Рынок услуг связи</c:v>
                </c:pt>
                <c:pt idx="6">
                  <c:v>Рынок услуг детского отдыха и оздоровления</c:v>
                </c:pt>
                <c:pt idx="7">
                  <c:v>Рынок услуг дополнительного образования детей</c:v>
                </c:pt>
                <c:pt idx="8">
                  <c:v>Рынок услуг социального обслуживания населения</c:v>
                </c:pt>
                <c:pt idx="9">
                  <c:v>Рынок услуг по сбору, сортировке и переработке твердых коммунальных (бытовых) отходов</c:v>
                </c:pt>
                <c:pt idx="10">
                  <c:v>Рынок услуг психолого-педагогического сопровождения детей с ограниченными возможностями здоровья</c:v>
                </c:pt>
                <c:pt idx="11">
                  <c:v>Рынок услуг перевозок пассажиров наземным транспортом</c:v>
                </c:pt>
                <c:pt idx="12">
                  <c:v>Рынок услуг дошкольного образования</c:v>
                </c:pt>
              </c:strCache>
            </c:strRef>
          </c:cat>
          <c:val>
            <c:numRef>
              <c:f>Лист1!$C$2:$C$14</c:f>
              <c:numCache>
                <c:formatCode>0.0%</c:formatCode>
                <c:ptCount val="13"/>
                <c:pt idx="0">
                  <c:v>0.11</c:v>
                </c:pt>
                <c:pt idx="1">
                  <c:v>2.9000000000000001E-2</c:v>
                </c:pt>
                <c:pt idx="2">
                  <c:v>0.15600000000000044</c:v>
                </c:pt>
                <c:pt idx="3">
                  <c:v>4.3000000000000003E-2</c:v>
                </c:pt>
                <c:pt idx="4">
                  <c:v>4.0000000000000022E-2</c:v>
                </c:pt>
                <c:pt idx="5">
                  <c:v>8.0000000000000043E-2</c:v>
                </c:pt>
                <c:pt idx="6">
                  <c:v>0</c:v>
                </c:pt>
                <c:pt idx="7">
                  <c:v>0.12000000000000002</c:v>
                </c:pt>
                <c:pt idx="8">
                  <c:v>0.12000000000000002</c:v>
                </c:pt>
                <c:pt idx="9">
                  <c:v>0.2</c:v>
                </c:pt>
                <c:pt idx="10">
                  <c:v>4.0000000000000022E-2</c:v>
                </c:pt>
                <c:pt idx="11">
                  <c:v>6.7000000000000004E-2</c:v>
                </c:pt>
                <c:pt idx="12">
                  <c:v>0</c:v>
                </c:pt>
              </c:numCache>
            </c:numRef>
          </c:val>
          <c:extLst xmlns:c16r2="http://schemas.microsoft.com/office/drawing/2015/06/chart">
            <c:ext xmlns:c16="http://schemas.microsoft.com/office/drawing/2014/chart" uri="{C3380CC4-5D6E-409C-BE32-E72D297353CC}">
              <c16:uniqueId val="{0000000A-C485-4628-AEEB-E2B256131BF1}"/>
            </c:ext>
          </c:extLst>
        </c:ser>
        <c:ser>
          <c:idx val="2"/>
          <c:order val="2"/>
          <c:tx>
            <c:strRef>
              <c:f>Лист1!$D$1</c:f>
              <c:strCache>
                <c:ptCount val="1"/>
                <c:pt idx="0">
                  <c:v>Затрудняюсь ответить</c:v>
                </c:pt>
              </c:strCache>
            </c:strRef>
          </c:tx>
          <c:spPr>
            <a:solidFill>
              <a:sysClr val="window" lastClr="FFFFFF">
                <a:lumMod val="85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развития, производства, переработки и хранения с‎\х продукции</c:v>
                </c:pt>
                <c:pt idx="1">
                  <c:v>Рынок услуг ЖКХ</c:v>
                </c:pt>
                <c:pt idx="2">
                  <c:v>Розничная торговля</c:v>
                </c:pt>
                <c:pt idx="3">
                  <c:v>Рынок медицинских услуг</c:v>
                </c:pt>
                <c:pt idx="4">
                  <c:v>Рынок услуг в сфере культуры</c:v>
                </c:pt>
                <c:pt idx="5">
                  <c:v>Рынок услуг связи</c:v>
                </c:pt>
                <c:pt idx="6">
                  <c:v>Рынок услуг детского отдыха и оздоровления</c:v>
                </c:pt>
                <c:pt idx="7">
                  <c:v>Рынок услуг дополнительного образования детей</c:v>
                </c:pt>
                <c:pt idx="8">
                  <c:v>Рынок услуг социального обслуживания населения</c:v>
                </c:pt>
                <c:pt idx="9">
                  <c:v>Рынок услуг по сбору, сортировке и переработке твердых коммунальных (бытовых) отходов</c:v>
                </c:pt>
                <c:pt idx="10">
                  <c:v>Рынок услуг психолого-педагогического сопровождения детей с ограниченными возможностями здоровья</c:v>
                </c:pt>
                <c:pt idx="11">
                  <c:v>Рынок услуг перевозок пассажиров наземным транспортом</c:v>
                </c:pt>
                <c:pt idx="12">
                  <c:v>Рынок услуг дошкольного образования</c:v>
                </c:pt>
              </c:strCache>
            </c:strRef>
          </c:cat>
          <c:val>
            <c:numRef>
              <c:f>Лист1!$D$2:$D$14</c:f>
              <c:numCache>
                <c:formatCode>0.0%</c:formatCode>
                <c:ptCount val="13"/>
                <c:pt idx="0">
                  <c:v>0.42000000000000032</c:v>
                </c:pt>
                <c:pt idx="1">
                  <c:v>0.52900000000000003</c:v>
                </c:pt>
                <c:pt idx="2">
                  <c:v>0.41100000000000031</c:v>
                </c:pt>
                <c:pt idx="3">
                  <c:v>0.58599999999999997</c:v>
                </c:pt>
                <c:pt idx="4">
                  <c:v>0.72000000000000064</c:v>
                </c:pt>
                <c:pt idx="5">
                  <c:v>0.68</c:v>
                </c:pt>
                <c:pt idx="6">
                  <c:v>0.8</c:v>
                </c:pt>
                <c:pt idx="7">
                  <c:v>0.68</c:v>
                </c:pt>
                <c:pt idx="8">
                  <c:v>0.68</c:v>
                </c:pt>
                <c:pt idx="9">
                  <c:v>0.60000000000000064</c:v>
                </c:pt>
                <c:pt idx="10">
                  <c:v>0.8</c:v>
                </c:pt>
                <c:pt idx="11">
                  <c:v>0.9</c:v>
                </c:pt>
                <c:pt idx="12">
                  <c:v>1</c:v>
                </c:pt>
              </c:numCache>
            </c:numRef>
          </c:val>
          <c:extLst xmlns:c16r2="http://schemas.microsoft.com/office/drawing/2015/06/chart">
            <c:ext xmlns:c16="http://schemas.microsoft.com/office/drawing/2014/chart" uri="{C3380CC4-5D6E-409C-BE32-E72D297353CC}">
              <c16:uniqueId val="{0000000B-C485-4628-AEEB-E2B256131BF1}"/>
            </c:ext>
          </c:extLst>
        </c:ser>
        <c:overlap val="100"/>
        <c:axId val="122066816"/>
        <c:axId val="122068352"/>
      </c:barChart>
      <c:catAx>
        <c:axId val="122066816"/>
        <c:scaling>
          <c:orientation val="maxMin"/>
        </c:scaling>
        <c:axPos val="l"/>
        <c:numFmt formatCode="General" sourceLinked="1"/>
        <c:tickLblPos val="nextTo"/>
        <c:crossAx val="122068352"/>
        <c:crosses val="autoZero"/>
        <c:auto val="1"/>
        <c:lblAlgn val="ctr"/>
        <c:lblOffset val="100"/>
      </c:catAx>
      <c:valAx>
        <c:axId val="122068352"/>
        <c:scaling>
          <c:orientation val="minMax"/>
          <c:max val="1"/>
          <c:min val="0"/>
        </c:scaling>
        <c:axPos val="t"/>
        <c:majorGridlines/>
        <c:numFmt formatCode="0.0%" sourceLinked="1"/>
        <c:tickLblPos val="nextTo"/>
        <c:txPr>
          <a:bodyPr/>
          <a:lstStyle/>
          <a:p>
            <a:pPr>
              <a:defRPr sz="600"/>
            </a:pPr>
            <a:endParaRPr lang="ru-RU"/>
          </a:p>
        </c:txPr>
        <c:crossAx val="122066816"/>
        <c:crosses val="autoZero"/>
        <c:crossBetween val="between"/>
        <c:majorUnit val="0.2"/>
      </c:valAx>
      <c:spPr>
        <a:noFill/>
        <a:ln>
          <a:solidFill>
            <a:schemeClr val="accent1"/>
          </a:solidFill>
        </a:ln>
      </c:spPr>
    </c:plotArea>
    <c:legend>
      <c:legendPos val="t"/>
    </c:legend>
    <c:plotVisOnly val="1"/>
    <c:dispBlanksAs val="gap"/>
  </c:chart>
  <c:spPr>
    <a:ln>
      <a:noFill/>
    </a:ln>
  </c:spPr>
  <c:txPr>
    <a:bodyPr/>
    <a:lstStyle/>
    <a:p>
      <a:pPr>
        <a:defRPr>
          <a:latin typeface="Arial Narrow" panose="020B0606020202030204" pitchFamily="34" charset="0"/>
        </a:defRPr>
      </a:pPr>
      <a:endParaRPr lang="ru-RU"/>
    </a:p>
  </c:txPr>
  <c:externalData r:id="rId2"/>
</c:chartSpace>
</file>

<file path=word/charts/chart32.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27650257804892092"/>
          <c:y val="0.15056793058919354"/>
          <c:w val="0.68250275481088496"/>
          <c:h val="0.83567816388143001"/>
        </c:manualLayout>
      </c:layout>
      <c:barChart>
        <c:barDir val="bar"/>
        <c:grouping val="stacked"/>
        <c:ser>
          <c:idx val="0"/>
          <c:order val="0"/>
          <c:tx>
            <c:strRef>
              <c:f>Лист1!$B$1</c:f>
              <c:strCache>
                <c:ptCount val="1"/>
                <c:pt idx="0">
                  <c:v>Удовлетворительно</c:v>
                </c:pt>
              </c:strCache>
            </c:strRef>
          </c:tx>
          <c:spPr>
            <a:solidFill>
              <a:srgbClr val="ED7D31">
                <a:lumMod val="40000"/>
                <a:lumOff val="60000"/>
              </a:srgbClr>
            </a:solidFill>
          </c:spPr>
          <c:dLbls>
            <c:spPr>
              <a:noFill/>
              <a:ln>
                <a:no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1"/>
              </c:ext>
            </c:extLst>
          </c:dLbls>
          <c:cat>
            <c:strRef>
              <c:f>Лист1!$A$2:$A$3</c:f>
              <c:strCache>
                <c:ptCount val="2"/>
                <c:pt idx="0">
                  <c:v>среднее предприятие</c:v>
                </c:pt>
                <c:pt idx="1">
                  <c:v>малое предприятие</c:v>
                </c:pt>
              </c:strCache>
            </c:strRef>
          </c:cat>
          <c:val>
            <c:numRef>
              <c:f>Лист1!$B$2:$B$3</c:f>
              <c:numCache>
                <c:formatCode>0.0%</c:formatCode>
                <c:ptCount val="2"/>
                <c:pt idx="0">
                  <c:v>0.36400000000000032</c:v>
                </c:pt>
                <c:pt idx="1">
                  <c:v>0.36900000000000038</c:v>
                </c:pt>
              </c:numCache>
            </c:numRef>
          </c:val>
          <c:extLst xmlns:c16r2="http://schemas.microsoft.com/office/drawing/2015/06/chart">
            <c:ext xmlns:c16="http://schemas.microsoft.com/office/drawing/2014/chart" uri="{C3380CC4-5D6E-409C-BE32-E72D297353CC}">
              <c16:uniqueId val="{00000000-0AC0-4D5F-ABA9-8CBCB3BCF371}"/>
            </c:ext>
          </c:extLst>
        </c:ser>
        <c:ser>
          <c:idx val="1"/>
          <c:order val="1"/>
          <c:tx>
            <c:strRef>
              <c:f>Лист1!$C$1</c:f>
              <c:strCache>
                <c:ptCount val="1"/>
                <c:pt idx="0">
                  <c:v>Неудовлетворительно</c:v>
                </c:pt>
              </c:strCache>
            </c:strRef>
          </c:tx>
          <c:spPr>
            <a:solidFill>
              <a:srgbClr val="B28AB2"/>
            </a:solidFill>
            <a:ln>
              <a:noFill/>
            </a:ln>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среднее предприятие</c:v>
                </c:pt>
                <c:pt idx="1">
                  <c:v>малое предприятие</c:v>
                </c:pt>
              </c:strCache>
            </c:strRef>
          </c:cat>
          <c:val>
            <c:numRef>
              <c:f>Лист1!$C$2:$C$3</c:f>
              <c:numCache>
                <c:formatCode>0.0%</c:formatCode>
                <c:ptCount val="2"/>
                <c:pt idx="0">
                  <c:v>0.27300000000000002</c:v>
                </c:pt>
                <c:pt idx="1">
                  <c:v>0.13700000000000001</c:v>
                </c:pt>
              </c:numCache>
            </c:numRef>
          </c:val>
          <c:extLst xmlns:c16r2="http://schemas.microsoft.com/office/drawing/2015/06/chart">
            <c:ext xmlns:c16="http://schemas.microsoft.com/office/drawing/2014/chart" uri="{C3380CC4-5D6E-409C-BE32-E72D297353CC}">
              <c16:uniqueId val="{00000001-0AC0-4D5F-ABA9-8CBCB3BCF371}"/>
            </c:ext>
          </c:extLst>
        </c:ser>
        <c:ser>
          <c:idx val="2"/>
          <c:order val="2"/>
          <c:tx>
            <c:strRef>
              <c:f>Лист1!$D$1</c:f>
              <c:strCache>
                <c:ptCount val="1"/>
                <c:pt idx="0">
                  <c:v>Затрудняюсь ответить</c:v>
                </c:pt>
              </c:strCache>
            </c:strRef>
          </c:tx>
          <c:spPr>
            <a:solidFill>
              <a:sysClr val="window" lastClr="FFFFFF">
                <a:lumMod val="85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1"/>
              </c:ext>
            </c:extLst>
          </c:dLbls>
          <c:cat>
            <c:strRef>
              <c:f>Лист1!$A$2:$A$3</c:f>
              <c:strCache>
                <c:ptCount val="2"/>
                <c:pt idx="0">
                  <c:v>среднее предприятие</c:v>
                </c:pt>
                <c:pt idx="1">
                  <c:v>малое предприятие</c:v>
                </c:pt>
              </c:strCache>
            </c:strRef>
          </c:cat>
          <c:val>
            <c:numRef>
              <c:f>Лист1!$D$2:$D$3</c:f>
              <c:numCache>
                <c:formatCode>0.0%</c:formatCode>
                <c:ptCount val="2"/>
                <c:pt idx="0">
                  <c:v>0.36400000000000032</c:v>
                </c:pt>
                <c:pt idx="1">
                  <c:v>0.49300000000000038</c:v>
                </c:pt>
              </c:numCache>
            </c:numRef>
          </c:val>
          <c:extLst xmlns:c16r2="http://schemas.microsoft.com/office/drawing/2015/06/chart">
            <c:ext xmlns:c16="http://schemas.microsoft.com/office/drawing/2014/chart" uri="{C3380CC4-5D6E-409C-BE32-E72D297353CC}">
              <c16:uniqueId val="{00000002-0AC0-4D5F-ABA9-8CBCB3BCF371}"/>
            </c:ext>
          </c:extLst>
        </c:ser>
        <c:overlap val="100"/>
        <c:axId val="121940608"/>
        <c:axId val="121958784"/>
      </c:barChart>
      <c:catAx>
        <c:axId val="121940608"/>
        <c:scaling>
          <c:orientation val="maxMin"/>
        </c:scaling>
        <c:axPos val="l"/>
        <c:numFmt formatCode="General" sourceLinked="1"/>
        <c:tickLblPos val="nextTo"/>
        <c:crossAx val="121958784"/>
        <c:crosses val="autoZero"/>
        <c:auto val="1"/>
        <c:lblAlgn val="ctr"/>
        <c:lblOffset val="100"/>
      </c:catAx>
      <c:valAx>
        <c:axId val="121958784"/>
        <c:scaling>
          <c:orientation val="minMax"/>
          <c:max val="1"/>
          <c:min val="0"/>
        </c:scaling>
        <c:delete val="1"/>
        <c:axPos val="t"/>
        <c:majorGridlines/>
        <c:numFmt formatCode="0.0%" sourceLinked="1"/>
        <c:tickLblPos val="none"/>
        <c:crossAx val="121940608"/>
        <c:crosses val="autoZero"/>
        <c:crossBetween val="between"/>
        <c:majorUnit val="0.2"/>
      </c:valAx>
      <c:spPr>
        <a:noFill/>
        <a:ln>
          <a:solidFill>
            <a:schemeClr val="accent1"/>
          </a:solidFill>
        </a:ln>
      </c:spPr>
    </c:plotArea>
    <c:legend>
      <c:legendPos val="t"/>
      <c:layout>
        <c:manualLayout>
          <c:xMode val="edge"/>
          <c:yMode val="edge"/>
          <c:x val="0.15378687266113344"/>
          <c:y val="0"/>
          <c:w val="0.70506032766119064"/>
          <c:h val="0.12801585930431064"/>
        </c:manualLayout>
      </c:layout>
    </c:legend>
    <c:plotVisOnly val="1"/>
    <c:dispBlanksAs val="gap"/>
  </c:chart>
  <c:spPr>
    <a:ln>
      <a:noFill/>
    </a:ln>
  </c:spPr>
  <c:txPr>
    <a:bodyPr/>
    <a:lstStyle/>
    <a:p>
      <a:pPr>
        <a:defRPr>
          <a:latin typeface="Arial Narrow" panose="020B0606020202030204" pitchFamily="34" charset="0"/>
        </a:defRPr>
      </a:pPr>
      <a:endParaRPr lang="ru-RU"/>
    </a:p>
  </c:txPr>
  <c:externalData r:id="rId2"/>
</c:chartSpace>
</file>

<file path=word/charts/chart33.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27650257804892092"/>
          <c:y val="6.0847302846268332E-2"/>
          <c:w val="0.68250275481088496"/>
          <c:h val="0.92762432068254264"/>
        </c:manualLayout>
      </c:layout>
      <c:barChart>
        <c:barDir val="bar"/>
        <c:grouping val="stacked"/>
        <c:ser>
          <c:idx val="0"/>
          <c:order val="0"/>
          <c:tx>
            <c:strRef>
              <c:f>Лист1!$B$1</c:f>
              <c:strCache>
                <c:ptCount val="1"/>
                <c:pt idx="0">
                  <c:v>Удовлетворительно</c:v>
                </c:pt>
              </c:strCache>
            </c:strRef>
          </c:tx>
          <c:spPr>
            <a:solidFill>
              <a:srgbClr val="ED7D31">
                <a:lumMod val="40000"/>
                <a:lumOff val="60000"/>
              </a:srgbClr>
            </a:solidFill>
          </c:spPr>
          <c:dLbls>
            <c:dLbl>
              <c:idx val="3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A9CC-440C-9DAD-860EBE962DD5}"/>
                </c:ext>
              </c:extLst>
            </c:dLbl>
            <c:spPr>
              <a:noFill/>
              <a:ln>
                <a:no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Кыштовский МР</c:v>
                </c:pt>
                <c:pt idx="1">
                  <c:v>Баганский МР</c:v>
                </c:pt>
                <c:pt idx="2">
                  <c:v>Барабинский МР</c:v>
                </c:pt>
                <c:pt idx="3">
                  <c:v>Карасукский МР</c:v>
                </c:pt>
                <c:pt idx="4">
                  <c:v>Здвинский МР</c:v>
                </c:pt>
                <c:pt idx="5">
                  <c:v>Купинский МР</c:v>
                </c:pt>
                <c:pt idx="6">
                  <c:v>Северный МР</c:v>
                </c:pt>
                <c:pt idx="7">
                  <c:v>Усть-Таркский МР</c:v>
                </c:pt>
                <c:pt idx="8">
                  <c:v>Куйбышевский МР</c:v>
                </c:pt>
                <c:pt idx="9">
                  <c:v>Краснозерский МР</c:v>
                </c:pt>
                <c:pt idx="10">
                  <c:v>Сузунский МР</c:v>
                </c:pt>
                <c:pt idx="11">
                  <c:v>Ордынский МР</c:v>
                </c:pt>
                <c:pt idx="12">
                  <c:v>Венгеровский МР</c:v>
                </c:pt>
                <c:pt idx="13">
                  <c:v>Колыванский МР</c:v>
                </c:pt>
                <c:pt idx="14">
                  <c:v>Коченевский МР</c:v>
                </c:pt>
                <c:pt idx="15">
                  <c:v>Маслянинский МР</c:v>
                </c:pt>
                <c:pt idx="16">
                  <c:v>Чулымский МР</c:v>
                </c:pt>
                <c:pt idx="17">
                  <c:v>г. Искитим</c:v>
                </c:pt>
                <c:pt idx="18">
                  <c:v>г. Обь</c:v>
                </c:pt>
                <c:pt idx="19">
                  <c:v>Татарский МР</c:v>
                </c:pt>
                <c:pt idx="20">
                  <c:v>Тогучинский МР</c:v>
                </c:pt>
                <c:pt idx="21">
                  <c:v>Черепановский МР</c:v>
                </c:pt>
                <c:pt idx="22">
                  <c:v>Искитимский МР</c:v>
                </c:pt>
                <c:pt idx="23">
                  <c:v>Болотнинский МР</c:v>
                </c:pt>
                <c:pt idx="24">
                  <c:v>Чистоозерный МР</c:v>
                </c:pt>
                <c:pt idx="25">
                  <c:v>Мошковский МР</c:v>
                </c:pt>
                <c:pt idx="26">
                  <c:v>г. Новосибирск</c:v>
                </c:pt>
                <c:pt idx="27">
                  <c:v>Доволенский МР</c:v>
                </c:pt>
                <c:pt idx="28">
                  <c:v>Кочковский МР</c:v>
                </c:pt>
                <c:pt idx="29">
                  <c:v>Убинский МР</c:v>
                </c:pt>
                <c:pt idx="30">
                  <c:v>г. Бердск</c:v>
                </c:pt>
                <c:pt idx="31">
                  <c:v>Чановский МР</c:v>
                </c:pt>
                <c:pt idx="32">
                  <c:v>Новосибирский МР</c:v>
                </c:pt>
                <c:pt idx="33">
                  <c:v>Каргатский МР</c:v>
                </c:pt>
                <c:pt idx="34">
                  <c:v>р. п. Кольцово</c:v>
                </c:pt>
              </c:strCache>
            </c:strRef>
          </c:cat>
          <c:val>
            <c:numRef>
              <c:f>Лист1!$B$2:$B$36</c:f>
              <c:numCache>
                <c:formatCode>0.0%</c:formatCode>
                <c:ptCount val="35"/>
                <c:pt idx="0">
                  <c:v>0.83300000000000063</c:v>
                </c:pt>
                <c:pt idx="1">
                  <c:v>0.75000000000000655</c:v>
                </c:pt>
                <c:pt idx="2">
                  <c:v>0.73700000000000065</c:v>
                </c:pt>
                <c:pt idx="3">
                  <c:v>0.70600000000000063</c:v>
                </c:pt>
                <c:pt idx="4">
                  <c:v>0.66700000000000825</c:v>
                </c:pt>
                <c:pt idx="5">
                  <c:v>0.66700000000000825</c:v>
                </c:pt>
                <c:pt idx="6">
                  <c:v>0.66700000000000825</c:v>
                </c:pt>
                <c:pt idx="7">
                  <c:v>0.66700000000000825</c:v>
                </c:pt>
                <c:pt idx="8">
                  <c:v>0.65400000000000791</c:v>
                </c:pt>
                <c:pt idx="9">
                  <c:v>0.62500000000000655</c:v>
                </c:pt>
                <c:pt idx="10">
                  <c:v>0.62500000000000655</c:v>
                </c:pt>
                <c:pt idx="11">
                  <c:v>0.57900000000000063</c:v>
                </c:pt>
                <c:pt idx="12">
                  <c:v>0.57099999999999995</c:v>
                </c:pt>
                <c:pt idx="13">
                  <c:v>0.56499999999999995</c:v>
                </c:pt>
                <c:pt idx="14">
                  <c:v>0.53800000000000003</c:v>
                </c:pt>
                <c:pt idx="15">
                  <c:v>0.53800000000000003</c:v>
                </c:pt>
                <c:pt idx="16">
                  <c:v>0.53300000000000003</c:v>
                </c:pt>
                <c:pt idx="17">
                  <c:v>0.51900000000000002</c:v>
                </c:pt>
                <c:pt idx="18">
                  <c:v>0.5</c:v>
                </c:pt>
                <c:pt idx="19">
                  <c:v>0.5</c:v>
                </c:pt>
                <c:pt idx="20">
                  <c:v>0.5</c:v>
                </c:pt>
                <c:pt idx="21">
                  <c:v>0.47200000000000031</c:v>
                </c:pt>
                <c:pt idx="22">
                  <c:v>0.47100000000000031</c:v>
                </c:pt>
                <c:pt idx="23">
                  <c:v>0.38500000000000362</c:v>
                </c:pt>
                <c:pt idx="24">
                  <c:v>0.36400000000000032</c:v>
                </c:pt>
                <c:pt idx="25">
                  <c:v>0.33300000000000413</c:v>
                </c:pt>
                <c:pt idx="26">
                  <c:v>0.31500000000000322</c:v>
                </c:pt>
                <c:pt idx="27">
                  <c:v>0.28600000000000031</c:v>
                </c:pt>
                <c:pt idx="28">
                  <c:v>0.28600000000000031</c:v>
                </c:pt>
                <c:pt idx="29">
                  <c:v>0.28600000000000031</c:v>
                </c:pt>
                <c:pt idx="30">
                  <c:v>0.25600000000000001</c:v>
                </c:pt>
                <c:pt idx="31">
                  <c:v>0.24200000000000021</c:v>
                </c:pt>
                <c:pt idx="32">
                  <c:v>0.18200000000000024</c:v>
                </c:pt>
                <c:pt idx="33">
                  <c:v>0.16700000000000001</c:v>
                </c:pt>
                <c:pt idx="34">
                  <c:v>0</c:v>
                </c:pt>
              </c:numCache>
            </c:numRef>
          </c:val>
          <c:extLst xmlns:c16r2="http://schemas.microsoft.com/office/drawing/2015/06/chart">
            <c:ext xmlns:c16="http://schemas.microsoft.com/office/drawing/2014/chart" uri="{C3380CC4-5D6E-409C-BE32-E72D297353CC}">
              <c16:uniqueId val="{00000000-A405-4AFD-8CAC-D59AB15E15A3}"/>
            </c:ext>
          </c:extLst>
        </c:ser>
        <c:ser>
          <c:idx val="1"/>
          <c:order val="1"/>
          <c:tx>
            <c:strRef>
              <c:f>Лист1!$C$1</c:f>
              <c:strCache>
                <c:ptCount val="1"/>
                <c:pt idx="0">
                  <c:v>Неудовлетворительно</c:v>
                </c:pt>
              </c:strCache>
            </c:strRef>
          </c:tx>
          <c:spPr>
            <a:solidFill>
              <a:srgbClr val="B28AB2"/>
            </a:solidFill>
            <a:ln>
              <a:noFill/>
            </a:ln>
          </c:spPr>
          <c:dLbls>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A9CC-440C-9DAD-860EBE962DD5}"/>
                </c:ext>
              </c:extLst>
            </c:dLbl>
            <c:dLbl>
              <c:idx val="9"/>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A9CC-440C-9DAD-860EBE962DD5}"/>
                </c:ext>
              </c:extLst>
            </c:dLbl>
            <c:dLbl>
              <c:idx val="28"/>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A9CC-440C-9DAD-860EBE962DD5}"/>
                </c:ext>
              </c:extLst>
            </c:dLbl>
            <c:dLbl>
              <c:idx val="29"/>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A9CC-440C-9DAD-860EBE962DD5}"/>
                </c:ext>
              </c:extLst>
            </c:dLbl>
            <c:dLbl>
              <c:idx val="3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A405-4AFD-8CAC-D59AB15E15A3}"/>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Кыштовский МР</c:v>
                </c:pt>
                <c:pt idx="1">
                  <c:v>Баганский МР</c:v>
                </c:pt>
                <c:pt idx="2">
                  <c:v>Барабинский МР</c:v>
                </c:pt>
                <c:pt idx="3">
                  <c:v>Карасукский МР</c:v>
                </c:pt>
                <c:pt idx="4">
                  <c:v>Здвинский МР</c:v>
                </c:pt>
                <c:pt idx="5">
                  <c:v>Купинский МР</c:v>
                </c:pt>
                <c:pt idx="6">
                  <c:v>Северный МР</c:v>
                </c:pt>
                <c:pt idx="7">
                  <c:v>Усть-Таркский МР</c:v>
                </c:pt>
                <c:pt idx="8">
                  <c:v>Куйбышевский МР</c:v>
                </c:pt>
                <c:pt idx="9">
                  <c:v>Краснозерский МР</c:v>
                </c:pt>
                <c:pt idx="10">
                  <c:v>Сузунский МР</c:v>
                </c:pt>
                <c:pt idx="11">
                  <c:v>Ордынский МР</c:v>
                </c:pt>
                <c:pt idx="12">
                  <c:v>Венгеровский МР</c:v>
                </c:pt>
                <c:pt idx="13">
                  <c:v>Колыванский МР</c:v>
                </c:pt>
                <c:pt idx="14">
                  <c:v>Коченевский МР</c:v>
                </c:pt>
                <c:pt idx="15">
                  <c:v>Маслянинский МР</c:v>
                </c:pt>
                <c:pt idx="16">
                  <c:v>Чулымский МР</c:v>
                </c:pt>
                <c:pt idx="17">
                  <c:v>г. Искитим</c:v>
                </c:pt>
                <c:pt idx="18">
                  <c:v>г. Обь</c:v>
                </c:pt>
                <c:pt idx="19">
                  <c:v>Татарский МР</c:v>
                </c:pt>
                <c:pt idx="20">
                  <c:v>Тогучинский МР</c:v>
                </c:pt>
                <c:pt idx="21">
                  <c:v>Черепановский МР</c:v>
                </c:pt>
                <c:pt idx="22">
                  <c:v>Искитимский МР</c:v>
                </c:pt>
                <c:pt idx="23">
                  <c:v>Болотнинский МР</c:v>
                </c:pt>
                <c:pt idx="24">
                  <c:v>Чистоозерный МР</c:v>
                </c:pt>
                <c:pt idx="25">
                  <c:v>Мошковский МР</c:v>
                </c:pt>
                <c:pt idx="26">
                  <c:v>г. Новосибирск</c:v>
                </c:pt>
                <c:pt idx="27">
                  <c:v>Доволенский МР</c:v>
                </c:pt>
                <c:pt idx="28">
                  <c:v>Кочковский МР</c:v>
                </c:pt>
                <c:pt idx="29">
                  <c:v>Убинский МР</c:v>
                </c:pt>
                <c:pt idx="30">
                  <c:v>г. Бердск</c:v>
                </c:pt>
                <c:pt idx="31">
                  <c:v>Чановский МР</c:v>
                </c:pt>
                <c:pt idx="32">
                  <c:v>Новосибирский МР</c:v>
                </c:pt>
                <c:pt idx="33">
                  <c:v>Каргатский МР</c:v>
                </c:pt>
                <c:pt idx="34">
                  <c:v>р. п. Кольцово</c:v>
                </c:pt>
              </c:strCache>
            </c:strRef>
          </c:cat>
          <c:val>
            <c:numRef>
              <c:f>Лист1!$C$2:$C$36</c:f>
              <c:numCache>
                <c:formatCode>0.0%</c:formatCode>
                <c:ptCount val="35"/>
                <c:pt idx="0">
                  <c:v>0.16700000000000001</c:v>
                </c:pt>
                <c:pt idx="1">
                  <c:v>0</c:v>
                </c:pt>
                <c:pt idx="2">
                  <c:v>0.21100000000000024</c:v>
                </c:pt>
                <c:pt idx="3">
                  <c:v>0.17600000000000021</c:v>
                </c:pt>
                <c:pt idx="4">
                  <c:v>0.16700000000000001</c:v>
                </c:pt>
                <c:pt idx="5">
                  <c:v>0.26700000000000002</c:v>
                </c:pt>
                <c:pt idx="6">
                  <c:v>0.33300000000000413</c:v>
                </c:pt>
                <c:pt idx="7">
                  <c:v>0.16700000000000001</c:v>
                </c:pt>
                <c:pt idx="8">
                  <c:v>0.26900000000000002</c:v>
                </c:pt>
                <c:pt idx="9">
                  <c:v>0</c:v>
                </c:pt>
                <c:pt idx="10">
                  <c:v>0.18800000000000044</c:v>
                </c:pt>
                <c:pt idx="11">
                  <c:v>0.21100000000000024</c:v>
                </c:pt>
                <c:pt idx="12">
                  <c:v>0.14300000000000004</c:v>
                </c:pt>
                <c:pt idx="13">
                  <c:v>0.34800000000000031</c:v>
                </c:pt>
                <c:pt idx="14">
                  <c:v>0.23100000000000001</c:v>
                </c:pt>
                <c:pt idx="15">
                  <c:v>0.23100000000000001</c:v>
                </c:pt>
                <c:pt idx="16">
                  <c:v>0.13300000000000001</c:v>
                </c:pt>
                <c:pt idx="17">
                  <c:v>0.18500000000000041</c:v>
                </c:pt>
                <c:pt idx="18">
                  <c:v>0.32100000000000362</c:v>
                </c:pt>
                <c:pt idx="19">
                  <c:v>0.16700000000000001</c:v>
                </c:pt>
                <c:pt idx="20">
                  <c:v>0.20800000000000021</c:v>
                </c:pt>
                <c:pt idx="21">
                  <c:v>8.3000000000000046E-2</c:v>
                </c:pt>
                <c:pt idx="22">
                  <c:v>0.17600000000000021</c:v>
                </c:pt>
                <c:pt idx="23">
                  <c:v>7.6999999999999999E-2</c:v>
                </c:pt>
                <c:pt idx="24">
                  <c:v>0.18200000000000024</c:v>
                </c:pt>
                <c:pt idx="25">
                  <c:v>0.222</c:v>
                </c:pt>
                <c:pt idx="26">
                  <c:v>0.11899999999999998</c:v>
                </c:pt>
                <c:pt idx="27">
                  <c:v>0.42900000000000038</c:v>
                </c:pt>
                <c:pt idx="28">
                  <c:v>0</c:v>
                </c:pt>
                <c:pt idx="29">
                  <c:v>0</c:v>
                </c:pt>
                <c:pt idx="30">
                  <c:v>0.128</c:v>
                </c:pt>
                <c:pt idx="31">
                  <c:v>6.1000000000000013E-2</c:v>
                </c:pt>
                <c:pt idx="32">
                  <c:v>0.18200000000000024</c:v>
                </c:pt>
                <c:pt idx="33">
                  <c:v>0.33300000000000413</c:v>
                </c:pt>
                <c:pt idx="34">
                  <c:v>0</c:v>
                </c:pt>
              </c:numCache>
            </c:numRef>
          </c:val>
          <c:extLst xmlns:c16r2="http://schemas.microsoft.com/office/drawing/2015/06/chart">
            <c:ext xmlns:c16="http://schemas.microsoft.com/office/drawing/2014/chart" uri="{C3380CC4-5D6E-409C-BE32-E72D297353CC}">
              <c16:uniqueId val="{00000002-A405-4AFD-8CAC-D59AB15E15A3}"/>
            </c:ext>
          </c:extLst>
        </c:ser>
        <c:ser>
          <c:idx val="2"/>
          <c:order val="2"/>
          <c:tx>
            <c:strRef>
              <c:f>Лист1!$D$1</c:f>
              <c:strCache>
                <c:ptCount val="1"/>
                <c:pt idx="0">
                  <c:v>Затрудняюсь ответить</c:v>
                </c:pt>
              </c:strCache>
            </c:strRef>
          </c:tx>
          <c:spPr>
            <a:solidFill>
              <a:srgbClr val="A5A5A5">
                <a:lumMod val="40000"/>
                <a:lumOff val="60000"/>
              </a:srgb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Кыштовский МР</c:v>
                </c:pt>
                <c:pt idx="1">
                  <c:v>Баганский МР</c:v>
                </c:pt>
                <c:pt idx="2">
                  <c:v>Барабинский МР</c:v>
                </c:pt>
                <c:pt idx="3">
                  <c:v>Карасукский МР</c:v>
                </c:pt>
                <c:pt idx="4">
                  <c:v>Здвинский МР</c:v>
                </c:pt>
                <c:pt idx="5">
                  <c:v>Купинский МР</c:v>
                </c:pt>
                <c:pt idx="6">
                  <c:v>Северный МР</c:v>
                </c:pt>
                <c:pt idx="7">
                  <c:v>Усть-Таркский МР</c:v>
                </c:pt>
                <c:pt idx="8">
                  <c:v>Куйбышевский МР</c:v>
                </c:pt>
                <c:pt idx="9">
                  <c:v>Краснозерский МР</c:v>
                </c:pt>
                <c:pt idx="10">
                  <c:v>Сузунский МР</c:v>
                </c:pt>
                <c:pt idx="11">
                  <c:v>Ордынский МР</c:v>
                </c:pt>
                <c:pt idx="12">
                  <c:v>Венгеровский МР</c:v>
                </c:pt>
                <c:pt idx="13">
                  <c:v>Колыванский МР</c:v>
                </c:pt>
                <c:pt idx="14">
                  <c:v>Коченевский МР</c:v>
                </c:pt>
                <c:pt idx="15">
                  <c:v>Маслянинский МР</c:v>
                </c:pt>
                <c:pt idx="16">
                  <c:v>Чулымский МР</c:v>
                </c:pt>
                <c:pt idx="17">
                  <c:v>г. Искитим</c:v>
                </c:pt>
                <c:pt idx="18">
                  <c:v>г. Обь</c:v>
                </c:pt>
                <c:pt idx="19">
                  <c:v>Татарский МР</c:v>
                </c:pt>
                <c:pt idx="20">
                  <c:v>Тогучинский МР</c:v>
                </c:pt>
                <c:pt idx="21">
                  <c:v>Черепановский МР</c:v>
                </c:pt>
                <c:pt idx="22">
                  <c:v>Искитимский МР</c:v>
                </c:pt>
                <c:pt idx="23">
                  <c:v>Болотнинский МР</c:v>
                </c:pt>
                <c:pt idx="24">
                  <c:v>Чистоозерный МР</c:v>
                </c:pt>
                <c:pt idx="25">
                  <c:v>Мошковский МР</c:v>
                </c:pt>
                <c:pt idx="26">
                  <c:v>г. Новосибирск</c:v>
                </c:pt>
                <c:pt idx="27">
                  <c:v>Доволенский МР</c:v>
                </c:pt>
                <c:pt idx="28">
                  <c:v>Кочковский МР</c:v>
                </c:pt>
                <c:pt idx="29">
                  <c:v>Убинский МР</c:v>
                </c:pt>
                <c:pt idx="30">
                  <c:v>г. Бердск</c:v>
                </c:pt>
                <c:pt idx="31">
                  <c:v>Чановский МР</c:v>
                </c:pt>
                <c:pt idx="32">
                  <c:v>Новосибирский МР</c:v>
                </c:pt>
                <c:pt idx="33">
                  <c:v>Каргатский МР</c:v>
                </c:pt>
                <c:pt idx="34">
                  <c:v>р. п. Кольцово</c:v>
                </c:pt>
              </c:strCache>
            </c:strRef>
          </c:cat>
          <c:val>
            <c:numRef>
              <c:f>Лист1!$D$2:$D$36</c:f>
              <c:numCache>
                <c:formatCode>0.0%</c:formatCode>
                <c:ptCount val="35"/>
                <c:pt idx="0">
                  <c:v>0</c:v>
                </c:pt>
                <c:pt idx="1">
                  <c:v>0.25</c:v>
                </c:pt>
                <c:pt idx="2">
                  <c:v>5.3000000000000012E-2</c:v>
                </c:pt>
                <c:pt idx="3">
                  <c:v>0.11799999999999998</c:v>
                </c:pt>
                <c:pt idx="4">
                  <c:v>0.16700000000000001</c:v>
                </c:pt>
                <c:pt idx="5">
                  <c:v>6.7000000000000004E-2</c:v>
                </c:pt>
                <c:pt idx="6">
                  <c:v>0</c:v>
                </c:pt>
                <c:pt idx="7">
                  <c:v>0.16700000000000001</c:v>
                </c:pt>
                <c:pt idx="8">
                  <c:v>7.6999999999999999E-2</c:v>
                </c:pt>
                <c:pt idx="9">
                  <c:v>0.37500000000000322</c:v>
                </c:pt>
                <c:pt idx="10">
                  <c:v>0.18800000000000044</c:v>
                </c:pt>
                <c:pt idx="11">
                  <c:v>0.21100000000000024</c:v>
                </c:pt>
                <c:pt idx="12">
                  <c:v>0.28600000000000031</c:v>
                </c:pt>
                <c:pt idx="13">
                  <c:v>8.7000000000000022E-2</c:v>
                </c:pt>
                <c:pt idx="14">
                  <c:v>0.23100000000000001</c:v>
                </c:pt>
                <c:pt idx="15">
                  <c:v>0.23100000000000001</c:v>
                </c:pt>
                <c:pt idx="16">
                  <c:v>0.33300000000000413</c:v>
                </c:pt>
                <c:pt idx="17">
                  <c:v>0.29600000000000032</c:v>
                </c:pt>
                <c:pt idx="18">
                  <c:v>0.17900000000000021</c:v>
                </c:pt>
                <c:pt idx="19">
                  <c:v>0.33300000000000413</c:v>
                </c:pt>
                <c:pt idx="20">
                  <c:v>0.29200000000000031</c:v>
                </c:pt>
                <c:pt idx="21">
                  <c:v>0.44400000000000001</c:v>
                </c:pt>
                <c:pt idx="22">
                  <c:v>0.35300000000000031</c:v>
                </c:pt>
                <c:pt idx="23">
                  <c:v>0.53800000000000003</c:v>
                </c:pt>
                <c:pt idx="24">
                  <c:v>0.45500000000000002</c:v>
                </c:pt>
                <c:pt idx="25">
                  <c:v>0.44400000000000001</c:v>
                </c:pt>
                <c:pt idx="26">
                  <c:v>0.56699999999999995</c:v>
                </c:pt>
                <c:pt idx="27">
                  <c:v>0.28600000000000031</c:v>
                </c:pt>
                <c:pt idx="28">
                  <c:v>0.71400000000000063</c:v>
                </c:pt>
                <c:pt idx="29">
                  <c:v>0.71400000000000063</c:v>
                </c:pt>
                <c:pt idx="30">
                  <c:v>0.61500000000000365</c:v>
                </c:pt>
                <c:pt idx="31">
                  <c:v>0.69699999999999995</c:v>
                </c:pt>
                <c:pt idx="32">
                  <c:v>0.63600000000000723</c:v>
                </c:pt>
                <c:pt idx="33">
                  <c:v>0.5</c:v>
                </c:pt>
                <c:pt idx="34">
                  <c:v>1</c:v>
                </c:pt>
              </c:numCache>
            </c:numRef>
          </c:val>
          <c:extLst xmlns:c16r2="http://schemas.microsoft.com/office/drawing/2015/06/chart">
            <c:ext xmlns:c16="http://schemas.microsoft.com/office/drawing/2014/chart" uri="{C3380CC4-5D6E-409C-BE32-E72D297353CC}">
              <c16:uniqueId val="{00000003-A405-4AFD-8CAC-D59AB15E15A3}"/>
            </c:ext>
          </c:extLst>
        </c:ser>
        <c:overlap val="100"/>
        <c:axId val="122222464"/>
        <c:axId val="122224000"/>
      </c:barChart>
      <c:catAx>
        <c:axId val="122222464"/>
        <c:scaling>
          <c:orientation val="maxMin"/>
        </c:scaling>
        <c:axPos val="l"/>
        <c:numFmt formatCode="General" sourceLinked="1"/>
        <c:tickLblPos val="nextTo"/>
        <c:crossAx val="122224000"/>
        <c:crosses val="autoZero"/>
        <c:auto val="1"/>
        <c:lblAlgn val="ctr"/>
        <c:lblOffset val="100"/>
      </c:catAx>
      <c:valAx>
        <c:axId val="122224000"/>
        <c:scaling>
          <c:orientation val="minMax"/>
          <c:max val="1"/>
          <c:min val="0"/>
        </c:scaling>
        <c:axPos val="t"/>
        <c:majorGridlines/>
        <c:numFmt formatCode="0.0%" sourceLinked="1"/>
        <c:tickLblPos val="nextTo"/>
        <c:txPr>
          <a:bodyPr/>
          <a:lstStyle/>
          <a:p>
            <a:pPr>
              <a:defRPr sz="600"/>
            </a:pPr>
            <a:endParaRPr lang="ru-RU"/>
          </a:p>
        </c:txPr>
        <c:crossAx val="122222464"/>
        <c:crosses val="autoZero"/>
        <c:crossBetween val="between"/>
        <c:majorUnit val="0.2"/>
      </c:valAx>
      <c:spPr>
        <a:noFill/>
        <a:ln>
          <a:solidFill>
            <a:schemeClr val="accent1"/>
          </a:solidFill>
        </a:ln>
      </c:spPr>
    </c:plotArea>
    <c:legend>
      <c:legendPos val="t"/>
    </c:legend>
    <c:plotVisOnly val="1"/>
    <c:dispBlanksAs val="gap"/>
  </c:chart>
  <c:spPr>
    <a:ln>
      <a:noFill/>
    </a:ln>
  </c:spPr>
  <c:txPr>
    <a:bodyPr/>
    <a:lstStyle/>
    <a:p>
      <a:pPr>
        <a:defRPr>
          <a:latin typeface="Arial Narrow" panose="020B0606020202030204" pitchFamily="34" charset="0"/>
        </a:defRPr>
      </a:pPr>
      <a:endParaRPr lang="ru-RU"/>
    </a:p>
  </c:txPr>
  <c:externalData r:id="rId2"/>
</c:chartSpace>
</file>

<file path=word/charts/chart34.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46919232682327106"/>
          <c:y val="7.6190911549699314E-2"/>
          <c:w val="0.48981305078223991"/>
          <c:h val="0.91005535048322161"/>
        </c:manualLayout>
      </c:layout>
      <c:barChart>
        <c:barDir val="bar"/>
        <c:grouping val="stacked"/>
        <c:ser>
          <c:idx val="0"/>
          <c:order val="0"/>
          <c:tx>
            <c:strRef>
              <c:f>Лист1!$B$1</c:f>
              <c:strCache>
                <c:ptCount val="1"/>
                <c:pt idx="0">
                  <c:v>Удовлетворительно</c:v>
                </c:pt>
              </c:strCache>
            </c:strRef>
          </c:tx>
          <c:spPr>
            <a:solidFill>
              <a:srgbClr val="ED7D31">
                <a:lumMod val="40000"/>
                <a:lumOff val="60000"/>
              </a:srgbClr>
            </a:solidFill>
          </c:spPr>
          <c:dLbls>
            <c:dLbl>
              <c:idx val="11"/>
              <c:layout>
                <c:manualLayout>
                  <c:x val="1.5891934843067359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0794-4AB1-8BFC-3C355AF067F0}"/>
                </c:ext>
              </c:extLst>
            </c:dLbl>
            <c:dLbl>
              <c:idx val="1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0794-4AB1-8BFC-3C355AF067F0}"/>
                </c:ext>
              </c:extLst>
            </c:dLbl>
            <c:spPr>
              <a:noFill/>
              <a:ln>
                <a:no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Розничная торговля</c:v>
                </c:pt>
                <c:pt idx="1">
                  <c:v>Рынок услуг ЖКХ</c:v>
                </c:pt>
                <c:pt idx="2">
                  <c:v>Рынок развития, производства, переработки и хранения с‎\х продукции</c:v>
                </c:pt>
                <c:pt idx="3">
                  <c:v>Рынок медицинских услуг</c:v>
                </c:pt>
                <c:pt idx="4">
                  <c:v>Рынок услуг по сбору, сортировке и переработке твердых коммунальных (бытовых) отходов</c:v>
                </c:pt>
                <c:pt idx="5">
                  <c:v>Рынок услуг в сфере культуры</c:v>
                </c:pt>
                <c:pt idx="6">
                  <c:v>Рынок услуг социального обслуживания населения</c:v>
                </c:pt>
                <c:pt idx="7">
                  <c:v>Рынок услуг детского отдыха и оздоровления</c:v>
                </c:pt>
                <c:pt idx="8">
                  <c:v>Рынок услуг дополнительного образования детей</c:v>
                </c:pt>
                <c:pt idx="9">
                  <c:v>Рынок услуг психолого-педагогического сопровождения детей с ограничеными возможностями здоровья</c:v>
                </c:pt>
                <c:pt idx="10">
                  <c:v>Рынок услуг связи</c:v>
                </c:pt>
                <c:pt idx="11">
                  <c:v>Рынок услуг перевозок пассажиров наземным транспортом</c:v>
                </c:pt>
                <c:pt idx="12">
                  <c:v>Рынок услуг дошкольного образования</c:v>
                </c:pt>
              </c:strCache>
            </c:strRef>
          </c:cat>
          <c:val>
            <c:numRef>
              <c:f>Лист1!$B$2:$B$14</c:f>
              <c:numCache>
                <c:formatCode>0.0%</c:formatCode>
                <c:ptCount val="13"/>
                <c:pt idx="0">
                  <c:v>0.41100000000000031</c:v>
                </c:pt>
                <c:pt idx="1">
                  <c:v>0.4</c:v>
                </c:pt>
                <c:pt idx="2">
                  <c:v>0.37000000000000038</c:v>
                </c:pt>
                <c:pt idx="3">
                  <c:v>0.3290000000000039</c:v>
                </c:pt>
                <c:pt idx="4">
                  <c:v>0.30000000000000032</c:v>
                </c:pt>
                <c:pt idx="5">
                  <c:v>0.24000000000000021</c:v>
                </c:pt>
                <c:pt idx="6">
                  <c:v>0.24000000000000021</c:v>
                </c:pt>
                <c:pt idx="7">
                  <c:v>0.2</c:v>
                </c:pt>
                <c:pt idx="8">
                  <c:v>0.2</c:v>
                </c:pt>
                <c:pt idx="9">
                  <c:v>0.16</c:v>
                </c:pt>
                <c:pt idx="10">
                  <c:v>0.16</c:v>
                </c:pt>
                <c:pt idx="11">
                  <c:v>3.3000000000000002E-2</c:v>
                </c:pt>
                <c:pt idx="12">
                  <c:v>0</c:v>
                </c:pt>
              </c:numCache>
            </c:numRef>
          </c:val>
          <c:extLst xmlns:c16r2="http://schemas.microsoft.com/office/drawing/2015/06/chart">
            <c:ext xmlns:c16="http://schemas.microsoft.com/office/drawing/2014/chart" uri="{C3380CC4-5D6E-409C-BE32-E72D297353CC}">
              <c16:uniqueId val="{00000002-0794-4AB1-8BFC-3C355AF067F0}"/>
            </c:ext>
          </c:extLst>
        </c:ser>
        <c:ser>
          <c:idx val="1"/>
          <c:order val="1"/>
          <c:tx>
            <c:strRef>
              <c:f>Лист1!$C$1</c:f>
              <c:strCache>
                <c:ptCount val="1"/>
                <c:pt idx="0">
                  <c:v>Неудовлетворительно</c:v>
                </c:pt>
              </c:strCache>
            </c:strRef>
          </c:tx>
          <c:spPr>
            <a:solidFill>
              <a:srgbClr val="B28AB2"/>
            </a:solidFill>
            <a:ln>
              <a:noFill/>
            </a:ln>
          </c:spPr>
          <c:dLbls>
            <c:dLbl>
              <c:idx val="1"/>
              <c:layout>
                <c:manualLayout>
                  <c:x val="1.7878426698450543E-2"/>
                  <c:y val="2.0847306740447909E-1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0794-4AB1-8BFC-3C355AF067F0}"/>
                </c:ext>
              </c:extLst>
            </c:dLbl>
            <c:dLbl>
              <c:idx val="3"/>
              <c:layout>
                <c:manualLayout>
                  <c:x val="1.589193484306729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0794-4AB1-8BFC-3C355AF067F0}"/>
                </c:ext>
              </c:extLst>
            </c:dLbl>
            <c:dLbl>
              <c:idx val="5"/>
              <c:layout>
                <c:manualLayout>
                  <c:x val="1.7878426698450463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0794-4AB1-8BFC-3C355AF067F0}"/>
                </c:ext>
              </c:extLst>
            </c:dLbl>
            <c:dLbl>
              <c:idx val="7"/>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0794-4AB1-8BFC-3C355AF067F0}"/>
                </c:ext>
              </c:extLst>
            </c:dLbl>
            <c:dLbl>
              <c:idx val="9"/>
              <c:layout>
                <c:manualLayout>
                  <c:x val="1.9864918553833929E-2"/>
                  <c:y val="2.2742779167613876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0794-4AB1-8BFC-3C355AF067F0}"/>
                </c:ext>
              </c:extLst>
            </c:dLbl>
            <c:dLbl>
              <c:idx val="1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0794-4AB1-8BFC-3C355AF067F0}"/>
                </c:ext>
              </c:extLst>
            </c:dLbl>
            <c:dLbl>
              <c:idx val="11"/>
              <c:layout>
                <c:manualLayout>
                  <c:x val="3.9729837107667858E-2"/>
                  <c:y val="-2.2740988397601078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0794-4AB1-8BFC-3C355AF067F0}"/>
                </c:ext>
              </c:extLst>
            </c:dLbl>
            <c:dLbl>
              <c:idx val="1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0794-4AB1-8BFC-3C355AF067F0}"/>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Розничная торговля</c:v>
                </c:pt>
                <c:pt idx="1">
                  <c:v>Рынок услуг ЖКХ</c:v>
                </c:pt>
                <c:pt idx="2">
                  <c:v>Рынок развития, производства, переработки и хранения с‎\х продукции</c:v>
                </c:pt>
                <c:pt idx="3">
                  <c:v>Рынок медицинских услуг</c:v>
                </c:pt>
                <c:pt idx="4">
                  <c:v>Рынок услуг по сбору, сортировке и переработке твердых коммунальных (бытовых) отходов</c:v>
                </c:pt>
                <c:pt idx="5">
                  <c:v>Рынок услуг в сфере культуры</c:v>
                </c:pt>
                <c:pt idx="6">
                  <c:v>Рынок услуг социального обслуживания населения</c:v>
                </c:pt>
                <c:pt idx="7">
                  <c:v>Рынок услуг детского отдыха и оздоровления</c:v>
                </c:pt>
                <c:pt idx="8">
                  <c:v>Рынок услуг дополнительного образования детей</c:v>
                </c:pt>
                <c:pt idx="9">
                  <c:v>Рынок услуг психолого-педагогического сопровождения детей с ограничеными возможностями здоровья</c:v>
                </c:pt>
                <c:pt idx="10">
                  <c:v>Рынок услуг связи</c:v>
                </c:pt>
                <c:pt idx="11">
                  <c:v>Рынок услуг перевозок пассажиров наземным транспортом</c:v>
                </c:pt>
                <c:pt idx="12">
                  <c:v>Рынок услуг дошкольного образования</c:v>
                </c:pt>
              </c:strCache>
            </c:strRef>
          </c:cat>
          <c:val>
            <c:numRef>
              <c:f>Лист1!$C$2:$C$14</c:f>
              <c:numCache>
                <c:formatCode>0.0%</c:formatCode>
                <c:ptCount val="13"/>
                <c:pt idx="0">
                  <c:v>0.128</c:v>
                </c:pt>
                <c:pt idx="1">
                  <c:v>7.0999999999999994E-2</c:v>
                </c:pt>
                <c:pt idx="2">
                  <c:v>0.14000000000000001</c:v>
                </c:pt>
                <c:pt idx="3">
                  <c:v>5.7000000000000023E-2</c:v>
                </c:pt>
                <c:pt idx="4">
                  <c:v>0.2</c:v>
                </c:pt>
                <c:pt idx="5">
                  <c:v>4.0000000000000022E-2</c:v>
                </c:pt>
                <c:pt idx="6">
                  <c:v>8.0000000000000043E-2</c:v>
                </c:pt>
                <c:pt idx="7">
                  <c:v>0</c:v>
                </c:pt>
                <c:pt idx="8">
                  <c:v>0.12000000000000002</c:v>
                </c:pt>
                <c:pt idx="9">
                  <c:v>4.0000000000000022E-2</c:v>
                </c:pt>
                <c:pt idx="10">
                  <c:v>0</c:v>
                </c:pt>
                <c:pt idx="11">
                  <c:v>0.1</c:v>
                </c:pt>
                <c:pt idx="12">
                  <c:v>0</c:v>
                </c:pt>
              </c:numCache>
            </c:numRef>
          </c:val>
          <c:extLst xmlns:c16r2="http://schemas.microsoft.com/office/drawing/2015/06/chart">
            <c:ext xmlns:c16="http://schemas.microsoft.com/office/drawing/2014/chart" uri="{C3380CC4-5D6E-409C-BE32-E72D297353CC}">
              <c16:uniqueId val="{0000000B-0794-4AB1-8BFC-3C355AF067F0}"/>
            </c:ext>
          </c:extLst>
        </c:ser>
        <c:ser>
          <c:idx val="2"/>
          <c:order val="2"/>
          <c:tx>
            <c:strRef>
              <c:f>Лист1!$D$1</c:f>
              <c:strCache>
                <c:ptCount val="1"/>
                <c:pt idx="0">
                  <c:v>Затрудняюсь ответить</c:v>
                </c:pt>
              </c:strCache>
            </c:strRef>
          </c:tx>
          <c:spPr>
            <a:solidFill>
              <a:srgbClr val="A5A5A5">
                <a:lumMod val="40000"/>
                <a:lumOff val="60000"/>
              </a:srgb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Розничная торговля</c:v>
                </c:pt>
                <c:pt idx="1">
                  <c:v>Рынок услуг ЖКХ</c:v>
                </c:pt>
                <c:pt idx="2">
                  <c:v>Рынок развития, производства, переработки и хранения с‎\х продукции</c:v>
                </c:pt>
                <c:pt idx="3">
                  <c:v>Рынок медицинских услуг</c:v>
                </c:pt>
                <c:pt idx="4">
                  <c:v>Рынок услуг по сбору, сортировке и переработке твердых коммунальных (бытовых) отходов</c:v>
                </c:pt>
                <c:pt idx="5">
                  <c:v>Рынок услуг в сфере культуры</c:v>
                </c:pt>
                <c:pt idx="6">
                  <c:v>Рынок услуг социального обслуживания населения</c:v>
                </c:pt>
                <c:pt idx="7">
                  <c:v>Рынок услуг детского отдыха и оздоровления</c:v>
                </c:pt>
                <c:pt idx="8">
                  <c:v>Рынок услуг дополнительного образования детей</c:v>
                </c:pt>
                <c:pt idx="9">
                  <c:v>Рынок услуг психолого-педагогического сопровождения детей с ограничеными возможностями здоровья</c:v>
                </c:pt>
                <c:pt idx="10">
                  <c:v>Рынок услуг связи</c:v>
                </c:pt>
                <c:pt idx="11">
                  <c:v>Рынок услуг перевозок пассажиров наземным транспортом</c:v>
                </c:pt>
                <c:pt idx="12">
                  <c:v>Рынок услуг дошкольного образования</c:v>
                </c:pt>
              </c:strCache>
            </c:strRef>
          </c:cat>
          <c:val>
            <c:numRef>
              <c:f>Лист1!$D$2:$D$14</c:f>
              <c:numCache>
                <c:formatCode>0.0%</c:formatCode>
                <c:ptCount val="13"/>
                <c:pt idx="0">
                  <c:v>0.46100000000000002</c:v>
                </c:pt>
                <c:pt idx="1">
                  <c:v>0.52900000000000003</c:v>
                </c:pt>
                <c:pt idx="2">
                  <c:v>0.49000000000000032</c:v>
                </c:pt>
                <c:pt idx="3">
                  <c:v>0.61400000000000265</c:v>
                </c:pt>
                <c:pt idx="4">
                  <c:v>0.5</c:v>
                </c:pt>
                <c:pt idx="5">
                  <c:v>0.72000000000000064</c:v>
                </c:pt>
                <c:pt idx="6">
                  <c:v>0.68</c:v>
                </c:pt>
                <c:pt idx="7">
                  <c:v>0.8</c:v>
                </c:pt>
                <c:pt idx="8">
                  <c:v>0.68</c:v>
                </c:pt>
                <c:pt idx="9">
                  <c:v>0.8</c:v>
                </c:pt>
                <c:pt idx="10">
                  <c:v>0.84000000000000064</c:v>
                </c:pt>
                <c:pt idx="11">
                  <c:v>0.86700000000000665</c:v>
                </c:pt>
                <c:pt idx="12">
                  <c:v>1</c:v>
                </c:pt>
              </c:numCache>
            </c:numRef>
          </c:val>
          <c:extLst xmlns:c16r2="http://schemas.microsoft.com/office/drawing/2015/06/chart">
            <c:ext xmlns:c16="http://schemas.microsoft.com/office/drawing/2014/chart" uri="{C3380CC4-5D6E-409C-BE32-E72D297353CC}">
              <c16:uniqueId val="{0000000C-0794-4AB1-8BFC-3C355AF067F0}"/>
            </c:ext>
          </c:extLst>
        </c:ser>
        <c:overlap val="100"/>
        <c:axId val="122317440"/>
        <c:axId val="122323328"/>
      </c:barChart>
      <c:catAx>
        <c:axId val="122317440"/>
        <c:scaling>
          <c:orientation val="maxMin"/>
        </c:scaling>
        <c:axPos val="l"/>
        <c:numFmt formatCode="General" sourceLinked="1"/>
        <c:tickLblPos val="nextTo"/>
        <c:crossAx val="122323328"/>
        <c:crosses val="autoZero"/>
        <c:auto val="1"/>
        <c:lblAlgn val="ctr"/>
        <c:lblOffset val="100"/>
      </c:catAx>
      <c:valAx>
        <c:axId val="122323328"/>
        <c:scaling>
          <c:orientation val="minMax"/>
          <c:max val="1"/>
          <c:min val="0"/>
        </c:scaling>
        <c:axPos val="t"/>
        <c:majorGridlines/>
        <c:numFmt formatCode="0.0%" sourceLinked="1"/>
        <c:tickLblPos val="nextTo"/>
        <c:txPr>
          <a:bodyPr/>
          <a:lstStyle/>
          <a:p>
            <a:pPr>
              <a:defRPr sz="600"/>
            </a:pPr>
            <a:endParaRPr lang="ru-RU"/>
          </a:p>
        </c:txPr>
        <c:crossAx val="122317440"/>
        <c:crosses val="autoZero"/>
        <c:crossBetween val="between"/>
        <c:majorUnit val="0.2"/>
      </c:valAx>
      <c:spPr>
        <a:noFill/>
        <a:ln>
          <a:solidFill>
            <a:schemeClr val="accent1"/>
          </a:solidFill>
        </a:ln>
      </c:spPr>
    </c:plotArea>
    <c:legend>
      <c:legendPos val="t"/>
      <c:layout>
        <c:manualLayout>
          <c:xMode val="edge"/>
          <c:yMode val="edge"/>
          <c:x val="0.16544176763363455"/>
          <c:y val="0"/>
          <c:w val="0.6651433246052908"/>
          <c:h val="3.9144262641493219E-2"/>
        </c:manualLayout>
      </c:layout>
    </c:legend>
    <c:plotVisOnly val="1"/>
    <c:dispBlanksAs val="gap"/>
  </c:chart>
  <c:spPr>
    <a:ln>
      <a:noFill/>
    </a:ln>
  </c:spPr>
  <c:txPr>
    <a:bodyPr/>
    <a:lstStyle/>
    <a:p>
      <a:pPr>
        <a:defRPr>
          <a:latin typeface="Arial Narrow" panose="020B0606020202030204" pitchFamily="34" charset="0"/>
        </a:defRPr>
      </a:pPr>
      <a:endParaRPr lang="ru-RU"/>
    </a:p>
  </c:txPr>
  <c:externalData r:id="rId2"/>
</c:chartSpace>
</file>

<file path=word/charts/chart35.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27650257804892092"/>
          <c:y val="0.15718792160325737"/>
          <c:w val="0.68250275481088496"/>
          <c:h val="0.82905830696396599"/>
        </c:manualLayout>
      </c:layout>
      <c:barChart>
        <c:barDir val="bar"/>
        <c:grouping val="stacked"/>
        <c:ser>
          <c:idx val="0"/>
          <c:order val="0"/>
          <c:tx>
            <c:strRef>
              <c:f>Лист1!$B$1</c:f>
              <c:strCache>
                <c:ptCount val="1"/>
                <c:pt idx="0">
                  <c:v>Удовлетворительно</c:v>
                </c:pt>
              </c:strCache>
            </c:strRef>
          </c:tx>
          <c:spPr>
            <a:solidFill>
              <a:srgbClr val="ED7D31">
                <a:lumMod val="40000"/>
                <a:lumOff val="60000"/>
              </a:srgbClr>
            </a:solidFill>
          </c:spPr>
          <c:dLbls>
            <c:spPr>
              <a:noFill/>
              <a:ln>
                <a:no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среднее предприятие</c:v>
                </c:pt>
                <c:pt idx="1">
                  <c:v>малое предприятие</c:v>
                </c:pt>
              </c:strCache>
            </c:strRef>
          </c:cat>
          <c:val>
            <c:numRef>
              <c:f>Лист1!$B$2:$B$3</c:f>
              <c:numCache>
                <c:formatCode>0.0%</c:formatCode>
                <c:ptCount val="2"/>
                <c:pt idx="0">
                  <c:v>0.18200000000000024</c:v>
                </c:pt>
                <c:pt idx="1">
                  <c:v>0.35400000000000031</c:v>
                </c:pt>
              </c:numCache>
            </c:numRef>
          </c:val>
          <c:extLst xmlns:c16r2="http://schemas.microsoft.com/office/drawing/2015/06/chart">
            <c:ext xmlns:c16="http://schemas.microsoft.com/office/drawing/2014/chart" uri="{C3380CC4-5D6E-409C-BE32-E72D297353CC}">
              <c16:uniqueId val="{00000000-7D33-4C2E-9B6F-2E68E1C82754}"/>
            </c:ext>
          </c:extLst>
        </c:ser>
        <c:ser>
          <c:idx val="1"/>
          <c:order val="1"/>
          <c:tx>
            <c:strRef>
              <c:f>Лист1!$C$1</c:f>
              <c:strCache>
                <c:ptCount val="1"/>
                <c:pt idx="0">
                  <c:v>Неудовлетворительно</c:v>
                </c:pt>
              </c:strCache>
            </c:strRef>
          </c:tx>
          <c:spPr>
            <a:solidFill>
              <a:srgbClr val="B28AB2"/>
            </a:solidFill>
            <a:ln>
              <a:noFill/>
            </a:ln>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среднее предприятие</c:v>
                </c:pt>
                <c:pt idx="1">
                  <c:v>малое предприятие</c:v>
                </c:pt>
              </c:strCache>
            </c:strRef>
          </c:cat>
          <c:val>
            <c:numRef>
              <c:f>Лист1!$C$2:$C$3</c:f>
              <c:numCache>
                <c:formatCode>0.0%</c:formatCode>
                <c:ptCount val="2"/>
                <c:pt idx="0">
                  <c:v>0.36400000000000032</c:v>
                </c:pt>
                <c:pt idx="1">
                  <c:v>0.13400000000000001</c:v>
                </c:pt>
              </c:numCache>
            </c:numRef>
          </c:val>
          <c:extLst xmlns:c16r2="http://schemas.microsoft.com/office/drawing/2015/06/chart">
            <c:ext xmlns:c16="http://schemas.microsoft.com/office/drawing/2014/chart" uri="{C3380CC4-5D6E-409C-BE32-E72D297353CC}">
              <c16:uniqueId val="{00000001-7D33-4C2E-9B6F-2E68E1C82754}"/>
            </c:ext>
          </c:extLst>
        </c:ser>
        <c:ser>
          <c:idx val="2"/>
          <c:order val="2"/>
          <c:tx>
            <c:strRef>
              <c:f>Лист1!$D$1</c:f>
              <c:strCache>
                <c:ptCount val="1"/>
                <c:pt idx="0">
                  <c:v>Затрудняюсь ответить</c:v>
                </c:pt>
              </c:strCache>
            </c:strRef>
          </c:tx>
          <c:spPr>
            <a:solidFill>
              <a:sysClr val="window" lastClr="FFFFFF">
                <a:lumMod val="85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среднее предприятие</c:v>
                </c:pt>
                <c:pt idx="1">
                  <c:v>малое предприятие</c:v>
                </c:pt>
              </c:strCache>
            </c:strRef>
          </c:cat>
          <c:val>
            <c:numRef>
              <c:f>Лист1!$D$2:$D$3</c:f>
              <c:numCache>
                <c:formatCode>0.0%</c:formatCode>
                <c:ptCount val="2"/>
                <c:pt idx="0">
                  <c:v>0.45500000000000002</c:v>
                </c:pt>
                <c:pt idx="1">
                  <c:v>0.51200000000000001</c:v>
                </c:pt>
              </c:numCache>
            </c:numRef>
          </c:val>
          <c:extLst xmlns:c16r2="http://schemas.microsoft.com/office/drawing/2015/06/chart">
            <c:ext xmlns:c16="http://schemas.microsoft.com/office/drawing/2014/chart" uri="{C3380CC4-5D6E-409C-BE32-E72D297353CC}">
              <c16:uniqueId val="{00000002-7D33-4C2E-9B6F-2E68E1C82754}"/>
            </c:ext>
          </c:extLst>
        </c:ser>
        <c:overlap val="100"/>
        <c:axId val="124181888"/>
        <c:axId val="122225792"/>
      </c:barChart>
      <c:catAx>
        <c:axId val="124181888"/>
        <c:scaling>
          <c:orientation val="maxMin"/>
        </c:scaling>
        <c:axPos val="l"/>
        <c:numFmt formatCode="General" sourceLinked="1"/>
        <c:tickLblPos val="nextTo"/>
        <c:crossAx val="122225792"/>
        <c:crosses val="autoZero"/>
        <c:auto val="1"/>
        <c:lblAlgn val="ctr"/>
        <c:lblOffset val="100"/>
      </c:catAx>
      <c:valAx>
        <c:axId val="122225792"/>
        <c:scaling>
          <c:orientation val="minMax"/>
          <c:max val="1"/>
          <c:min val="0"/>
        </c:scaling>
        <c:delete val="1"/>
        <c:axPos val="t"/>
        <c:majorGridlines/>
        <c:numFmt formatCode="0.0%" sourceLinked="1"/>
        <c:tickLblPos val="none"/>
        <c:crossAx val="124181888"/>
        <c:crosses val="autoZero"/>
        <c:crossBetween val="between"/>
        <c:majorUnit val="0.2"/>
      </c:valAx>
      <c:spPr>
        <a:noFill/>
        <a:ln>
          <a:solidFill>
            <a:schemeClr val="accent1"/>
          </a:solidFill>
        </a:ln>
      </c:spPr>
    </c:plotArea>
    <c:legend>
      <c:legendPos val="t"/>
    </c:legend>
    <c:plotVisOnly val="1"/>
    <c:dispBlanksAs val="gap"/>
  </c:chart>
  <c:spPr>
    <a:ln>
      <a:noFill/>
    </a:ln>
  </c:spPr>
  <c:txPr>
    <a:bodyPr/>
    <a:lstStyle/>
    <a:p>
      <a:pPr>
        <a:defRPr>
          <a:latin typeface="Arial Narrow" panose="020B0606020202030204" pitchFamily="34" charset="0"/>
        </a:defRPr>
      </a:pPr>
      <a:endParaRPr lang="ru-RU"/>
    </a:p>
  </c:txPr>
</c:chartSpace>
</file>

<file path=word/charts/chart36.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27650257804892092"/>
          <c:y val="7.0470315936984898E-2"/>
          <c:w val="0.68250275481088496"/>
          <c:h val="0.92133243738405779"/>
        </c:manualLayout>
      </c:layout>
      <c:barChart>
        <c:barDir val="bar"/>
        <c:grouping val="stacked"/>
        <c:ser>
          <c:idx val="0"/>
          <c:order val="0"/>
          <c:tx>
            <c:strRef>
              <c:f>Лист1!$B$1</c:f>
              <c:strCache>
                <c:ptCount val="1"/>
                <c:pt idx="0">
                  <c:v>Удовлетворительно</c:v>
                </c:pt>
              </c:strCache>
            </c:strRef>
          </c:tx>
          <c:spPr>
            <a:solidFill>
              <a:srgbClr val="ED7D31">
                <a:lumMod val="40000"/>
                <a:lumOff val="60000"/>
              </a:srgbClr>
            </a:solidFill>
          </c:spPr>
          <c:dLbls>
            <c:dLbl>
              <c:idx val="3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A865-4177-8391-F5106998C3AB}"/>
                </c:ext>
              </c:extLst>
            </c:dLbl>
            <c:dLbl>
              <c:idx val="3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A865-4177-8391-F5106998C3AB}"/>
                </c:ext>
              </c:extLst>
            </c:dLbl>
            <c:spPr>
              <a:noFill/>
              <a:ln>
                <a:no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Карасукский МР</c:v>
                </c:pt>
                <c:pt idx="1">
                  <c:v>Барабинский МР</c:v>
                </c:pt>
                <c:pt idx="2">
                  <c:v>Кыштовский МР</c:v>
                </c:pt>
                <c:pt idx="3">
                  <c:v>Северный МР</c:v>
                </c:pt>
                <c:pt idx="4">
                  <c:v>Татарский МР</c:v>
                </c:pt>
                <c:pt idx="5">
                  <c:v>Усть-Таркский МР</c:v>
                </c:pt>
                <c:pt idx="6">
                  <c:v>Куйбышевский МР</c:v>
                </c:pt>
                <c:pt idx="7">
                  <c:v>Колыванский МР</c:v>
                </c:pt>
                <c:pt idx="8">
                  <c:v>Сузунский МР</c:v>
                </c:pt>
                <c:pt idx="9">
                  <c:v>Купинский МР</c:v>
                </c:pt>
                <c:pt idx="10">
                  <c:v>Венгеровский МР</c:v>
                </c:pt>
                <c:pt idx="11">
                  <c:v>Маслянинский МР</c:v>
                </c:pt>
                <c:pt idx="12">
                  <c:v>Чулымский МР</c:v>
                </c:pt>
                <c:pt idx="13">
                  <c:v>Ордынский МР</c:v>
                </c:pt>
                <c:pt idx="14">
                  <c:v>г. Искитим</c:v>
                </c:pt>
                <c:pt idx="15">
                  <c:v>г. Обь</c:v>
                </c:pt>
                <c:pt idx="16">
                  <c:v>Кочковский МР</c:v>
                </c:pt>
                <c:pt idx="17">
                  <c:v>Черепановский МР</c:v>
                </c:pt>
                <c:pt idx="18">
                  <c:v>Краснозерский МР</c:v>
                </c:pt>
                <c:pt idx="19">
                  <c:v>Тогучинский МР</c:v>
                </c:pt>
                <c:pt idx="20">
                  <c:v>Чистоозерный МР</c:v>
                </c:pt>
                <c:pt idx="21">
                  <c:v>Искитимский МР</c:v>
                </c:pt>
                <c:pt idx="22">
                  <c:v>Здвинский МР</c:v>
                </c:pt>
                <c:pt idx="23">
                  <c:v>г. Новосибирск</c:v>
                </c:pt>
                <c:pt idx="24">
                  <c:v>Болотнинский МР</c:v>
                </c:pt>
                <c:pt idx="25">
                  <c:v>Доволенский МР</c:v>
                </c:pt>
                <c:pt idx="26">
                  <c:v>Убинский МР</c:v>
                </c:pt>
                <c:pt idx="27">
                  <c:v>Чановский МР</c:v>
                </c:pt>
                <c:pt idx="28">
                  <c:v>г. Бердск</c:v>
                </c:pt>
                <c:pt idx="29">
                  <c:v>Мошковский МР</c:v>
                </c:pt>
                <c:pt idx="30">
                  <c:v>Новосибирский МР</c:v>
                </c:pt>
                <c:pt idx="31">
                  <c:v>Коченевский МР</c:v>
                </c:pt>
                <c:pt idx="32">
                  <c:v>Баганский МР</c:v>
                </c:pt>
                <c:pt idx="33">
                  <c:v>Каргатский МР</c:v>
                </c:pt>
                <c:pt idx="34">
                  <c:v>р. п. Кольцово</c:v>
                </c:pt>
              </c:strCache>
            </c:strRef>
          </c:cat>
          <c:val>
            <c:numRef>
              <c:f>Лист1!$B$2:$B$36</c:f>
              <c:numCache>
                <c:formatCode>0.0%</c:formatCode>
                <c:ptCount val="35"/>
                <c:pt idx="0">
                  <c:v>0.70600000000000063</c:v>
                </c:pt>
                <c:pt idx="1">
                  <c:v>0.68400000000000005</c:v>
                </c:pt>
                <c:pt idx="2">
                  <c:v>0.66700000000000825</c:v>
                </c:pt>
                <c:pt idx="3">
                  <c:v>0.66700000000000825</c:v>
                </c:pt>
                <c:pt idx="4">
                  <c:v>0.66700000000000825</c:v>
                </c:pt>
                <c:pt idx="5">
                  <c:v>0.66700000000000825</c:v>
                </c:pt>
                <c:pt idx="6">
                  <c:v>0.65400000000000791</c:v>
                </c:pt>
                <c:pt idx="7">
                  <c:v>0.65200000000000768</c:v>
                </c:pt>
                <c:pt idx="8">
                  <c:v>0.62500000000000655</c:v>
                </c:pt>
                <c:pt idx="9">
                  <c:v>0.60000000000000064</c:v>
                </c:pt>
                <c:pt idx="10">
                  <c:v>0.57099999999999995</c:v>
                </c:pt>
                <c:pt idx="11">
                  <c:v>0.53800000000000003</c:v>
                </c:pt>
                <c:pt idx="12">
                  <c:v>0.53300000000000003</c:v>
                </c:pt>
                <c:pt idx="13">
                  <c:v>0.52600000000000002</c:v>
                </c:pt>
                <c:pt idx="14">
                  <c:v>0.51900000000000002</c:v>
                </c:pt>
                <c:pt idx="15">
                  <c:v>0.46400000000000002</c:v>
                </c:pt>
                <c:pt idx="16">
                  <c:v>0.42900000000000038</c:v>
                </c:pt>
                <c:pt idx="17">
                  <c:v>0.41700000000000031</c:v>
                </c:pt>
                <c:pt idx="18">
                  <c:v>0.37500000000000322</c:v>
                </c:pt>
                <c:pt idx="19">
                  <c:v>0.37500000000000322</c:v>
                </c:pt>
                <c:pt idx="20">
                  <c:v>0.36400000000000032</c:v>
                </c:pt>
                <c:pt idx="21">
                  <c:v>0.35300000000000031</c:v>
                </c:pt>
                <c:pt idx="22">
                  <c:v>0.33300000000000413</c:v>
                </c:pt>
                <c:pt idx="23">
                  <c:v>0.31000000000000238</c:v>
                </c:pt>
                <c:pt idx="24">
                  <c:v>0.30800000000000038</c:v>
                </c:pt>
                <c:pt idx="25">
                  <c:v>0.28600000000000031</c:v>
                </c:pt>
                <c:pt idx="26">
                  <c:v>0.28600000000000031</c:v>
                </c:pt>
                <c:pt idx="27">
                  <c:v>0.24200000000000021</c:v>
                </c:pt>
                <c:pt idx="28">
                  <c:v>0.23100000000000001</c:v>
                </c:pt>
                <c:pt idx="29">
                  <c:v>0.222</c:v>
                </c:pt>
                <c:pt idx="30">
                  <c:v>0.18200000000000024</c:v>
                </c:pt>
                <c:pt idx="31">
                  <c:v>0.15400000000000041</c:v>
                </c:pt>
                <c:pt idx="32">
                  <c:v>0.125</c:v>
                </c:pt>
                <c:pt idx="33">
                  <c:v>0</c:v>
                </c:pt>
                <c:pt idx="34">
                  <c:v>0</c:v>
                </c:pt>
              </c:numCache>
            </c:numRef>
          </c:val>
          <c:extLst xmlns:c16r2="http://schemas.microsoft.com/office/drawing/2015/06/chart">
            <c:ext xmlns:c16="http://schemas.microsoft.com/office/drawing/2014/chart" uri="{C3380CC4-5D6E-409C-BE32-E72D297353CC}">
              <c16:uniqueId val="{00000002-A865-4177-8391-F5106998C3AB}"/>
            </c:ext>
          </c:extLst>
        </c:ser>
        <c:ser>
          <c:idx val="1"/>
          <c:order val="1"/>
          <c:tx>
            <c:strRef>
              <c:f>Лист1!$C$1</c:f>
              <c:strCache>
                <c:ptCount val="1"/>
                <c:pt idx="0">
                  <c:v>Неудовлетворительно</c:v>
                </c:pt>
              </c:strCache>
            </c:strRef>
          </c:tx>
          <c:spPr>
            <a:solidFill>
              <a:srgbClr val="B28AB2"/>
            </a:solidFill>
            <a:ln>
              <a:noFill/>
            </a:ln>
          </c:spPr>
          <c:dLbls>
            <c:dLbl>
              <c:idx val="5"/>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A865-4177-8391-F5106998C3AB}"/>
                </c:ext>
              </c:extLst>
            </c:dLbl>
            <c:dLbl>
              <c:idx val="16"/>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A865-4177-8391-F5106998C3AB}"/>
                </c:ext>
              </c:extLst>
            </c:dLbl>
            <c:dLbl>
              <c:idx val="2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A865-4177-8391-F5106998C3AB}"/>
                </c:ext>
              </c:extLst>
            </c:dLbl>
            <c:dLbl>
              <c:idx val="26"/>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A865-4177-8391-F5106998C3AB}"/>
                </c:ext>
              </c:extLst>
            </c:dLbl>
            <c:dLbl>
              <c:idx val="3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A865-4177-8391-F5106998C3AB}"/>
                </c:ext>
              </c:extLst>
            </c:dLbl>
            <c:dLbl>
              <c:idx val="3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A865-4177-8391-F5106998C3AB}"/>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Карасукский МР</c:v>
                </c:pt>
                <c:pt idx="1">
                  <c:v>Барабинский МР</c:v>
                </c:pt>
                <c:pt idx="2">
                  <c:v>Кыштовский МР</c:v>
                </c:pt>
                <c:pt idx="3">
                  <c:v>Северный МР</c:v>
                </c:pt>
                <c:pt idx="4">
                  <c:v>Татарский МР</c:v>
                </c:pt>
                <c:pt idx="5">
                  <c:v>Усть-Таркский МР</c:v>
                </c:pt>
                <c:pt idx="6">
                  <c:v>Куйбышевский МР</c:v>
                </c:pt>
                <c:pt idx="7">
                  <c:v>Колыванский МР</c:v>
                </c:pt>
                <c:pt idx="8">
                  <c:v>Сузунский МР</c:v>
                </c:pt>
                <c:pt idx="9">
                  <c:v>Купинский МР</c:v>
                </c:pt>
                <c:pt idx="10">
                  <c:v>Венгеровский МР</c:v>
                </c:pt>
                <c:pt idx="11">
                  <c:v>Маслянинский МР</c:v>
                </c:pt>
                <c:pt idx="12">
                  <c:v>Чулымский МР</c:v>
                </c:pt>
                <c:pt idx="13">
                  <c:v>Ордынский МР</c:v>
                </c:pt>
                <c:pt idx="14">
                  <c:v>г. Искитим</c:v>
                </c:pt>
                <c:pt idx="15">
                  <c:v>г. Обь</c:v>
                </c:pt>
                <c:pt idx="16">
                  <c:v>Кочковский МР</c:v>
                </c:pt>
                <c:pt idx="17">
                  <c:v>Черепановский МР</c:v>
                </c:pt>
                <c:pt idx="18">
                  <c:v>Краснозерский МР</c:v>
                </c:pt>
                <c:pt idx="19">
                  <c:v>Тогучинский МР</c:v>
                </c:pt>
                <c:pt idx="20">
                  <c:v>Чистоозерный МР</c:v>
                </c:pt>
                <c:pt idx="21">
                  <c:v>Искитимский МР</c:v>
                </c:pt>
                <c:pt idx="22">
                  <c:v>Здвинский МР</c:v>
                </c:pt>
                <c:pt idx="23">
                  <c:v>г. Новосибирск</c:v>
                </c:pt>
                <c:pt idx="24">
                  <c:v>Болотнинский МР</c:v>
                </c:pt>
                <c:pt idx="25">
                  <c:v>Доволенский МР</c:v>
                </c:pt>
                <c:pt idx="26">
                  <c:v>Убинский МР</c:v>
                </c:pt>
                <c:pt idx="27">
                  <c:v>Чановский МР</c:v>
                </c:pt>
                <c:pt idx="28">
                  <c:v>г. Бердск</c:v>
                </c:pt>
                <c:pt idx="29">
                  <c:v>Мошковский МР</c:v>
                </c:pt>
                <c:pt idx="30">
                  <c:v>Новосибирский МР</c:v>
                </c:pt>
                <c:pt idx="31">
                  <c:v>Коченевский МР</c:v>
                </c:pt>
                <c:pt idx="32">
                  <c:v>Баганский МР</c:v>
                </c:pt>
                <c:pt idx="33">
                  <c:v>Каргатский МР</c:v>
                </c:pt>
                <c:pt idx="34">
                  <c:v>р. п. Кольцово</c:v>
                </c:pt>
              </c:strCache>
            </c:strRef>
          </c:cat>
          <c:val>
            <c:numRef>
              <c:f>Лист1!$C$2:$C$36</c:f>
              <c:numCache>
                <c:formatCode>0.0%</c:formatCode>
                <c:ptCount val="35"/>
                <c:pt idx="0">
                  <c:v>0.17600000000000021</c:v>
                </c:pt>
                <c:pt idx="1">
                  <c:v>0.21100000000000024</c:v>
                </c:pt>
                <c:pt idx="2">
                  <c:v>0.33300000000000413</c:v>
                </c:pt>
                <c:pt idx="3">
                  <c:v>0.33300000000000413</c:v>
                </c:pt>
                <c:pt idx="4">
                  <c:v>0.111</c:v>
                </c:pt>
                <c:pt idx="5">
                  <c:v>0</c:v>
                </c:pt>
                <c:pt idx="6">
                  <c:v>0.26900000000000002</c:v>
                </c:pt>
                <c:pt idx="7">
                  <c:v>0.21700000000000041</c:v>
                </c:pt>
                <c:pt idx="8">
                  <c:v>0.18800000000000044</c:v>
                </c:pt>
                <c:pt idx="9">
                  <c:v>6.7000000000000004E-2</c:v>
                </c:pt>
                <c:pt idx="10">
                  <c:v>0.14300000000000004</c:v>
                </c:pt>
                <c:pt idx="11">
                  <c:v>0.23100000000000001</c:v>
                </c:pt>
                <c:pt idx="12">
                  <c:v>0.13300000000000001</c:v>
                </c:pt>
                <c:pt idx="13">
                  <c:v>0.21100000000000024</c:v>
                </c:pt>
                <c:pt idx="14">
                  <c:v>0.14800000000000021</c:v>
                </c:pt>
                <c:pt idx="15">
                  <c:v>0.35700000000000032</c:v>
                </c:pt>
                <c:pt idx="16">
                  <c:v>0</c:v>
                </c:pt>
                <c:pt idx="17">
                  <c:v>8.3000000000000046E-2</c:v>
                </c:pt>
                <c:pt idx="18">
                  <c:v>0.125</c:v>
                </c:pt>
                <c:pt idx="19">
                  <c:v>0.16700000000000001</c:v>
                </c:pt>
                <c:pt idx="20">
                  <c:v>0.18200000000000024</c:v>
                </c:pt>
                <c:pt idx="21">
                  <c:v>0.23500000000000001</c:v>
                </c:pt>
                <c:pt idx="22">
                  <c:v>0.16700000000000001</c:v>
                </c:pt>
                <c:pt idx="23">
                  <c:v>0.11899999999999998</c:v>
                </c:pt>
                <c:pt idx="24">
                  <c:v>0</c:v>
                </c:pt>
                <c:pt idx="25">
                  <c:v>0.42900000000000038</c:v>
                </c:pt>
                <c:pt idx="26">
                  <c:v>0</c:v>
                </c:pt>
                <c:pt idx="27">
                  <c:v>6.1000000000000013E-2</c:v>
                </c:pt>
                <c:pt idx="28">
                  <c:v>0.15400000000000041</c:v>
                </c:pt>
                <c:pt idx="29">
                  <c:v>0.222</c:v>
                </c:pt>
                <c:pt idx="30">
                  <c:v>9.1000000000000025E-2</c:v>
                </c:pt>
                <c:pt idx="31">
                  <c:v>0.53800000000000003</c:v>
                </c:pt>
                <c:pt idx="32">
                  <c:v>0</c:v>
                </c:pt>
                <c:pt idx="33">
                  <c:v>0.33300000000000413</c:v>
                </c:pt>
                <c:pt idx="34">
                  <c:v>0</c:v>
                </c:pt>
              </c:numCache>
            </c:numRef>
          </c:val>
          <c:extLst xmlns:c16r2="http://schemas.microsoft.com/office/drawing/2015/06/chart">
            <c:ext xmlns:c16="http://schemas.microsoft.com/office/drawing/2014/chart" uri="{C3380CC4-5D6E-409C-BE32-E72D297353CC}">
              <c16:uniqueId val="{00000009-A865-4177-8391-F5106998C3AB}"/>
            </c:ext>
          </c:extLst>
        </c:ser>
        <c:ser>
          <c:idx val="2"/>
          <c:order val="2"/>
          <c:tx>
            <c:strRef>
              <c:f>Лист1!$D$1</c:f>
              <c:strCache>
                <c:ptCount val="1"/>
                <c:pt idx="0">
                  <c:v>Затрудняюсь ответить</c:v>
                </c:pt>
              </c:strCache>
            </c:strRef>
          </c:tx>
          <c:spPr>
            <a:solidFill>
              <a:sysClr val="window" lastClr="FFFFFF">
                <a:lumMod val="85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Карасукский МР</c:v>
                </c:pt>
                <c:pt idx="1">
                  <c:v>Барабинский МР</c:v>
                </c:pt>
                <c:pt idx="2">
                  <c:v>Кыштовский МР</c:v>
                </c:pt>
                <c:pt idx="3">
                  <c:v>Северный МР</c:v>
                </c:pt>
                <c:pt idx="4">
                  <c:v>Татарский МР</c:v>
                </c:pt>
                <c:pt idx="5">
                  <c:v>Усть-Таркский МР</c:v>
                </c:pt>
                <c:pt idx="6">
                  <c:v>Куйбышевский МР</c:v>
                </c:pt>
                <c:pt idx="7">
                  <c:v>Колыванский МР</c:v>
                </c:pt>
                <c:pt idx="8">
                  <c:v>Сузунский МР</c:v>
                </c:pt>
                <c:pt idx="9">
                  <c:v>Купинский МР</c:v>
                </c:pt>
                <c:pt idx="10">
                  <c:v>Венгеровский МР</c:v>
                </c:pt>
                <c:pt idx="11">
                  <c:v>Маслянинский МР</c:v>
                </c:pt>
                <c:pt idx="12">
                  <c:v>Чулымский МР</c:v>
                </c:pt>
                <c:pt idx="13">
                  <c:v>Ордынский МР</c:v>
                </c:pt>
                <c:pt idx="14">
                  <c:v>г. Искитим</c:v>
                </c:pt>
                <c:pt idx="15">
                  <c:v>г. Обь</c:v>
                </c:pt>
                <c:pt idx="16">
                  <c:v>Кочковский МР</c:v>
                </c:pt>
                <c:pt idx="17">
                  <c:v>Черепановский МР</c:v>
                </c:pt>
                <c:pt idx="18">
                  <c:v>Краснозерский МР</c:v>
                </c:pt>
                <c:pt idx="19">
                  <c:v>Тогучинский МР</c:v>
                </c:pt>
                <c:pt idx="20">
                  <c:v>Чистоозерный МР</c:v>
                </c:pt>
                <c:pt idx="21">
                  <c:v>Искитимский МР</c:v>
                </c:pt>
                <c:pt idx="22">
                  <c:v>Здвинский МР</c:v>
                </c:pt>
                <c:pt idx="23">
                  <c:v>г. Новосибирск</c:v>
                </c:pt>
                <c:pt idx="24">
                  <c:v>Болотнинский МР</c:v>
                </c:pt>
                <c:pt idx="25">
                  <c:v>Доволенский МР</c:v>
                </c:pt>
                <c:pt idx="26">
                  <c:v>Убинский МР</c:v>
                </c:pt>
                <c:pt idx="27">
                  <c:v>Чановский МР</c:v>
                </c:pt>
                <c:pt idx="28">
                  <c:v>г. Бердск</c:v>
                </c:pt>
                <c:pt idx="29">
                  <c:v>Мошковский МР</c:v>
                </c:pt>
                <c:pt idx="30">
                  <c:v>Новосибирский МР</c:v>
                </c:pt>
                <c:pt idx="31">
                  <c:v>Коченевский МР</c:v>
                </c:pt>
                <c:pt idx="32">
                  <c:v>Баганский МР</c:v>
                </c:pt>
                <c:pt idx="33">
                  <c:v>Каргатский МР</c:v>
                </c:pt>
                <c:pt idx="34">
                  <c:v>р. п. Кольцово</c:v>
                </c:pt>
              </c:strCache>
            </c:strRef>
          </c:cat>
          <c:val>
            <c:numRef>
              <c:f>Лист1!$D$2:$D$36</c:f>
              <c:numCache>
                <c:formatCode>0.0%</c:formatCode>
                <c:ptCount val="35"/>
                <c:pt idx="0">
                  <c:v>0.11799999999999998</c:v>
                </c:pt>
                <c:pt idx="1">
                  <c:v>0.10500000000000002</c:v>
                </c:pt>
                <c:pt idx="2">
                  <c:v>0</c:v>
                </c:pt>
                <c:pt idx="3">
                  <c:v>0</c:v>
                </c:pt>
                <c:pt idx="4">
                  <c:v>0.222</c:v>
                </c:pt>
                <c:pt idx="5">
                  <c:v>0.33300000000000413</c:v>
                </c:pt>
                <c:pt idx="6">
                  <c:v>7.6999999999999999E-2</c:v>
                </c:pt>
                <c:pt idx="7">
                  <c:v>0.13</c:v>
                </c:pt>
                <c:pt idx="8">
                  <c:v>0.18800000000000044</c:v>
                </c:pt>
                <c:pt idx="9">
                  <c:v>0.33300000000000413</c:v>
                </c:pt>
                <c:pt idx="10">
                  <c:v>0.28600000000000031</c:v>
                </c:pt>
                <c:pt idx="11">
                  <c:v>0.23100000000000001</c:v>
                </c:pt>
                <c:pt idx="12">
                  <c:v>0.33300000000000413</c:v>
                </c:pt>
                <c:pt idx="13">
                  <c:v>0.26300000000000001</c:v>
                </c:pt>
                <c:pt idx="14">
                  <c:v>0.33300000000000413</c:v>
                </c:pt>
                <c:pt idx="15">
                  <c:v>0.17900000000000021</c:v>
                </c:pt>
                <c:pt idx="16">
                  <c:v>0.57099999999999995</c:v>
                </c:pt>
                <c:pt idx="17">
                  <c:v>0.5</c:v>
                </c:pt>
                <c:pt idx="18">
                  <c:v>0.5</c:v>
                </c:pt>
                <c:pt idx="19">
                  <c:v>0.45800000000000002</c:v>
                </c:pt>
                <c:pt idx="20">
                  <c:v>0.45500000000000002</c:v>
                </c:pt>
                <c:pt idx="21">
                  <c:v>0.41200000000000031</c:v>
                </c:pt>
                <c:pt idx="22">
                  <c:v>0.5</c:v>
                </c:pt>
                <c:pt idx="23">
                  <c:v>0.57099999999999995</c:v>
                </c:pt>
                <c:pt idx="24">
                  <c:v>0.69199999999999995</c:v>
                </c:pt>
                <c:pt idx="25">
                  <c:v>0.28600000000000031</c:v>
                </c:pt>
                <c:pt idx="26">
                  <c:v>0.71400000000000063</c:v>
                </c:pt>
                <c:pt idx="27">
                  <c:v>0.69699999999999995</c:v>
                </c:pt>
                <c:pt idx="28">
                  <c:v>0.61500000000000365</c:v>
                </c:pt>
                <c:pt idx="29">
                  <c:v>0.55600000000000005</c:v>
                </c:pt>
                <c:pt idx="30">
                  <c:v>0.72700000000000065</c:v>
                </c:pt>
                <c:pt idx="31">
                  <c:v>0.30800000000000038</c:v>
                </c:pt>
                <c:pt idx="32">
                  <c:v>0.87500000000000655</c:v>
                </c:pt>
                <c:pt idx="33">
                  <c:v>0.66700000000000825</c:v>
                </c:pt>
                <c:pt idx="34">
                  <c:v>1</c:v>
                </c:pt>
              </c:numCache>
            </c:numRef>
          </c:val>
          <c:extLst xmlns:c16r2="http://schemas.microsoft.com/office/drawing/2015/06/chart">
            <c:ext xmlns:c16="http://schemas.microsoft.com/office/drawing/2014/chart" uri="{C3380CC4-5D6E-409C-BE32-E72D297353CC}">
              <c16:uniqueId val="{0000000A-A865-4177-8391-F5106998C3AB}"/>
            </c:ext>
          </c:extLst>
        </c:ser>
        <c:overlap val="100"/>
        <c:axId val="122355072"/>
        <c:axId val="124134528"/>
      </c:barChart>
      <c:catAx>
        <c:axId val="122355072"/>
        <c:scaling>
          <c:orientation val="maxMin"/>
        </c:scaling>
        <c:axPos val="l"/>
        <c:numFmt formatCode="General" sourceLinked="1"/>
        <c:tickLblPos val="nextTo"/>
        <c:crossAx val="124134528"/>
        <c:crosses val="autoZero"/>
        <c:auto val="1"/>
        <c:lblAlgn val="ctr"/>
        <c:lblOffset val="100"/>
      </c:catAx>
      <c:valAx>
        <c:axId val="124134528"/>
        <c:scaling>
          <c:orientation val="minMax"/>
          <c:max val="1"/>
          <c:min val="0"/>
        </c:scaling>
        <c:axPos val="t"/>
        <c:majorGridlines/>
        <c:numFmt formatCode="0.0%" sourceLinked="1"/>
        <c:tickLblPos val="nextTo"/>
        <c:crossAx val="122355072"/>
        <c:crosses val="autoZero"/>
        <c:crossBetween val="between"/>
        <c:majorUnit val="0.2"/>
      </c:valAx>
      <c:spPr>
        <a:noFill/>
        <a:ln>
          <a:solidFill>
            <a:schemeClr val="accent1"/>
          </a:solidFill>
        </a:ln>
      </c:spPr>
    </c:plotArea>
    <c:legend>
      <c:legendPos val="t"/>
    </c:legend>
    <c:plotVisOnly val="1"/>
    <c:dispBlanksAs val="gap"/>
  </c:chart>
  <c:spPr>
    <a:ln>
      <a:noFill/>
    </a:ln>
  </c:spPr>
  <c:txPr>
    <a:bodyPr/>
    <a:lstStyle/>
    <a:p>
      <a:pPr>
        <a:defRPr>
          <a:latin typeface="Arial Narrow" panose="020B0606020202030204" pitchFamily="34" charset="0"/>
        </a:defRPr>
      </a:pPr>
      <a:endParaRPr lang="ru-RU"/>
    </a:p>
  </c:txPr>
  <c:externalData r:id="rId2"/>
</c:chartSpace>
</file>

<file path=word/charts/chart37.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53788398054790731"/>
          <c:y val="0.10441952518814471"/>
          <c:w val="0.56247747142788462"/>
          <c:h val="0.88381946258129163"/>
        </c:manualLayout>
      </c:layout>
      <c:barChart>
        <c:barDir val="bar"/>
        <c:grouping val="stacked"/>
        <c:ser>
          <c:idx val="0"/>
          <c:order val="0"/>
          <c:tx>
            <c:strRef>
              <c:f>Лист1!$B$1</c:f>
              <c:strCache>
                <c:ptCount val="1"/>
                <c:pt idx="0">
                  <c:v>Удовлетворительно</c:v>
                </c:pt>
              </c:strCache>
            </c:strRef>
          </c:tx>
          <c:spPr>
            <a:solidFill>
              <a:srgbClr val="ED7D31">
                <a:lumMod val="40000"/>
                <a:lumOff val="60000"/>
              </a:srgbClr>
            </a:solidFill>
          </c:spPr>
          <c:dLbls>
            <c:dLbl>
              <c:idx val="10"/>
              <c:layout>
                <c:manualLayout>
                  <c:x val="9.9324592769171605E-3"/>
                  <c:y val="2.3523876734885909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3F1E-4992-B95D-A6BA102D9C46}"/>
                </c:ext>
              </c:extLst>
            </c:dLbl>
            <c:dLbl>
              <c:idx val="1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3F1E-4992-B95D-A6BA102D9C46}"/>
                </c:ext>
              </c:extLst>
            </c:dLbl>
            <c:dLbl>
              <c:idx val="1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3F1E-4992-B95D-A6BA102D9C46}"/>
                </c:ext>
              </c:extLst>
            </c:dLbl>
            <c:spPr>
              <a:noFill/>
              <a:ln>
                <a:no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ЖКХ</c:v>
                </c:pt>
                <c:pt idx="1">
                  <c:v>Розничная торговля</c:v>
                </c:pt>
                <c:pt idx="2">
                  <c:v>Рынок развития, производства, переработки и хранения с‎\х продукции</c:v>
                </c:pt>
                <c:pt idx="3">
                  <c:v>Рынок медицинских услуг</c:v>
                </c:pt>
                <c:pt idx="4">
                  <c:v>Рынок услуг в сфере культуры</c:v>
                </c:pt>
                <c:pt idx="5">
                  <c:v>Рынок услуг дополнительного образования детей</c:v>
                </c:pt>
                <c:pt idx="6">
                  <c:v>Рынок услуг социального обслуживания населения</c:v>
                </c:pt>
                <c:pt idx="7">
                  <c:v>Рынок услуг по сбору, сортировке и переработке твердых коммунальных (бытовых) отходов</c:v>
                </c:pt>
                <c:pt idx="8">
                  <c:v>Рынок услуг психолого-педагогического сопровождения детей с ограниченными возможностями здоровья</c:v>
                </c:pt>
                <c:pt idx="9">
                  <c:v>Рынок услуг связи</c:v>
                </c:pt>
                <c:pt idx="10">
                  <c:v>Рынок услуг перевозок пассажиров наземным транспортом</c:v>
                </c:pt>
                <c:pt idx="11">
                  <c:v>Рынок услуг дошкольного образования</c:v>
                </c:pt>
                <c:pt idx="12">
                  <c:v>Рынок услуг детского отдыха и оздоровления</c:v>
                </c:pt>
              </c:strCache>
            </c:strRef>
          </c:cat>
          <c:val>
            <c:numRef>
              <c:f>Лист1!$B$2:$B$14</c:f>
              <c:numCache>
                <c:formatCode>0.0%</c:formatCode>
                <c:ptCount val="13"/>
                <c:pt idx="0">
                  <c:v>0.38600000000000373</c:v>
                </c:pt>
                <c:pt idx="1">
                  <c:v>0.32800000000000373</c:v>
                </c:pt>
                <c:pt idx="2">
                  <c:v>0.30000000000000032</c:v>
                </c:pt>
                <c:pt idx="3">
                  <c:v>0.27100000000000002</c:v>
                </c:pt>
                <c:pt idx="4">
                  <c:v>0.24000000000000021</c:v>
                </c:pt>
                <c:pt idx="5">
                  <c:v>0.2</c:v>
                </c:pt>
                <c:pt idx="6">
                  <c:v>0.2</c:v>
                </c:pt>
                <c:pt idx="7">
                  <c:v>0.2</c:v>
                </c:pt>
                <c:pt idx="8">
                  <c:v>0.16</c:v>
                </c:pt>
                <c:pt idx="9">
                  <c:v>0.16</c:v>
                </c:pt>
                <c:pt idx="10">
                  <c:v>3.3000000000000002E-2</c:v>
                </c:pt>
                <c:pt idx="11">
                  <c:v>0</c:v>
                </c:pt>
                <c:pt idx="12">
                  <c:v>0</c:v>
                </c:pt>
              </c:numCache>
            </c:numRef>
          </c:val>
          <c:extLst xmlns:c16r2="http://schemas.microsoft.com/office/drawing/2015/06/chart">
            <c:ext xmlns:c16="http://schemas.microsoft.com/office/drawing/2014/chart" uri="{C3380CC4-5D6E-409C-BE32-E72D297353CC}">
              <c16:uniqueId val="{00000003-3F1E-4992-B95D-A6BA102D9C46}"/>
            </c:ext>
          </c:extLst>
        </c:ser>
        <c:ser>
          <c:idx val="1"/>
          <c:order val="1"/>
          <c:tx>
            <c:strRef>
              <c:f>Лист1!$C$1</c:f>
              <c:strCache>
                <c:ptCount val="1"/>
                <c:pt idx="0">
                  <c:v>Неудовлетворительно</c:v>
                </c:pt>
              </c:strCache>
            </c:strRef>
          </c:tx>
          <c:spPr>
            <a:solidFill>
              <a:srgbClr val="B28AB2"/>
            </a:solidFill>
            <a:ln>
              <a:noFill/>
            </a:ln>
          </c:spPr>
          <c:dLbls>
            <c:dLbl>
              <c:idx val="0"/>
              <c:layout>
                <c:manualLayout>
                  <c:x val="2.383790226460112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3F1E-4992-B95D-A6BA102D9C46}"/>
                </c:ext>
              </c:extLst>
            </c:dLbl>
            <c:dLbl>
              <c:idx val="3"/>
              <c:layout>
                <c:manualLayout>
                  <c:x val="1.7878426698450463E-2"/>
                  <c:y val="4.3126609145024611E-1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3F1E-4992-B95D-A6BA102D9C46}"/>
                </c:ext>
              </c:extLst>
            </c:dLbl>
            <c:dLbl>
              <c:idx val="4"/>
              <c:layout>
                <c:manualLayout>
                  <c:x val="2.1851410409217717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3F1E-4992-B95D-A6BA102D9C46}"/>
                </c:ext>
              </c:extLst>
            </c:dLbl>
            <c:dLbl>
              <c:idx val="8"/>
              <c:layout>
                <c:manualLayout>
                  <c:x val="2.383790226460112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3F1E-4992-B95D-A6BA102D9C46}"/>
                </c:ext>
              </c:extLst>
            </c:dLbl>
            <c:dLbl>
              <c:idx val="9"/>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3F1E-4992-B95D-A6BA102D9C46}"/>
                </c:ext>
              </c:extLst>
            </c:dLbl>
            <c:dLbl>
              <c:idx val="10"/>
              <c:layout>
                <c:manualLayout>
                  <c:x val="2.7810885975367652E-2"/>
                  <c:y val="2.3523876734885909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3F1E-4992-B95D-A6BA102D9C46}"/>
                </c:ext>
              </c:extLst>
            </c:dLbl>
            <c:dLbl>
              <c:idx val="1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3F1E-4992-B95D-A6BA102D9C46}"/>
                </c:ext>
              </c:extLst>
            </c:dLbl>
            <c:dLbl>
              <c:idx val="1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3F1E-4992-B95D-A6BA102D9C46}"/>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ЖКХ</c:v>
                </c:pt>
                <c:pt idx="1">
                  <c:v>Розничная торговля</c:v>
                </c:pt>
                <c:pt idx="2">
                  <c:v>Рынок развития, производства, переработки и хранения с‎\х продукции</c:v>
                </c:pt>
                <c:pt idx="3">
                  <c:v>Рынок медицинских услуг</c:v>
                </c:pt>
                <c:pt idx="4">
                  <c:v>Рынок услуг в сфере культуры</c:v>
                </c:pt>
                <c:pt idx="5">
                  <c:v>Рынок услуг дополнительного образования детей</c:v>
                </c:pt>
                <c:pt idx="6">
                  <c:v>Рынок услуг социального обслуживания населения</c:v>
                </c:pt>
                <c:pt idx="7">
                  <c:v>Рынок услуг по сбору, сортировке и переработке твердых коммунальных (бытовых) отходов</c:v>
                </c:pt>
                <c:pt idx="8">
                  <c:v>Рынок услуг психолого-педагогического сопровождения детей с ограниченными возможностями здоровья</c:v>
                </c:pt>
                <c:pt idx="9">
                  <c:v>Рынок услуг связи</c:v>
                </c:pt>
                <c:pt idx="10">
                  <c:v>Рынок услуг перевозок пассажиров наземным транспортом</c:v>
                </c:pt>
                <c:pt idx="11">
                  <c:v>Рынок услуг дошкольного образования</c:v>
                </c:pt>
                <c:pt idx="12">
                  <c:v>Рынок услуг детского отдыха и оздоровления</c:v>
                </c:pt>
              </c:strCache>
            </c:strRef>
          </c:cat>
          <c:val>
            <c:numRef>
              <c:f>Лист1!$C$2:$C$14</c:f>
              <c:numCache>
                <c:formatCode>0.0%</c:formatCode>
                <c:ptCount val="13"/>
                <c:pt idx="0">
                  <c:v>4.3000000000000003E-2</c:v>
                </c:pt>
                <c:pt idx="1">
                  <c:v>0.15000000000000024</c:v>
                </c:pt>
                <c:pt idx="2">
                  <c:v>0.12000000000000002</c:v>
                </c:pt>
                <c:pt idx="3">
                  <c:v>5.7000000000000023E-2</c:v>
                </c:pt>
                <c:pt idx="4">
                  <c:v>4.0000000000000022E-2</c:v>
                </c:pt>
                <c:pt idx="5">
                  <c:v>0.12000000000000002</c:v>
                </c:pt>
                <c:pt idx="6">
                  <c:v>8.0000000000000043E-2</c:v>
                </c:pt>
                <c:pt idx="7">
                  <c:v>0.2</c:v>
                </c:pt>
                <c:pt idx="8">
                  <c:v>4.0000000000000022E-2</c:v>
                </c:pt>
                <c:pt idx="9">
                  <c:v>0</c:v>
                </c:pt>
                <c:pt idx="10">
                  <c:v>6.7000000000000004E-2</c:v>
                </c:pt>
                <c:pt idx="11">
                  <c:v>0</c:v>
                </c:pt>
                <c:pt idx="12">
                  <c:v>0</c:v>
                </c:pt>
              </c:numCache>
            </c:numRef>
          </c:val>
          <c:extLst xmlns:c16r2="http://schemas.microsoft.com/office/drawing/2015/06/chart">
            <c:ext xmlns:c16="http://schemas.microsoft.com/office/drawing/2014/chart" uri="{C3380CC4-5D6E-409C-BE32-E72D297353CC}">
              <c16:uniqueId val="{0000000C-3F1E-4992-B95D-A6BA102D9C46}"/>
            </c:ext>
          </c:extLst>
        </c:ser>
        <c:ser>
          <c:idx val="2"/>
          <c:order val="2"/>
          <c:tx>
            <c:strRef>
              <c:f>Лист1!$D$1</c:f>
              <c:strCache>
                <c:ptCount val="1"/>
                <c:pt idx="0">
                  <c:v>Затрудняюсь ответить</c:v>
                </c:pt>
              </c:strCache>
            </c:strRef>
          </c:tx>
          <c:spPr>
            <a:solidFill>
              <a:sysClr val="window" lastClr="FFFFFF">
                <a:lumMod val="85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ЖКХ</c:v>
                </c:pt>
                <c:pt idx="1">
                  <c:v>Розничная торговля</c:v>
                </c:pt>
                <c:pt idx="2">
                  <c:v>Рынок развития, производства, переработки и хранения с‎\х продукции</c:v>
                </c:pt>
                <c:pt idx="3">
                  <c:v>Рынок медицинских услуг</c:v>
                </c:pt>
                <c:pt idx="4">
                  <c:v>Рынок услуг в сфере культуры</c:v>
                </c:pt>
                <c:pt idx="5">
                  <c:v>Рынок услуг дополнительного образования детей</c:v>
                </c:pt>
                <c:pt idx="6">
                  <c:v>Рынок услуг социального обслуживания населения</c:v>
                </c:pt>
                <c:pt idx="7">
                  <c:v>Рынок услуг по сбору, сортировке и переработке твердых коммунальных (бытовых) отходов</c:v>
                </c:pt>
                <c:pt idx="8">
                  <c:v>Рынок услуг психолого-педагогического сопровождения детей с ограниченными возможностями здоровья</c:v>
                </c:pt>
                <c:pt idx="9">
                  <c:v>Рынок услуг связи</c:v>
                </c:pt>
                <c:pt idx="10">
                  <c:v>Рынок услуг перевозок пассажиров наземным транспортом</c:v>
                </c:pt>
                <c:pt idx="11">
                  <c:v>Рынок услуг дошкольного образования</c:v>
                </c:pt>
                <c:pt idx="12">
                  <c:v>Рынок услуг детского отдыха и оздоровления</c:v>
                </c:pt>
              </c:strCache>
            </c:strRef>
          </c:cat>
          <c:val>
            <c:numRef>
              <c:f>Лист1!$D$2:$D$14</c:f>
              <c:numCache>
                <c:formatCode>0.0%</c:formatCode>
                <c:ptCount val="13"/>
                <c:pt idx="0">
                  <c:v>0.57099999999999995</c:v>
                </c:pt>
                <c:pt idx="1">
                  <c:v>0.52200000000000002</c:v>
                </c:pt>
                <c:pt idx="2">
                  <c:v>0.58000000000000007</c:v>
                </c:pt>
                <c:pt idx="3">
                  <c:v>0.6710000000000087</c:v>
                </c:pt>
                <c:pt idx="4">
                  <c:v>0.72000000000000064</c:v>
                </c:pt>
                <c:pt idx="5">
                  <c:v>0.68</c:v>
                </c:pt>
                <c:pt idx="6">
                  <c:v>0.72000000000000064</c:v>
                </c:pt>
                <c:pt idx="7">
                  <c:v>0.60000000000000064</c:v>
                </c:pt>
                <c:pt idx="8">
                  <c:v>0.8</c:v>
                </c:pt>
                <c:pt idx="9">
                  <c:v>0.84000000000000064</c:v>
                </c:pt>
                <c:pt idx="10">
                  <c:v>0.9</c:v>
                </c:pt>
                <c:pt idx="11">
                  <c:v>1</c:v>
                </c:pt>
                <c:pt idx="12">
                  <c:v>1</c:v>
                </c:pt>
              </c:numCache>
            </c:numRef>
          </c:val>
          <c:extLst xmlns:c16r2="http://schemas.microsoft.com/office/drawing/2015/06/chart">
            <c:ext xmlns:c16="http://schemas.microsoft.com/office/drawing/2014/chart" uri="{C3380CC4-5D6E-409C-BE32-E72D297353CC}">
              <c16:uniqueId val="{0000000D-3F1E-4992-B95D-A6BA102D9C46}"/>
            </c:ext>
          </c:extLst>
        </c:ser>
        <c:overlap val="100"/>
        <c:axId val="124678912"/>
        <c:axId val="124680448"/>
      </c:barChart>
      <c:catAx>
        <c:axId val="124678912"/>
        <c:scaling>
          <c:orientation val="maxMin"/>
        </c:scaling>
        <c:axPos val="l"/>
        <c:numFmt formatCode="General" sourceLinked="1"/>
        <c:tickLblPos val="nextTo"/>
        <c:crossAx val="124680448"/>
        <c:crosses val="autoZero"/>
        <c:auto val="1"/>
        <c:lblAlgn val="ctr"/>
        <c:lblOffset val="100"/>
      </c:catAx>
      <c:valAx>
        <c:axId val="124680448"/>
        <c:scaling>
          <c:orientation val="minMax"/>
          <c:max val="1"/>
          <c:min val="0"/>
        </c:scaling>
        <c:axPos val="t"/>
        <c:majorGridlines/>
        <c:numFmt formatCode="0.0%" sourceLinked="1"/>
        <c:tickLblPos val="nextTo"/>
        <c:txPr>
          <a:bodyPr/>
          <a:lstStyle/>
          <a:p>
            <a:pPr>
              <a:defRPr sz="600"/>
            </a:pPr>
            <a:endParaRPr lang="ru-RU"/>
          </a:p>
        </c:txPr>
        <c:crossAx val="124678912"/>
        <c:crosses val="autoZero"/>
        <c:crossBetween val="between"/>
        <c:majorUnit val="0.2"/>
      </c:valAx>
      <c:spPr>
        <a:noFill/>
        <a:ln>
          <a:solidFill>
            <a:schemeClr val="accent1"/>
          </a:solidFill>
        </a:ln>
      </c:spPr>
    </c:plotArea>
    <c:legend>
      <c:legendPos val="t"/>
    </c:legend>
    <c:plotVisOnly val="1"/>
    <c:dispBlanksAs val="gap"/>
  </c:chart>
  <c:spPr>
    <a:ln>
      <a:noFill/>
    </a:ln>
  </c:spPr>
  <c:txPr>
    <a:bodyPr/>
    <a:lstStyle/>
    <a:p>
      <a:pPr>
        <a:defRPr>
          <a:latin typeface="Arial Narrow" panose="020B0606020202030204" pitchFamily="34" charset="0"/>
        </a:defRPr>
      </a:pPr>
      <a:endParaRPr lang="ru-RU"/>
    </a:p>
  </c:txPr>
  <c:externalData r:id="rId2"/>
</c:chartSpace>
</file>

<file path=word/charts/chart38.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27650257804892092"/>
          <c:y val="0.18964318074503581"/>
          <c:w val="0.68250275481088496"/>
          <c:h val="0.79660345333657756"/>
        </c:manualLayout>
      </c:layout>
      <c:barChart>
        <c:barDir val="bar"/>
        <c:grouping val="stacked"/>
        <c:ser>
          <c:idx val="0"/>
          <c:order val="0"/>
          <c:tx>
            <c:strRef>
              <c:f>Лист1!$B$1</c:f>
              <c:strCache>
                <c:ptCount val="1"/>
                <c:pt idx="0">
                  <c:v>Удовлетворительно</c:v>
                </c:pt>
              </c:strCache>
            </c:strRef>
          </c:tx>
          <c:spPr>
            <a:solidFill>
              <a:srgbClr val="ED7D31">
                <a:lumMod val="40000"/>
                <a:lumOff val="60000"/>
              </a:srgbClr>
            </a:solidFill>
          </c:spPr>
          <c:dLbls>
            <c:spPr>
              <a:noFill/>
              <a:ln>
                <a:no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среднее предприятие</c:v>
                </c:pt>
                <c:pt idx="1">
                  <c:v>малое предприятие</c:v>
                </c:pt>
              </c:strCache>
            </c:strRef>
          </c:cat>
          <c:val>
            <c:numRef>
              <c:f>Лист1!$B$2:$B$3</c:f>
              <c:numCache>
                <c:formatCode>0.0%</c:formatCode>
                <c:ptCount val="2"/>
                <c:pt idx="0">
                  <c:v>0.18200000000000024</c:v>
                </c:pt>
                <c:pt idx="1">
                  <c:v>0.29400000000000032</c:v>
                </c:pt>
              </c:numCache>
            </c:numRef>
          </c:val>
          <c:extLst xmlns:c16r2="http://schemas.microsoft.com/office/drawing/2015/06/chart">
            <c:ext xmlns:c16="http://schemas.microsoft.com/office/drawing/2014/chart" uri="{C3380CC4-5D6E-409C-BE32-E72D297353CC}">
              <c16:uniqueId val="{00000000-37DC-4760-9D22-622CFB66A248}"/>
            </c:ext>
          </c:extLst>
        </c:ser>
        <c:ser>
          <c:idx val="1"/>
          <c:order val="1"/>
          <c:tx>
            <c:strRef>
              <c:f>Лист1!$C$1</c:f>
              <c:strCache>
                <c:ptCount val="1"/>
                <c:pt idx="0">
                  <c:v>Неудовлетворительно</c:v>
                </c:pt>
              </c:strCache>
            </c:strRef>
          </c:tx>
          <c:spPr>
            <a:solidFill>
              <a:srgbClr val="B28AB2"/>
            </a:solidFill>
            <a:ln>
              <a:noFill/>
            </a:ln>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среднее предприятие</c:v>
                </c:pt>
                <c:pt idx="1">
                  <c:v>малое предприятие</c:v>
                </c:pt>
              </c:strCache>
            </c:strRef>
          </c:cat>
          <c:val>
            <c:numRef>
              <c:f>Лист1!$C$2:$C$3</c:f>
              <c:numCache>
                <c:formatCode>0.0%</c:formatCode>
                <c:ptCount val="2"/>
                <c:pt idx="0">
                  <c:v>0.36400000000000032</c:v>
                </c:pt>
                <c:pt idx="1">
                  <c:v>0.14400000000000004</c:v>
                </c:pt>
              </c:numCache>
            </c:numRef>
          </c:val>
          <c:extLst xmlns:c16r2="http://schemas.microsoft.com/office/drawing/2015/06/chart">
            <c:ext xmlns:c16="http://schemas.microsoft.com/office/drawing/2014/chart" uri="{C3380CC4-5D6E-409C-BE32-E72D297353CC}">
              <c16:uniqueId val="{00000001-37DC-4760-9D22-622CFB66A248}"/>
            </c:ext>
          </c:extLst>
        </c:ser>
        <c:ser>
          <c:idx val="2"/>
          <c:order val="2"/>
          <c:tx>
            <c:strRef>
              <c:f>Лист1!$D$1</c:f>
              <c:strCache>
                <c:ptCount val="1"/>
                <c:pt idx="0">
                  <c:v>Затрудняюсь ответить</c:v>
                </c:pt>
              </c:strCache>
            </c:strRef>
          </c:tx>
          <c:spPr>
            <a:solidFill>
              <a:sysClr val="window" lastClr="FFFFFF">
                <a:lumMod val="85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среднее предприятие</c:v>
                </c:pt>
                <c:pt idx="1">
                  <c:v>малое предприятие</c:v>
                </c:pt>
              </c:strCache>
            </c:strRef>
          </c:cat>
          <c:val>
            <c:numRef>
              <c:f>Лист1!$D$2:$D$3</c:f>
              <c:numCache>
                <c:formatCode>0.0%</c:formatCode>
                <c:ptCount val="2"/>
                <c:pt idx="0">
                  <c:v>0.45500000000000002</c:v>
                </c:pt>
                <c:pt idx="1">
                  <c:v>0.56200000000000061</c:v>
                </c:pt>
              </c:numCache>
            </c:numRef>
          </c:val>
          <c:extLst xmlns:c16r2="http://schemas.microsoft.com/office/drawing/2015/06/chart">
            <c:ext xmlns:c16="http://schemas.microsoft.com/office/drawing/2014/chart" uri="{C3380CC4-5D6E-409C-BE32-E72D297353CC}">
              <c16:uniqueId val="{00000002-37DC-4760-9D22-622CFB66A248}"/>
            </c:ext>
          </c:extLst>
        </c:ser>
        <c:overlap val="100"/>
        <c:axId val="125515264"/>
        <c:axId val="125516800"/>
      </c:barChart>
      <c:catAx>
        <c:axId val="125515264"/>
        <c:scaling>
          <c:orientation val="maxMin"/>
        </c:scaling>
        <c:axPos val="l"/>
        <c:numFmt formatCode="General" sourceLinked="1"/>
        <c:tickLblPos val="nextTo"/>
        <c:crossAx val="125516800"/>
        <c:crosses val="autoZero"/>
        <c:auto val="1"/>
        <c:lblAlgn val="ctr"/>
        <c:lblOffset val="100"/>
      </c:catAx>
      <c:valAx>
        <c:axId val="125516800"/>
        <c:scaling>
          <c:orientation val="minMax"/>
          <c:max val="1"/>
          <c:min val="0"/>
        </c:scaling>
        <c:delete val="1"/>
        <c:axPos val="t"/>
        <c:majorGridlines/>
        <c:numFmt formatCode="0.0%" sourceLinked="1"/>
        <c:tickLblPos val="none"/>
        <c:crossAx val="125515264"/>
        <c:crosses val="autoZero"/>
        <c:crossBetween val="between"/>
        <c:majorUnit val="0.2"/>
      </c:valAx>
      <c:spPr>
        <a:noFill/>
        <a:ln>
          <a:solidFill>
            <a:schemeClr val="accent1"/>
          </a:solidFill>
        </a:ln>
      </c:spPr>
    </c:plotArea>
    <c:legend>
      <c:legendPos val="t"/>
    </c:legend>
    <c:plotVisOnly val="1"/>
    <c:dispBlanksAs val="gap"/>
  </c:chart>
  <c:spPr>
    <a:ln>
      <a:noFill/>
    </a:ln>
  </c:spPr>
  <c:txPr>
    <a:bodyPr/>
    <a:lstStyle/>
    <a:p>
      <a:pPr>
        <a:defRPr>
          <a:latin typeface="Arial Narrow" panose="020B0606020202030204" pitchFamily="34" charset="0"/>
        </a:defRPr>
      </a:pPr>
      <a:endParaRPr lang="ru-RU"/>
    </a:p>
  </c:txPr>
</c:chartSpace>
</file>

<file path=word/charts/chart39.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27650257804892092"/>
          <c:y val="7.4255224134304909E-2"/>
          <c:w val="0.68250275481088496"/>
          <c:h val="0.91752053496057262"/>
        </c:manualLayout>
      </c:layout>
      <c:barChart>
        <c:barDir val="bar"/>
        <c:grouping val="stacked"/>
        <c:ser>
          <c:idx val="0"/>
          <c:order val="0"/>
          <c:tx>
            <c:strRef>
              <c:f>Лист1!$B$1</c:f>
              <c:strCache>
                <c:ptCount val="1"/>
                <c:pt idx="0">
                  <c:v>Удовлетворительно</c:v>
                </c:pt>
              </c:strCache>
            </c:strRef>
          </c:tx>
          <c:spPr>
            <a:solidFill>
              <a:srgbClr val="ED7D31">
                <a:lumMod val="40000"/>
                <a:lumOff val="60000"/>
              </a:srgbClr>
            </a:solidFill>
          </c:spPr>
          <c:dLbls>
            <c:dLbl>
              <c:idx val="3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B93F-4BD4-988F-4020DA1CB551}"/>
                </c:ext>
              </c:extLst>
            </c:dLbl>
            <c:dLbl>
              <c:idx val="3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B93F-4BD4-988F-4020DA1CB551}"/>
                </c:ext>
              </c:extLst>
            </c:dLbl>
            <c:dLbl>
              <c:idx val="3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B93F-4BD4-988F-4020DA1CB551}"/>
                </c:ext>
              </c:extLst>
            </c:dLbl>
            <c:dLbl>
              <c:idx val="3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B93F-4BD4-988F-4020DA1CB551}"/>
                </c:ext>
              </c:extLst>
            </c:dLbl>
            <c:spPr>
              <a:noFill/>
              <a:ln>
                <a:no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Карасукский МР</c:v>
                </c:pt>
                <c:pt idx="1">
                  <c:v>Колыванский МР</c:v>
                </c:pt>
                <c:pt idx="2">
                  <c:v>Венгеровский МР</c:v>
                </c:pt>
                <c:pt idx="3">
                  <c:v>Куйбышевский МР</c:v>
                </c:pt>
                <c:pt idx="4">
                  <c:v>Чулымский МР</c:v>
                </c:pt>
                <c:pt idx="5">
                  <c:v>Северный МР</c:v>
                </c:pt>
                <c:pt idx="6">
                  <c:v>Сузунский МР</c:v>
                </c:pt>
                <c:pt idx="7">
                  <c:v>Татарский МР</c:v>
                </c:pt>
                <c:pt idx="8">
                  <c:v>г. Искитим</c:v>
                </c:pt>
                <c:pt idx="9">
                  <c:v>Барабинский МР</c:v>
                </c:pt>
                <c:pt idx="10">
                  <c:v>г. Обь</c:v>
                </c:pt>
                <c:pt idx="11">
                  <c:v>Маслянинский МР</c:v>
                </c:pt>
                <c:pt idx="12">
                  <c:v>Ордынский МР</c:v>
                </c:pt>
                <c:pt idx="13">
                  <c:v>Усть-Таркский МР</c:v>
                </c:pt>
                <c:pt idx="14">
                  <c:v>Черепановский МР</c:v>
                </c:pt>
                <c:pt idx="15">
                  <c:v>Доволенский МР</c:v>
                </c:pt>
                <c:pt idx="16">
                  <c:v>Убинский МР</c:v>
                </c:pt>
                <c:pt idx="17">
                  <c:v>г. Новосибирск</c:v>
                </c:pt>
                <c:pt idx="18">
                  <c:v>Чистоозерный МР</c:v>
                </c:pt>
                <c:pt idx="19">
                  <c:v>Искитимский МР</c:v>
                </c:pt>
                <c:pt idx="20">
                  <c:v>Болотнинский МР</c:v>
                </c:pt>
                <c:pt idx="21">
                  <c:v>г. Бердск</c:v>
                </c:pt>
                <c:pt idx="22">
                  <c:v>Новосибирский МР</c:v>
                </c:pt>
                <c:pt idx="23">
                  <c:v>Здвинский МР</c:v>
                </c:pt>
                <c:pt idx="24">
                  <c:v>Кыштовский МР</c:v>
                </c:pt>
                <c:pt idx="25">
                  <c:v>Коченевский МР</c:v>
                </c:pt>
                <c:pt idx="26">
                  <c:v>Кочковский МР</c:v>
                </c:pt>
                <c:pt idx="27">
                  <c:v>Баганский МР</c:v>
                </c:pt>
                <c:pt idx="28">
                  <c:v>Чановский МР</c:v>
                </c:pt>
                <c:pt idx="29">
                  <c:v>Мошковский МР</c:v>
                </c:pt>
                <c:pt idx="30">
                  <c:v>Купинский МР</c:v>
                </c:pt>
                <c:pt idx="31">
                  <c:v>Каргатский МР</c:v>
                </c:pt>
                <c:pt idx="32">
                  <c:v>Краснозерский МР</c:v>
                </c:pt>
                <c:pt idx="33">
                  <c:v>р. п. Кольцово</c:v>
                </c:pt>
                <c:pt idx="34">
                  <c:v>Тогучинский МР</c:v>
                </c:pt>
              </c:strCache>
            </c:strRef>
          </c:cat>
          <c:val>
            <c:numRef>
              <c:f>Лист1!$B$2:$B$36</c:f>
              <c:numCache>
                <c:formatCode>0.0%</c:formatCode>
                <c:ptCount val="35"/>
                <c:pt idx="0">
                  <c:v>0.64700000000000724</c:v>
                </c:pt>
                <c:pt idx="1">
                  <c:v>0.60900000000000065</c:v>
                </c:pt>
                <c:pt idx="2">
                  <c:v>0.57099999999999995</c:v>
                </c:pt>
                <c:pt idx="3">
                  <c:v>0.53800000000000003</c:v>
                </c:pt>
                <c:pt idx="4">
                  <c:v>0.53300000000000003</c:v>
                </c:pt>
                <c:pt idx="5">
                  <c:v>0.5</c:v>
                </c:pt>
                <c:pt idx="6">
                  <c:v>0.5</c:v>
                </c:pt>
                <c:pt idx="7">
                  <c:v>0.5</c:v>
                </c:pt>
                <c:pt idx="8">
                  <c:v>0.49100000000000038</c:v>
                </c:pt>
                <c:pt idx="9">
                  <c:v>0.47400000000000031</c:v>
                </c:pt>
                <c:pt idx="10">
                  <c:v>0.46400000000000002</c:v>
                </c:pt>
                <c:pt idx="11">
                  <c:v>0.46200000000000002</c:v>
                </c:pt>
                <c:pt idx="12">
                  <c:v>0.36800000000000038</c:v>
                </c:pt>
                <c:pt idx="13">
                  <c:v>0.33300000000000413</c:v>
                </c:pt>
                <c:pt idx="14">
                  <c:v>0.30600000000000038</c:v>
                </c:pt>
                <c:pt idx="15">
                  <c:v>0.28600000000000031</c:v>
                </c:pt>
                <c:pt idx="16">
                  <c:v>0.28600000000000031</c:v>
                </c:pt>
                <c:pt idx="17">
                  <c:v>0.27700000000000002</c:v>
                </c:pt>
                <c:pt idx="18">
                  <c:v>0.27300000000000002</c:v>
                </c:pt>
                <c:pt idx="19">
                  <c:v>0.23500000000000001</c:v>
                </c:pt>
                <c:pt idx="20">
                  <c:v>0.23100000000000001</c:v>
                </c:pt>
                <c:pt idx="21">
                  <c:v>0.20500000000000004</c:v>
                </c:pt>
                <c:pt idx="22">
                  <c:v>0.18200000000000024</c:v>
                </c:pt>
                <c:pt idx="23">
                  <c:v>0.16700000000000001</c:v>
                </c:pt>
                <c:pt idx="24">
                  <c:v>0.16700000000000001</c:v>
                </c:pt>
                <c:pt idx="25">
                  <c:v>0.15400000000000041</c:v>
                </c:pt>
                <c:pt idx="26">
                  <c:v>0.14300000000000004</c:v>
                </c:pt>
                <c:pt idx="27">
                  <c:v>0.125</c:v>
                </c:pt>
                <c:pt idx="28">
                  <c:v>0.12100000000000002</c:v>
                </c:pt>
                <c:pt idx="29">
                  <c:v>0.111</c:v>
                </c:pt>
                <c:pt idx="30">
                  <c:v>6.7000000000000004E-2</c:v>
                </c:pt>
                <c:pt idx="31">
                  <c:v>0</c:v>
                </c:pt>
                <c:pt idx="32">
                  <c:v>0</c:v>
                </c:pt>
                <c:pt idx="33">
                  <c:v>0</c:v>
                </c:pt>
                <c:pt idx="34">
                  <c:v>0</c:v>
                </c:pt>
              </c:numCache>
            </c:numRef>
          </c:val>
          <c:extLst xmlns:c16r2="http://schemas.microsoft.com/office/drawing/2015/06/chart">
            <c:ext xmlns:c16="http://schemas.microsoft.com/office/drawing/2014/chart" uri="{C3380CC4-5D6E-409C-BE32-E72D297353CC}">
              <c16:uniqueId val="{00000004-B93F-4BD4-988F-4020DA1CB551}"/>
            </c:ext>
          </c:extLst>
        </c:ser>
        <c:ser>
          <c:idx val="1"/>
          <c:order val="1"/>
          <c:tx>
            <c:strRef>
              <c:f>Лист1!$C$1</c:f>
              <c:strCache>
                <c:ptCount val="1"/>
                <c:pt idx="0">
                  <c:v>Неудовлетворительно</c:v>
                </c:pt>
              </c:strCache>
            </c:strRef>
          </c:tx>
          <c:spPr>
            <a:solidFill>
              <a:srgbClr val="B28AB2"/>
            </a:solidFill>
            <a:ln>
              <a:noFill/>
            </a:ln>
          </c:spPr>
          <c:dLbls>
            <c:dLbl>
              <c:idx val="16"/>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B93F-4BD4-988F-4020DA1CB551}"/>
                </c:ext>
              </c:extLst>
            </c:dLbl>
            <c:dLbl>
              <c:idx val="2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F4E1-4DC3-95E4-016F07E54FC5}"/>
                </c:ext>
              </c:extLst>
            </c:dLbl>
            <c:dLbl>
              <c:idx val="2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B93F-4BD4-988F-4020DA1CB551}"/>
                </c:ext>
              </c:extLst>
            </c:dLbl>
            <c:dLbl>
              <c:idx val="26"/>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B93F-4BD4-988F-4020DA1CB551}"/>
                </c:ext>
              </c:extLst>
            </c:dLbl>
            <c:dLbl>
              <c:idx val="27"/>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B93F-4BD4-988F-4020DA1CB551}"/>
                </c:ext>
              </c:extLst>
            </c:dLbl>
            <c:dLbl>
              <c:idx val="3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B93F-4BD4-988F-4020DA1CB551}"/>
                </c:ext>
              </c:extLst>
            </c:dLbl>
            <c:dLbl>
              <c:idx val="3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B93F-4BD4-988F-4020DA1CB551}"/>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Карасукский МР</c:v>
                </c:pt>
                <c:pt idx="1">
                  <c:v>Колыванский МР</c:v>
                </c:pt>
                <c:pt idx="2">
                  <c:v>Венгеровский МР</c:v>
                </c:pt>
                <c:pt idx="3">
                  <c:v>Куйбышевский МР</c:v>
                </c:pt>
                <c:pt idx="4">
                  <c:v>Чулымский МР</c:v>
                </c:pt>
                <c:pt idx="5">
                  <c:v>Северный МР</c:v>
                </c:pt>
                <c:pt idx="6">
                  <c:v>Сузунский МР</c:v>
                </c:pt>
                <c:pt idx="7">
                  <c:v>Татарский МР</c:v>
                </c:pt>
                <c:pt idx="8">
                  <c:v>г. Искитим</c:v>
                </c:pt>
                <c:pt idx="9">
                  <c:v>Барабинский МР</c:v>
                </c:pt>
                <c:pt idx="10">
                  <c:v>г. Обь</c:v>
                </c:pt>
                <c:pt idx="11">
                  <c:v>Маслянинский МР</c:v>
                </c:pt>
                <c:pt idx="12">
                  <c:v>Ордынский МР</c:v>
                </c:pt>
                <c:pt idx="13">
                  <c:v>Усть-Таркский МР</c:v>
                </c:pt>
                <c:pt idx="14">
                  <c:v>Черепановский МР</c:v>
                </c:pt>
                <c:pt idx="15">
                  <c:v>Доволенский МР</c:v>
                </c:pt>
                <c:pt idx="16">
                  <c:v>Убинский МР</c:v>
                </c:pt>
                <c:pt idx="17">
                  <c:v>г. Новосибирск</c:v>
                </c:pt>
                <c:pt idx="18">
                  <c:v>Чистоозерный МР</c:v>
                </c:pt>
                <c:pt idx="19">
                  <c:v>Искитимский МР</c:v>
                </c:pt>
                <c:pt idx="20">
                  <c:v>Болотнинский МР</c:v>
                </c:pt>
                <c:pt idx="21">
                  <c:v>г. Бердск</c:v>
                </c:pt>
                <c:pt idx="22">
                  <c:v>Новосибирский МР</c:v>
                </c:pt>
                <c:pt idx="23">
                  <c:v>Здвинский МР</c:v>
                </c:pt>
                <c:pt idx="24">
                  <c:v>Кыштовский МР</c:v>
                </c:pt>
                <c:pt idx="25">
                  <c:v>Коченевский МР</c:v>
                </c:pt>
                <c:pt idx="26">
                  <c:v>Кочковский МР</c:v>
                </c:pt>
                <c:pt idx="27">
                  <c:v>Баганский МР</c:v>
                </c:pt>
                <c:pt idx="28">
                  <c:v>Чановский МР</c:v>
                </c:pt>
                <c:pt idx="29">
                  <c:v>Мошковский МР</c:v>
                </c:pt>
                <c:pt idx="30">
                  <c:v>Купинский МР</c:v>
                </c:pt>
                <c:pt idx="31">
                  <c:v>Каргатский МР</c:v>
                </c:pt>
                <c:pt idx="32">
                  <c:v>Краснозерский МР</c:v>
                </c:pt>
                <c:pt idx="33">
                  <c:v>р. п. Кольцово</c:v>
                </c:pt>
                <c:pt idx="34">
                  <c:v>Тогучинский МР</c:v>
                </c:pt>
              </c:strCache>
            </c:strRef>
          </c:cat>
          <c:val>
            <c:numRef>
              <c:f>Лист1!$C$2:$C$36</c:f>
              <c:numCache>
                <c:formatCode>0.0%</c:formatCode>
                <c:ptCount val="35"/>
                <c:pt idx="0">
                  <c:v>0.17600000000000021</c:v>
                </c:pt>
                <c:pt idx="1">
                  <c:v>0.30400000000000038</c:v>
                </c:pt>
                <c:pt idx="2">
                  <c:v>0.14300000000000004</c:v>
                </c:pt>
                <c:pt idx="3">
                  <c:v>0.38500000000000362</c:v>
                </c:pt>
                <c:pt idx="4">
                  <c:v>0.13300000000000001</c:v>
                </c:pt>
                <c:pt idx="5">
                  <c:v>0.33300000000000413</c:v>
                </c:pt>
                <c:pt idx="6">
                  <c:v>0.18800000000000044</c:v>
                </c:pt>
                <c:pt idx="7">
                  <c:v>0.16700000000000001</c:v>
                </c:pt>
                <c:pt idx="8">
                  <c:v>0.18900000000000144</c:v>
                </c:pt>
                <c:pt idx="9">
                  <c:v>0.31600000000000328</c:v>
                </c:pt>
                <c:pt idx="10">
                  <c:v>0.35700000000000032</c:v>
                </c:pt>
                <c:pt idx="11">
                  <c:v>0.30800000000000038</c:v>
                </c:pt>
                <c:pt idx="12">
                  <c:v>0.36800000000000038</c:v>
                </c:pt>
                <c:pt idx="13">
                  <c:v>0.16700000000000001</c:v>
                </c:pt>
                <c:pt idx="14">
                  <c:v>0.19400000000000001</c:v>
                </c:pt>
                <c:pt idx="15">
                  <c:v>0.28600000000000031</c:v>
                </c:pt>
                <c:pt idx="16">
                  <c:v>0</c:v>
                </c:pt>
                <c:pt idx="17">
                  <c:v>0.12100000000000002</c:v>
                </c:pt>
                <c:pt idx="18">
                  <c:v>9.1000000000000025E-2</c:v>
                </c:pt>
                <c:pt idx="19">
                  <c:v>0.17600000000000021</c:v>
                </c:pt>
                <c:pt idx="20">
                  <c:v>0</c:v>
                </c:pt>
                <c:pt idx="21">
                  <c:v>0.17900000000000021</c:v>
                </c:pt>
                <c:pt idx="22">
                  <c:v>9.1000000000000025E-2</c:v>
                </c:pt>
                <c:pt idx="23">
                  <c:v>0</c:v>
                </c:pt>
                <c:pt idx="24">
                  <c:v>0.16700000000000001</c:v>
                </c:pt>
                <c:pt idx="25">
                  <c:v>0.46200000000000002</c:v>
                </c:pt>
                <c:pt idx="26">
                  <c:v>0</c:v>
                </c:pt>
                <c:pt idx="27">
                  <c:v>0</c:v>
                </c:pt>
                <c:pt idx="28">
                  <c:v>6.1000000000000013E-2</c:v>
                </c:pt>
                <c:pt idx="29">
                  <c:v>0.222</c:v>
                </c:pt>
                <c:pt idx="30">
                  <c:v>6.7000000000000004E-2</c:v>
                </c:pt>
                <c:pt idx="31">
                  <c:v>0.33300000000000413</c:v>
                </c:pt>
                <c:pt idx="32">
                  <c:v>0</c:v>
                </c:pt>
                <c:pt idx="33">
                  <c:v>0</c:v>
                </c:pt>
                <c:pt idx="34">
                  <c:v>0.16700000000000001</c:v>
                </c:pt>
              </c:numCache>
            </c:numRef>
          </c:val>
          <c:extLst xmlns:c16r2="http://schemas.microsoft.com/office/drawing/2015/06/chart">
            <c:ext xmlns:c16="http://schemas.microsoft.com/office/drawing/2014/chart" uri="{C3380CC4-5D6E-409C-BE32-E72D297353CC}">
              <c16:uniqueId val="{0000000B-B93F-4BD4-988F-4020DA1CB551}"/>
            </c:ext>
          </c:extLst>
        </c:ser>
        <c:ser>
          <c:idx val="2"/>
          <c:order val="2"/>
          <c:tx>
            <c:strRef>
              <c:f>Лист1!$D$1</c:f>
              <c:strCache>
                <c:ptCount val="1"/>
                <c:pt idx="0">
                  <c:v>Затрудняюсь ответить</c:v>
                </c:pt>
              </c:strCache>
            </c:strRef>
          </c:tx>
          <c:spPr>
            <a:solidFill>
              <a:sysClr val="window" lastClr="FFFFFF">
                <a:lumMod val="85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Карасукский МР</c:v>
                </c:pt>
                <c:pt idx="1">
                  <c:v>Колыванский МР</c:v>
                </c:pt>
                <c:pt idx="2">
                  <c:v>Венгеровский МР</c:v>
                </c:pt>
                <c:pt idx="3">
                  <c:v>Куйбышевский МР</c:v>
                </c:pt>
                <c:pt idx="4">
                  <c:v>Чулымский МР</c:v>
                </c:pt>
                <c:pt idx="5">
                  <c:v>Северный МР</c:v>
                </c:pt>
                <c:pt idx="6">
                  <c:v>Сузунский МР</c:v>
                </c:pt>
                <c:pt idx="7">
                  <c:v>Татарский МР</c:v>
                </c:pt>
                <c:pt idx="8">
                  <c:v>г. Искитим</c:v>
                </c:pt>
                <c:pt idx="9">
                  <c:v>Барабинский МР</c:v>
                </c:pt>
                <c:pt idx="10">
                  <c:v>г. Обь</c:v>
                </c:pt>
                <c:pt idx="11">
                  <c:v>Маслянинский МР</c:v>
                </c:pt>
                <c:pt idx="12">
                  <c:v>Ордынский МР</c:v>
                </c:pt>
                <c:pt idx="13">
                  <c:v>Усть-Таркский МР</c:v>
                </c:pt>
                <c:pt idx="14">
                  <c:v>Черепановский МР</c:v>
                </c:pt>
                <c:pt idx="15">
                  <c:v>Доволенский МР</c:v>
                </c:pt>
                <c:pt idx="16">
                  <c:v>Убинский МР</c:v>
                </c:pt>
                <c:pt idx="17">
                  <c:v>г. Новосибирск</c:v>
                </c:pt>
                <c:pt idx="18">
                  <c:v>Чистоозерный МР</c:v>
                </c:pt>
                <c:pt idx="19">
                  <c:v>Искитимский МР</c:v>
                </c:pt>
                <c:pt idx="20">
                  <c:v>Болотнинский МР</c:v>
                </c:pt>
                <c:pt idx="21">
                  <c:v>г. Бердск</c:v>
                </c:pt>
                <c:pt idx="22">
                  <c:v>Новосибирский МР</c:v>
                </c:pt>
                <c:pt idx="23">
                  <c:v>Здвинский МР</c:v>
                </c:pt>
                <c:pt idx="24">
                  <c:v>Кыштовский МР</c:v>
                </c:pt>
                <c:pt idx="25">
                  <c:v>Коченевский МР</c:v>
                </c:pt>
                <c:pt idx="26">
                  <c:v>Кочковский МР</c:v>
                </c:pt>
                <c:pt idx="27">
                  <c:v>Баганский МР</c:v>
                </c:pt>
                <c:pt idx="28">
                  <c:v>Чановский МР</c:v>
                </c:pt>
                <c:pt idx="29">
                  <c:v>Мошковский МР</c:v>
                </c:pt>
                <c:pt idx="30">
                  <c:v>Купинский МР</c:v>
                </c:pt>
                <c:pt idx="31">
                  <c:v>Каргатский МР</c:v>
                </c:pt>
                <c:pt idx="32">
                  <c:v>Краснозерский МР</c:v>
                </c:pt>
                <c:pt idx="33">
                  <c:v>р. п. Кольцово</c:v>
                </c:pt>
                <c:pt idx="34">
                  <c:v>Тогучинский МР</c:v>
                </c:pt>
              </c:strCache>
            </c:strRef>
          </c:cat>
          <c:val>
            <c:numRef>
              <c:f>Лист1!$D$2:$D$36</c:f>
              <c:numCache>
                <c:formatCode>0.0%</c:formatCode>
                <c:ptCount val="35"/>
                <c:pt idx="0">
                  <c:v>0.17600000000000021</c:v>
                </c:pt>
                <c:pt idx="1">
                  <c:v>8.7000000000000022E-2</c:v>
                </c:pt>
                <c:pt idx="2">
                  <c:v>0.28600000000000031</c:v>
                </c:pt>
                <c:pt idx="3">
                  <c:v>7.6999999999999999E-2</c:v>
                </c:pt>
                <c:pt idx="4">
                  <c:v>0.33300000000000413</c:v>
                </c:pt>
                <c:pt idx="5">
                  <c:v>0.16700000000000001</c:v>
                </c:pt>
                <c:pt idx="6">
                  <c:v>0.31300000000000322</c:v>
                </c:pt>
                <c:pt idx="7">
                  <c:v>0.33300000000000413</c:v>
                </c:pt>
                <c:pt idx="8">
                  <c:v>0.32100000000000362</c:v>
                </c:pt>
                <c:pt idx="9">
                  <c:v>0.21100000000000024</c:v>
                </c:pt>
                <c:pt idx="10">
                  <c:v>0.17900000000000021</c:v>
                </c:pt>
                <c:pt idx="11">
                  <c:v>0.23100000000000001</c:v>
                </c:pt>
                <c:pt idx="12">
                  <c:v>0.26300000000000001</c:v>
                </c:pt>
                <c:pt idx="13">
                  <c:v>0.5</c:v>
                </c:pt>
                <c:pt idx="14">
                  <c:v>0.5</c:v>
                </c:pt>
                <c:pt idx="15">
                  <c:v>0.42900000000000038</c:v>
                </c:pt>
                <c:pt idx="16">
                  <c:v>0.71400000000000063</c:v>
                </c:pt>
                <c:pt idx="17">
                  <c:v>0.60200000000000065</c:v>
                </c:pt>
                <c:pt idx="18">
                  <c:v>0.63600000000000723</c:v>
                </c:pt>
                <c:pt idx="19">
                  <c:v>0.58799999999999997</c:v>
                </c:pt>
                <c:pt idx="20">
                  <c:v>0.76900000000000723</c:v>
                </c:pt>
                <c:pt idx="21">
                  <c:v>0.61500000000000365</c:v>
                </c:pt>
                <c:pt idx="22">
                  <c:v>0.72700000000000065</c:v>
                </c:pt>
                <c:pt idx="23">
                  <c:v>0.83300000000000063</c:v>
                </c:pt>
                <c:pt idx="24">
                  <c:v>0.66700000000000825</c:v>
                </c:pt>
                <c:pt idx="25">
                  <c:v>0.38500000000000362</c:v>
                </c:pt>
                <c:pt idx="26">
                  <c:v>0.85700000000000065</c:v>
                </c:pt>
                <c:pt idx="27">
                  <c:v>0.87500000000000655</c:v>
                </c:pt>
                <c:pt idx="28">
                  <c:v>0.81799999999999995</c:v>
                </c:pt>
                <c:pt idx="29">
                  <c:v>0.66700000000000825</c:v>
                </c:pt>
                <c:pt idx="30">
                  <c:v>0.86700000000000643</c:v>
                </c:pt>
                <c:pt idx="31">
                  <c:v>0.66700000000000825</c:v>
                </c:pt>
                <c:pt idx="32">
                  <c:v>1</c:v>
                </c:pt>
                <c:pt idx="33">
                  <c:v>1</c:v>
                </c:pt>
                <c:pt idx="34">
                  <c:v>0.83300000000000063</c:v>
                </c:pt>
              </c:numCache>
            </c:numRef>
          </c:val>
          <c:extLst xmlns:c16r2="http://schemas.microsoft.com/office/drawing/2015/06/chart">
            <c:ext xmlns:c16="http://schemas.microsoft.com/office/drawing/2014/chart" uri="{C3380CC4-5D6E-409C-BE32-E72D297353CC}">
              <c16:uniqueId val="{0000000C-B93F-4BD4-988F-4020DA1CB551}"/>
            </c:ext>
          </c:extLst>
        </c:ser>
        <c:overlap val="100"/>
        <c:axId val="126950016"/>
        <c:axId val="126968192"/>
      </c:barChart>
      <c:catAx>
        <c:axId val="126950016"/>
        <c:scaling>
          <c:orientation val="maxMin"/>
        </c:scaling>
        <c:axPos val="l"/>
        <c:numFmt formatCode="General" sourceLinked="1"/>
        <c:tickLblPos val="nextTo"/>
        <c:crossAx val="126968192"/>
        <c:crosses val="autoZero"/>
        <c:auto val="1"/>
        <c:lblAlgn val="ctr"/>
        <c:lblOffset val="100"/>
      </c:catAx>
      <c:valAx>
        <c:axId val="126968192"/>
        <c:scaling>
          <c:orientation val="minMax"/>
          <c:max val="1"/>
          <c:min val="0"/>
        </c:scaling>
        <c:axPos val="t"/>
        <c:majorGridlines/>
        <c:numFmt formatCode="0.0%" sourceLinked="1"/>
        <c:tickLblPos val="nextTo"/>
        <c:crossAx val="126950016"/>
        <c:crosses val="autoZero"/>
        <c:crossBetween val="between"/>
        <c:majorUnit val="0.2"/>
      </c:valAx>
      <c:spPr>
        <a:noFill/>
        <a:ln>
          <a:solidFill>
            <a:schemeClr val="accent1"/>
          </a:solidFill>
        </a:ln>
      </c:spPr>
    </c:plotArea>
    <c:legend>
      <c:legendPos val="t"/>
    </c:legend>
    <c:plotVisOnly val="1"/>
    <c:dispBlanksAs val="gap"/>
  </c:chart>
  <c:spPr>
    <a:ln>
      <a:noFill/>
    </a:ln>
  </c:spPr>
  <c:txPr>
    <a:bodyPr/>
    <a:lstStyle/>
    <a:p>
      <a:pPr>
        <a:defRPr>
          <a:latin typeface="Arial Narrow" panose="020B0606020202030204" pitchFamily="34" charset="0"/>
        </a:defRPr>
      </a:pPr>
      <a:endParaRPr lang="ru-RU"/>
    </a:p>
  </c:txPr>
  <c:externalData r:id="rId2"/>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27650257804892092"/>
          <c:y val="4.6212323031355564E-2"/>
          <c:w val="0.68250275481088496"/>
          <c:h val="0.94003394650615135"/>
        </c:manualLayout>
      </c:layout>
      <c:barChart>
        <c:barDir val="bar"/>
        <c:grouping val="stacked"/>
        <c:ser>
          <c:idx val="0"/>
          <c:order val="0"/>
          <c:tx>
            <c:strRef>
              <c:f>Лист1!$B$1</c:f>
              <c:strCache>
                <c:ptCount val="1"/>
                <c:pt idx="0">
                  <c:v>Удовлетворительно</c:v>
                </c:pt>
              </c:strCache>
            </c:strRef>
          </c:tx>
          <c:spPr>
            <a:solidFill>
              <a:srgbClr val="FFCC99"/>
            </a:solidFill>
          </c:spPr>
          <c:dLbls>
            <c:dLbl>
              <c:idx val="3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F559-4262-84F8-880A341FE966}"/>
                </c:ext>
              </c:extLst>
            </c:dLbl>
            <c:spPr>
              <a:noFill/>
              <a:ln>
                <a:noFill/>
              </a:ln>
              <a:effectLst/>
            </c:spPr>
            <c:txPr>
              <a:bodyPr/>
              <a:lstStyle/>
              <a:p>
                <a:pPr>
                  <a:defRPr sz="800">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Болотнинский МР</c:v>
                </c:pt>
                <c:pt idx="1">
                  <c:v>Колыванский МР</c:v>
                </c:pt>
                <c:pt idx="2">
                  <c:v>г. Обь</c:v>
                </c:pt>
                <c:pt idx="3">
                  <c:v>Здвинский МР</c:v>
                </c:pt>
                <c:pt idx="4">
                  <c:v>Усть-Таркский МР</c:v>
                </c:pt>
                <c:pt idx="5">
                  <c:v>Карасукский МР</c:v>
                </c:pt>
                <c:pt idx="6">
                  <c:v>Чулымский МР</c:v>
                </c:pt>
                <c:pt idx="7">
                  <c:v>Черепановский МР</c:v>
                </c:pt>
                <c:pt idx="8">
                  <c:v>Кочковский МР</c:v>
                </c:pt>
                <c:pt idx="9">
                  <c:v>Татарский МР</c:v>
                </c:pt>
                <c:pt idx="10">
                  <c:v>г. Искитим</c:v>
                </c:pt>
                <c:pt idx="11">
                  <c:v>Куйбышевский МР</c:v>
                </c:pt>
                <c:pt idx="12">
                  <c:v>Баганский МР</c:v>
                </c:pt>
                <c:pt idx="13">
                  <c:v>Чистоозерный МР</c:v>
                </c:pt>
                <c:pt idx="14">
                  <c:v>г. Новосибирск</c:v>
                </c:pt>
                <c:pt idx="15">
                  <c:v>Мошковский МР</c:v>
                </c:pt>
                <c:pt idx="16">
                  <c:v>Северный МР</c:v>
                </c:pt>
                <c:pt idx="17">
                  <c:v>Купинский МР</c:v>
                </c:pt>
                <c:pt idx="18">
                  <c:v>Кыштовский МР</c:v>
                </c:pt>
                <c:pt idx="19">
                  <c:v>Ордынский МР</c:v>
                </c:pt>
                <c:pt idx="20">
                  <c:v>г. Бердск</c:v>
                </c:pt>
                <c:pt idx="21">
                  <c:v>Тогучинский МР</c:v>
                </c:pt>
                <c:pt idx="22">
                  <c:v>Венгеровский МР</c:v>
                </c:pt>
                <c:pt idx="23">
                  <c:v>Барабинский МР</c:v>
                </c:pt>
                <c:pt idx="24">
                  <c:v>р. п. Кольцово</c:v>
                </c:pt>
                <c:pt idx="25">
                  <c:v>Коченевский МР</c:v>
                </c:pt>
                <c:pt idx="26">
                  <c:v>Маслянинский МР</c:v>
                </c:pt>
                <c:pt idx="27">
                  <c:v>Сузунский МР</c:v>
                </c:pt>
                <c:pt idx="28">
                  <c:v>Каргатский МР</c:v>
                </c:pt>
                <c:pt idx="29">
                  <c:v>Убинский МР</c:v>
                </c:pt>
                <c:pt idx="30">
                  <c:v>Чановский МР</c:v>
                </c:pt>
                <c:pt idx="31">
                  <c:v>Искитимский МР</c:v>
                </c:pt>
                <c:pt idx="32">
                  <c:v>Новосибирский МР</c:v>
                </c:pt>
                <c:pt idx="33">
                  <c:v>Доволенский МР</c:v>
                </c:pt>
              </c:strCache>
            </c:strRef>
          </c:cat>
          <c:val>
            <c:numRef>
              <c:f>Лист1!$B$2:$B$35</c:f>
              <c:numCache>
                <c:formatCode>0.0%</c:formatCode>
                <c:ptCount val="34"/>
                <c:pt idx="0">
                  <c:v>0.61500000000000365</c:v>
                </c:pt>
                <c:pt idx="1">
                  <c:v>0.52200000000000002</c:v>
                </c:pt>
                <c:pt idx="2">
                  <c:v>0.5</c:v>
                </c:pt>
                <c:pt idx="3">
                  <c:v>0.5</c:v>
                </c:pt>
                <c:pt idx="4">
                  <c:v>0.5</c:v>
                </c:pt>
                <c:pt idx="5">
                  <c:v>0.47100000000000031</c:v>
                </c:pt>
                <c:pt idx="6">
                  <c:v>0.46700000000000008</c:v>
                </c:pt>
                <c:pt idx="7">
                  <c:v>0.44400000000000001</c:v>
                </c:pt>
                <c:pt idx="8">
                  <c:v>0.42900000000000038</c:v>
                </c:pt>
                <c:pt idx="9">
                  <c:v>0.38900000000000362</c:v>
                </c:pt>
                <c:pt idx="10">
                  <c:v>0.39600000000000413</c:v>
                </c:pt>
                <c:pt idx="11">
                  <c:v>0.38500000000000362</c:v>
                </c:pt>
                <c:pt idx="12">
                  <c:v>0.37500000000000322</c:v>
                </c:pt>
                <c:pt idx="13">
                  <c:v>0.36400000000000032</c:v>
                </c:pt>
                <c:pt idx="14">
                  <c:v>0.34900000000000031</c:v>
                </c:pt>
                <c:pt idx="15">
                  <c:v>0.33300000000000413</c:v>
                </c:pt>
                <c:pt idx="16">
                  <c:v>0.33300000000000413</c:v>
                </c:pt>
                <c:pt idx="17">
                  <c:v>0.33300000000000413</c:v>
                </c:pt>
                <c:pt idx="18">
                  <c:v>0.33300000000000413</c:v>
                </c:pt>
                <c:pt idx="19">
                  <c:v>0.31600000000000328</c:v>
                </c:pt>
                <c:pt idx="20">
                  <c:v>0.30800000000000038</c:v>
                </c:pt>
                <c:pt idx="21">
                  <c:v>0.29200000000000031</c:v>
                </c:pt>
                <c:pt idx="22">
                  <c:v>0.28600000000000031</c:v>
                </c:pt>
                <c:pt idx="23">
                  <c:v>0.26300000000000001</c:v>
                </c:pt>
                <c:pt idx="24">
                  <c:v>0.25</c:v>
                </c:pt>
                <c:pt idx="25">
                  <c:v>0.23100000000000001</c:v>
                </c:pt>
                <c:pt idx="26">
                  <c:v>0.23100000000000001</c:v>
                </c:pt>
                <c:pt idx="27">
                  <c:v>0.18800000000000044</c:v>
                </c:pt>
                <c:pt idx="28">
                  <c:v>0.16700000000000001</c:v>
                </c:pt>
                <c:pt idx="29">
                  <c:v>0.14300000000000004</c:v>
                </c:pt>
                <c:pt idx="30">
                  <c:v>0.12100000000000002</c:v>
                </c:pt>
                <c:pt idx="31">
                  <c:v>0.11799999999999998</c:v>
                </c:pt>
                <c:pt idx="32">
                  <c:v>9.1000000000000025E-2</c:v>
                </c:pt>
                <c:pt idx="33">
                  <c:v>0</c:v>
                </c:pt>
              </c:numCache>
            </c:numRef>
          </c:val>
          <c:extLst xmlns:c16r2="http://schemas.microsoft.com/office/drawing/2015/06/chart">
            <c:ext xmlns:c16="http://schemas.microsoft.com/office/drawing/2014/chart" uri="{C3380CC4-5D6E-409C-BE32-E72D297353CC}">
              <c16:uniqueId val="{00000001-F559-4262-84F8-880A341FE966}"/>
            </c:ext>
          </c:extLst>
        </c:ser>
        <c:ser>
          <c:idx val="1"/>
          <c:order val="1"/>
          <c:tx>
            <c:strRef>
              <c:f>Лист1!$C$1</c:f>
              <c:strCache>
                <c:ptCount val="1"/>
                <c:pt idx="0">
                  <c:v>Неудовлетворительно</c:v>
                </c:pt>
              </c:strCache>
            </c:strRef>
          </c:tx>
          <c:spPr>
            <a:solidFill>
              <a:srgbClr val="B28AB2"/>
            </a:solidFill>
            <a:ln>
              <a:noFill/>
            </a:ln>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Болотнинский МР</c:v>
                </c:pt>
                <c:pt idx="1">
                  <c:v>Колыванский МР</c:v>
                </c:pt>
                <c:pt idx="2">
                  <c:v>г. Обь</c:v>
                </c:pt>
                <c:pt idx="3">
                  <c:v>Здвинский МР</c:v>
                </c:pt>
                <c:pt idx="4">
                  <c:v>Усть-Таркский МР</c:v>
                </c:pt>
                <c:pt idx="5">
                  <c:v>Карасукский МР</c:v>
                </c:pt>
                <c:pt idx="6">
                  <c:v>Чулымский МР</c:v>
                </c:pt>
                <c:pt idx="7">
                  <c:v>Черепановский МР</c:v>
                </c:pt>
                <c:pt idx="8">
                  <c:v>Кочковский МР</c:v>
                </c:pt>
                <c:pt idx="9">
                  <c:v>Татарский МР</c:v>
                </c:pt>
                <c:pt idx="10">
                  <c:v>г. Искитим</c:v>
                </c:pt>
                <c:pt idx="11">
                  <c:v>Куйбышевский МР</c:v>
                </c:pt>
                <c:pt idx="12">
                  <c:v>Баганский МР</c:v>
                </c:pt>
                <c:pt idx="13">
                  <c:v>Чистоозерный МР</c:v>
                </c:pt>
                <c:pt idx="14">
                  <c:v>г. Новосибирск</c:v>
                </c:pt>
                <c:pt idx="15">
                  <c:v>Мошковский МР</c:v>
                </c:pt>
                <c:pt idx="16">
                  <c:v>Северный МР</c:v>
                </c:pt>
                <c:pt idx="17">
                  <c:v>Купинский МР</c:v>
                </c:pt>
                <c:pt idx="18">
                  <c:v>Кыштовский МР</c:v>
                </c:pt>
                <c:pt idx="19">
                  <c:v>Ордынский МР</c:v>
                </c:pt>
                <c:pt idx="20">
                  <c:v>г. Бердск</c:v>
                </c:pt>
                <c:pt idx="21">
                  <c:v>Тогучинский МР</c:v>
                </c:pt>
                <c:pt idx="22">
                  <c:v>Венгеровский МР</c:v>
                </c:pt>
                <c:pt idx="23">
                  <c:v>Барабинский МР</c:v>
                </c:pt>
                <c:pt idx="24">
                  <c:v>р. п. Кольцово</c:v>
                </c:pt>
                <c:pt idx="25">
                  <c:v>Коченевский МР</c:v>
                </c:pt>
                <c:pt idx="26">
                  <c:v>Маслянинский МР</c:v>
                </c:pt>
                <c:pt idx="27">
                  <c:v>Сузунский МР</c:v>
                </c:pt>
                <c:pt idx="28">
                  <c:v>Каргатский МР</c:v>
                </c:pt>
                <c:pt idx="29">
                  <c:v>Убинский МР</c:v>
                </c:pt>
                <c:pt idx="30">
                  <c:v>Чановский МР</c:v>
                </c:pt>
                <c:pt idx="31">
                  <c:v>Искитимский МР</c:v>
                </c:pt>
                <c:pt idx="32">
                  <c:v>Новосибирский МР</c:v>
                </c:pt>
                <c:pt idx="33">
                  <c:v>Доволенский МР</c:v>
                </c:pt>
              </c:strCache>
            </c:strRef>
          </c:cat>
          <c:val>
            <c:numRef>
              <c:f>Лист1!$C$2:$C$35</c:f>
              <c:numCache>
                <c:formatCode>0.0%</c:formatCode>
                <c:ptCount val="34"/>
                <c:pt idx="0">
                  <c:v>0.38500000000000362</c:v>
                </c:pt>
                <c:pt idx="1">
                  <c:v>0.39100000000000368</c:v>
                </c:pt>
                <c:pt idx="2">
                  <c:v>0.32100000000000362</c:v>
                </c:pt>
                <c:pt idx="3">
                  <c:v>0.33300000000000413</c:v>
                </c:pt>
                <c:pt idx="4">
                  <c:v>0.33300000000000413</c:v>
                </c:pt>
                <c:pt idx="5">
                  <c:v>0.47100000000000031</c:v>
                </c:pt>
                <c:pt idx="6">
                  <c:v>0.53300000000000003</c:v>
                </c:pt>
                <c:pt idx="7">
                  <c:v>0.55600000000000005</c:v>
                </c:pt>
                <c:pt idx="8">
                  <c:v>0.57099999999999995</c:v>
                </c:pt>
                <c:pt idx="9">
                  <c:v>0.44400000000000001</c:v>
                </c:pt>
                <c:pt idx="10">
                  <c:v>0.45300000000000001</c:v>
                </c:pt>
                <c:pt idx="11">
                  <c:v>0.5</c:v>
                </c:pt>
                <c:pt idx="12">
                  <c:v>0.5</c:v>
                </c:pt>
                <c:pt idx="13">
                  <c:v>0.54500000000000004</c:v>
                </c:pt>
                <c:pt idx="14">
                  <c:v>0.38100000000000356</c:v>
                </c:pt>
                <c:pt idx="15">
                  <c:v>0.44400000000000001</c:v>
                </c:pt>
                <c:pt idx="16">
                  <c:v>0.66700000000000825</c:v>
                </c:pt>
                <c:pt idx="17">
                  <c:v>0.66700000000000825</c:v>
                </c:pt>
                <c:pt idx="18">
                  <c:v>0.5</c:v>
                </c:pt>
                <c:pt idx="19">
                  <c:v>0.63200000000000722</c:v>
                </c:pt>
                <c:pt idx="20">
                  <c:v>0.64100000000000723</c:v>
                </c:pt>
                <c:pt idx="21">
                  <c:v>0.62500000000000655</c:v>
                </c:pt>
                <c:pt idx="22">
                  <c:v>0.57099999999999995</c:v>
                </c:pt>
                <c:pt idx="23">
                  <c:v>0.68400000000000005</c:v>
                </c:pt>
                <c:pt idx="24">
                  <c:v>0.62500000000000655</c:v>
                </c:pt>
                <c:pt idx="25">
                  <c:v>0.69199999999999995</c:v>
                </c:pt>
                <c:pt idx="26">
                  <c:v>0.53800000000000003</c:v>
                </c:pt>
                <c:pt idx="27">
                  <c:v>0.68799999999999994</c:v>
                </c:pt>
                <c:pt idx="28">
                  <c:v>0.83300000000000063</c:v>
                </c:pt>
                <c:pt idx="29">
                  <c:v>0.57099999999999995</c:v>
                </c:pt>
                <c:pt idx="30">
                  <c:v>0.69699999999999995</c:v>
                </c:pt>
                <c:pt idx="31">
                  <c:v>0.58799999999999997</c:v>
                </c:pt>
                <c:pt idx="32">
                  <c:v>0.54500000000000004</c:v>
                </c:pt>
                <c:pt idx="33">
                  <c:v>0.85700000000000065</c:v>
                </c:pt>
              </c:numCache>
            </c:numRef>
          </c:val>
          <c:extLst xmlns:c16r2="http://schemas.microsoft.com/office/drawing/2015/06/chart">
            <c:ext xmlns:c16="http://schemas.microsoft.com/office/drawing/2014/chart" uri="{C3380CC4-5D6E-409C-BE32-E72D297353CC}">
              <c16:uniqueId val="{00000002-F559-4262-84F8-880A341FE966}"/>
            </c:ext>
          </c:extLst>
        </c:ser>
        <c:ser>
          <c:idx val="2"/>
          <c:order val="2"/>
          <c:tx>
            <c:strRef>
              <c:f>Лист1!$D$1</c:f>
              <c:strCache>
                <c:ptCount val="1"/>
                <c:pt idx="0">
                  <c:v>Затрудняюсь ответить</c:v>
                </c:pt>
              </c:strCache>
            </c:strRef>
          </c:tx>
          <c:spPr>
            <a:solidFill>
              <a:sysClr val="window" lastClr="FFFFFF">
                <a:lumMod val="85000"/>
              </a:sysClr>
            </a:solidFill>
          </c:spPr>
          <c:dLbls>
            <c:dLbl>
              <c:idx val="6"/>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F559-4262-84F8-880A341FE966}"/>
                </c:ext>
              </c:extLst>
            </c:dLbl>
            <c:dLbl>
              <c:idx val="7"/>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F559-4262-84F8-880A341FE966}"/>
                </c:ext>
              </c:extLst>
            </c:dLbl>
            <c:dLbl>
              <c:idx val="8"/>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F559-4262-84F8-880A341FE966}"/>
                </c:ext>
              </c:extLst>
            </c:dLbl>
            <c:dLbl>
              <c:idx val="29"/>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F559-4262-84F8-880A341FE966}"/>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Болотнинский МР</c:v>
                </c:pt>
                <c:pt idx="1">
                  <c:v>Колыванский МР</c:v>
                </c:pt>
                <c:pt idx="2">
                  <c:v>г. Обь</c:v>
                </c:pt>
                <c:pt idx="3">
                  <c:v>Здвинский МР</c:v>
                </c:pt>
                <c:pt idx="4">
                  <c:v>Усть-Таркский МР</c:v>
                </c:pt>
                <c:pt idx="5">
                  <c:v>Карасукский МР</c:v>
                </c:pt>
                <c:pt idx="6">
                  <c:v>Чулымский МР</c:v>
                </c:pt>
                <c:pt idx="7">
                  <c:v>Черепановский МР</c:v>
                </c:pt>
                <c:pt idx="8">
                  <c:v>Кочковский МР</c:v>
                </c:pt>
                <c:pt idx="9">
                  <c:v>Татарский МР</c:v>
                </c:pt>
                <c:pt idx="10">
                  <c:v>г. Искитим</c:v>
                </c:pt>
                <c:pt idx="11">
                  <c:v>Куйбышевский МР</c:v>
                </c:pt>
                <c:pt idx="12">
                  <c:v>Баганский МР</c:v>
                </c:pt>
                <c:pt idx="13">
                  <c:v>Чистоозерный МР</c:v>
                </c:pt>
                <c:pt idx="14">
                  <c:v>г. Новосибирск</c:v>
                </c:pt>
                <c:pt idx="15">
                  <c:v>Мошковский МР</c:v>
                </c:pt>
                <c:pt idx="16">
                  <c:v>Северный МР</c:v>
                </c:pt>
                <c:pt idx="17">
                  <c:v>Купинский МР</c:v>
                </c:pt>
                <c:pt idx="18">
                  <c:v>Кыштовский МР</c:v>
                </c:pt>
                <c:pt idx="19">
                  <c:v>Ордынский МР</c:v>
                </c:pt>
                <c:pt idx="20">
                  <c:v>г. Бердск</c:v>
                </c:pt>
                <c:pt idx="21">
                  <c:v>Тогучинский МР</c:v>
                </c:pt>
                <c:pt idx="22">
                  <c:v>Венгеровский МР</c:v>
                </c:pt>
                <c:pt idx="23">
                  <c:v>Барабинский МР</c:v>
                </c:pt>
                <c:pt idx="24">
                  <c:v>р. п. Кольцово</c:v>
                </c:pt>
                <c:pt idx="25">
                  <c:v>Коченевский МР</c:v>
                </c:pt>
                <c:pt idx="26">
                  <c:v>Маслянинский МР</c:v>
                </c:pt>
                <c:pt idx="27">
                  <c:v>Сузунский МР</c:v>
                </c:pt>
                <c:pt idx="28">
                  <c:v>Каргатский МР</c:v>
                </c:pt>
                <c:pt idx="29">
                  <c:v>Убинский МР</c:v>
                </c:pt>
                <c:pt idx="30">
                  <c:v>Чановский МР</c:v>
                </c:pt>
                <c:pt idx="31">
                  <c:v>Искитимский МР</c:v>
                </c:pt>
                <c:pt idx="32">
                  <c:v>Новосибирский МР</c:v>
                </c:pt>
                <c:pt idx="33">
                  <c:v>Доволенский МР</c:v>
                </c:pt>
              </c:strCache>
            </c:strRef>
          </c:cat>
          <c:val>
            <c:numRef>
              <c:f>Лист1!$D$2:$D$35</c:f>
              <c:numCache>
                <c:formatCode>0.0%</c:formatCode>
                <c:ptCount val="34"/>
                <c:pt idx="0">
                  <c:v>0</c:v>
                </c:pt>
                <c:pt idx="1">
                  <c:v>8.7000000000000022E-2</c:v>
                </c:pt>
                <c:pt idx="2">
                  <c:v>0.17900000000000021</c:v>
                </c:pt>
                <c:pt idx="3">
                  <c:v>0.16700000000000001</c:v>
                </c:pt>
                <c:pt idx="4">
                  <c:v>0.16700000000000001</c:v>
                </c:pt>
                <c:pt idx="5">
                  <c:v>5.9000000000000434E-2</c:v>
                </c:pt>
                <c:pt idx="6">
                  <c:v>0</c:v>
                </c:pt>
                <c:pt idx="7">
                  <c:v>0</c:v>
                </c:pt>
                <c:pt idx="8">
                  <c:v>0</c:v>
                </c:pt>
                <c:pt idx="9">
                  <c:v>0.16700000000000001</c:v>
                </c:pt>
                <c:pt idx="10">
                  <c:v>0.15100000000000041</c:v>
                </c:pt>
                <c:pt idx="11">
                  <c:v>0.115</c:v>
                </c:pt>
                <c:pt idx="12">
                  <c:v>0.125</c:v>
                </c:pt>
                <c:pt idx="13">
                  <c:v>9.1000000000000025E-2</c:v>
                </c:pt>
                <c:pt idx="14">
                  <c:v>0.27</c:v>
                </c:pt>
                <c:pt idx="15">
                  <c:v>0.222</c:v>
                </c:pt>
                <c:pt idx="16">
                  <c:v>0</c:v>
                </c:pt>
                <c:pt idx="17">
                  <c:v>0</c:v>
                </c:pt>
                <c:pt idx="18">
                  <c:v>0.16700000000000001</c:v>
                </c:pt>
                <c:pt idx="19">
                  <c:v>5.3000000000000012E-2</c:v>
                </c:pt>
                <c:pt idx="20">
                  <c:v>5.1000000000000004E-2</c:v>
                </c:pt>
                <c:pt idx="21">
                  <c:v>8.3000000000000046E-2</c:v>
                </c:pt>
                <c:pt idx="22">
                  <c:v>0.14300000000000004</c:v>
                </c:pt>
                <c:pt idx="23">
                  <c:v>5.3000000000000012E-2</c:v>
                </c:pt>
                <c:pt idx="24">
                  <c:v>0.125</c:v>
                </c:pt>
                <c:pt idx="25">
                  <c:v>7.6999999999999999E-2</c:v>
                </c:pt>
                <c:pt idx="26">
                  <c:v>0.23100000000000001</c:v>
                </c:pt>
                <c:pt idx="27">
                  <c:v>0.125</c:v>
                </c:pt>
                <c:pt idx="28">
                  <c:v>0</c:v>
                </c:pt>
                <c:pt idx="29">
                  <c:v>0.28600000000000031</c:v>
                </c:pt>
                <c:pt idx="30">
                  <c:v>0.18200000000000024</c:v>
                </c:pt>
                <c:pt idx="31">
                  <c:v>0.29400000000000032</c:v>
                </c:pt>
                <c:pt idx="32">
                  <c:v>0.36400000000000032</c:v>
                </c:pt>
                <c:pt idx="33">
                  <c:v>0.14300000000000004</c:v>
                </c:pt>
              </c:numCache>
            </c:numRef>
          </c:val>
          <c:extLst xmlns:c16r2="http://schemas.microsoft.com/office/drawing/2015/06/chart">
            <c:ext xmlns:c16="http://schemas.microsoft.com/office/drawing/2014/chart" uri="{C3380CC4-5D6E-409C-BE32-E72D297353CC}">
              <c16:uniqueId val="{00000007-F559-4262-84F8-880A341FE966}"/>
            </c:ext>
          </c:extLst>
        </c:ser>
        <c:overlap val="100"/>
        <c:axId val="98775808"/>
        <c:axId val="98777344"/>
      </c:barChart>
      <c:catAx>
        <c:axId val="98775808"/>
        <c:scaling>
          <c:orientation val="maxMin"/>
        </c:scaling>
        <c:axPos val="l"/>
        <c:numFmt formatCode="General" sourceLinked="1"/>
        <c:tickLblPos val="nextTo"/>
        <c:crossAx val="98777344"/>
        <c:crosses val="autoZero"/>
        <c:auto val="1"/>
        <c:lblAlgn val="ctr"/>
        <c:lblOffset val="100"/>
      </c:catAx>
      <c:valAx>
        <c:axId val="98777344"/>
        <c:scaling>
          <c:orientation val="minMax"/>
          <c:max val="1"/>
          <c:min val="0"/>
        </c:scaling>
        <c:axPos val="t"/>
        <c:majorGridlines/>
        <c:numFmt formatCode="0.0%" sourceLinked="1"/>
        <c:tickLblPos val="nextTo"/>
        <c:txPr>
          <a:bodyPr/>
          <a:lstStyle/>
          <a:p>
            <a:pPr>
              <a:defRPr sz="600"/>
            </a:pPr>
            <a:endParaRPr lang="ru-RU"/>
          </a:p>
        </c:txPr>
        <c:crossAx val="98775808"/>
        <c:crosses val="autoZero"/>
        <c:crossBetween val="between"/>
        <c:majorUnit val="0.2"/>
      </c:valAx>
      <c:spPr>
        <a:noFill/>
        <a:ln>
          <a:solidFill>
            <a:schemeClr val="accent1"/>
          </a:solidFill>
        </a:ln>
      </c:spPr>
    </c:plotArea>
    <c:legend>
      <c:legendPos val="t"/>
      <c:layout>
        <c:manualLayout>
          <c:xMode val="edge"/>
          <c:yMode val="edge"/>
          <c:x val="0.15168116619661329"/>
          <c:y val="0"/>
          <c:w val="0.70506032766119064"/>
          <c:h val="2.4570638520292041E-2"/>
        </c:manualLayout>
      </c:layout>
    </c:legend>
    <c:plotVisOnly val="1"/>
    <c:dispBlanksAs val="gap"/>
  </c:chart>
  <c:spPr>
    <a:ln>
      <a:noFill/>
    </a:ln>
  </c:spPr>
  <c:txPr>
    <a:bodyPr/>
    <a:lstStyle/>
    <a:p>
      <a:pPr>
        <a:defRPr>
          <a:latin typeface="Arial Narrow" panose="020B0606020202030204" pitchFamily="34" charset="0"/>
        </a:defRPr>
      </a:pPr>
      <a:endParaRPr lang="ru-RU"/>
    </a:p>
  </c:txPr>
  <c:externalData r:id="rId2"/>
</c:chartSpace>
</file>

<file path=word/charts/chart40.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27650257804892092"/>
          <c:y val="0.24922190008967224"/>
          <c:w val="0.68250275481088496"/>
          <c:h val="0.74556582338543065"/>
        </c:manualLayout>
      </c:layout>
      <c:barChart>
        <c:barDir val="bar"/>
        <c:grouping val="stacked"/>
        <c:ser>
          <c:idx val="0"/>
          <c:order val="0"/>
          <c:tx>
            <c:strRef>
              <c:f>Лист1!$B$1</c:f>
              <c:strCache>
                <c:ptCount val="1"/>
                <c:pt idx="0">
                  <c:v>Удовлетворительно</c:v>
                </c:pt>
              </c:strCache>
            </c:strRef>
          </c:tx>
          <c:spPr>
            <a:solidFill>
              <a:srgbClr val="ED7D31">
                <a:lumMod val="40000"/>
                <a:lumOff val="60000"/>
              </a:srgbClr>
            </a:solidFill>
          </c:spPr>
          <c:dLbls>
            <c:spPr>
              <a:noFill/>
              <a:ln>
                <a:no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Водоснабжение, водоотведение</c:v>
                </c:pt>
                <c:pt idx="1">
                  <c:v>Электроснабжение</c:v>
                </c:pt>
                <c:pt idx="2">
                  <c:v>Теплоснабжение</c:v>
                </c:pt>
                <c:pt idx="3">
                  <c:v>Газоснабжение</c:v>
                </c:pt>
              </c:strCache>
            </c:strRef>
          </c:cat>
          <c:val>
            <c:numRef>
              <c:f>Лист1!$B$2:$B$5</c:f>
              <c:numCache>
                <c:formatCode>0.0%</c:formatCode>
                <c:ptCount val="4"/>
                <c:pt idx="0">
                  <c:v>0.29100000000000031</c:v>
                </c:pt>
                <c:pt idx="1">
                  <c:v>0.29000000000000031</c:v>
                </c:pt>
                <c:pt idx="2">
                  <c:v>0.28000000000000008</c:v>
                </c:pt>
                <c:pt idx="3">
                  <c:v>0.23400000000000001</c:v>
                </c:pt>
              </c:numCache>
            </c:numRef>
          </c:val>
          <c:extLst xmlns:c16r2="http://schemas.microsoft.com/office/drawing/2015/06/chart">
            <c:ext xmlns:c16="http://schemas.microsoft.com/office/drawing/2014/chart" uri="{C3380CC4-5D6E-409C-BE32-E72D297353CC}">
              <c16:uniqueId val="{00000000-4A87-4147-846D-3971ACC0FD12}"/>
            </c:ext>
          </c:extLst>
        </c:ser>
        <c:ser>
          <c:idx val="1"/>
          <c:order val="1"/>
          <c:tx>
            <c:strRef>
              <c:f>Лист1!$C$1</c:f>
              <c:strCache>
                <c:ptCount val="1"/>
                <c:pt idx="0">
                  <c:v>Неудовлетворительно</c:v>
                </c:pt>
              </c:strCache>
            </c:strRef>
          </c:tx>
          <c:spPr>
            <a:solidFill>
              <a:srgbClr val="B28AB2"/>
            </a:solidFill>
            <a:ln>
              <a:noFill/>
            </a:ln>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Водоснабжение, водоотведение</c:v>
                </c:pt>
                <c:pt idx="1">
                  <c:v>Электроснабжение</c:v>
                </c:pt>
                <c:pt idx="2">
                  <c:v>Теплоснабжение</c:v>
                </c:pt>
                <c:pt idx="3">
                  <c:v>Газоснабжение</c:v>
                </c:pt>
              </c:strCache>
            </c:strRef>
          </c:cat>
          <c:val>
            <c:numRef>
              <c:f>Лист1!$C$2:$C$5</c:f>
              <c:numCache>
                <c:formatCode>0.0%</c:formatCode>
                <c:ptCount val="4"/>
                <c:pt idx="0">
                  <c:v>0.17500000000000004</c:v>
                </c:pt>
                <c:pt idx="1">
                  <c:v>0.19700000000000001</c:v>
                </c:pt>
                <c:pt idx="2">
                  <c:v>0.17100000000000001</c:v>
                </c:pt>
                <c:pt idx="3">
                  <c:v>0.17</c:v>
                </c:pt>
              </c:numCache>
            </c:numRef>
          </c:val>
          <c:extLst xmlns:c16r2="http://schemas.microsoft.com/office/drawing/2015/06/chart">
            <c:ext xmlns:c16="http://schemas.microsoft.com/office/drawing/2014/chart" uri="{C3380CC4-5D6E-409C-BE32-E72D297353CC}">
              <c16:uniqueId val="{00000001-4A87-4147-846D-3971ACC0FD12}"/>
            </c:ext>
          </c:extLst>
        </c:ser>
        <c:ser>
          <c:idx val="2"/>
          <c:order val="2"/>
          <c:tx>
            <c:strRef>
              <c:f>Лист1!$D$1</c:f>
              <c:strCache>
                <c:ptCount val="1"/>
                <c:pt idx="0">
                  <c:v>Затрудняюсь ответить</c:v>
                </c:pt>
              </c:strCache>
            </c:strRef>
          </c:tx>
          <c:spPr>
            <a:solidFill>
              <a:sysClr val="window" lastClr="FFFFFF">
                <a:lumMod val="85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Водоснабжение, водоотведение</c:v>
                </c:pt>
                <c:pt idx="1">
                  <c:v>Электроснабжение</c:v>
                </c:pt>
                <c:pt idx="2">
                  <c:v>Теплоснабжение</c:v>
                </c:pt>
                <c:pt idx="3">
                  <c:v>Газоснабжение</c:v>
                </c:pt>
              </c:strCache>
            </c:strRef>
          </c:cat>
          <c:val>
            <c:numRef>
              <c:f>Лист1!$D$2:$D$5</c:f>
              <c:numCache>
                <c:formatCode>0.0%</c:formatCode>
                <c:ptCount val="4"/>
                <c:pt idx="0">
                  <c:v>0.53400000000000003</c:v>
                </c:pt>
                <c:pt idx="1">
                  <c:v>0.51300000000000001</c:v>
                </c:pt>
                <c:pt idx="2">
                  <c:v>0.54899999999999993</c:v>
                </c:pt>
                <c:pt idx="3">
                  <c:v>0.59599999999999997</c:v>
                </c:pt>
              </c:numCache>
            </c:numRef>
          </c:val>
          <c:extLst xmlns:c16r2="http://schemas.microsoft.com/office/drawing/2015/06/chart">
            <c:ext xmlns:c16="http://schemas.microsoft.com/office/drawing/2014/chart" uri="{C3380CC4-5D6E-409C-BE32-E72D297353CC}">
              <c16:uniqueId val="{00000002-4A87-4147-846D-3971ACC0FD12}"/>
            </c:ext>
          </c:extLst>
        </c:ser>
        <c:overlap val="100"/>
        <c:axId val="127008128"/>
        <c:axId val="128193664"/>
      </c:barChart>
      <c:catAx>
        <c:axId val="127008128"/>
        <c:scaling>
          <c:orientation val="maxMin"/>
        </c:scaling>
        <c:axPos val="l"/>
        <c:numFmt formatCode="General" sourceLinked="1"/>
        <c:tickLblPos val="nextTo"/>
        <c:crossAx val="128193664"/>
        <c:crosses val="autoZero"/>
        <c:auto val="1"/>
        <c:lblAlgn val="ctr"/>
        <c:lblOffset val="100"/>
      </c:catAx>
      <c:valAx>
        <c:axId val="128193664"/>
        <c:scaling>
          <c:orientation val="minMax"/>
          <c:max val="1"/>
          <c:min val="0"/>
        </c:scaling>
        <c:axPos val="t"/>
        <c:majorGridlines/>
        <c:numFmt formatCode="0.0%" sourceLinked="1"/>
        <c:tickLblPos val="nextTo"/>
        <c:txPr>
          <a:bodyPr/>
          <a:lstStyle/>
          <a:p>
            <a:pPr>
              <a:defRPr sz="800"/>
            </a:pPr>
            <a:endParaRPr lang="ru-RU"/>
          </a:p>
        </c:txPr>
        <c:crossAx val="127008128"/>
        <c:crosses val="autoZero"/>
        <c:crossBetween val="between"/>
        <c:majorUnit val="0.2"/>
      </c:valAx>
      <c:spPr>
        <a:noFill/>
        <a:ln>
          <a:solidFill>
            <a:schemeClr val="accent1"/>
          </a:solidFill>
        </a:ln>
      </c:spPr>
    </c:plotArea>
    <c:legend>
      <c:legendPos val="t"/>
    </c:legend>
    <c:plotVisOnly val="1"/>
    <c:dispBlanksAs val="gap"/>
  </c:chart>
  <c:spPr>
    <a:ln>
      <a:noFill/>
    </a:ln>
  </c:spPr>
  <c:txPr>
    <a:bodyPr/>
    <a:lstStyle/>
    <a:p>
      <a:pPr>
        <a:defRPr>
          <a:latin typeface="Arial Narrow" panose="020B0606020202030204" pitchFamily="34" charset="0"/>
        </a:defRPr>
      </a:pPr>
      <a:endParaRPr lang="ru-RU"/>
    </a:p>
  </c:txPr>
</c:chartSpace>
</file>

<file path=word/charts/chart41.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50908535555862533"/>
          <c:y val="9.316058219995417E-2"/>
          <c:w val="0.57723964329020272"/>
          <c:h val="0.89308556430446207"/>
        </c:manualLayout>
      </c:layout>
      <c:barChart>
        <c:barDir val="bar"/>
        <c:grouping val="stacked"/>
        <c:ser>
          <c:idx val="0"/>
          <c:order val="0"/>
          <c:tx>
            <c:strRef>
              <c:f>Лист1!$B$1</c:f>
              <c:strCache>
                <c:ptCount val="1"/>
                <c:pt idx="0">
                  <c:v>Удовлетворительно</c:v>
                </c:pt>
              </c:strCache>
            </c:strRef>
          </c:tx>
          <c:spPr>
            <a:solidFill>
              <a:srgbClr val="ED7D31">
                <a:lumMod val="40000"/>
                <a:lumOff val="60000"/>
              </a:srgbClr>
            </a:solidFill>
          </c:spPr>
          <c:dLbls>
            <c:dLbl>
              <c:idx val="1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3301-4CE4-85D8-B54B2BFB9E25}"/>
                </c:ext>
              </c:extLst>
            </c:dLbl>
            <c:dLbl>
              <c:idx val="1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3301-4CE4-85D8-B54B2BFB9E25}"/>
                </c:ext>
              </c:extLst>
            </c:dLbl>
            <c:spPr>
              <a:noFill/>
              <a:ln>
                <a:no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развития, производства, переработки и хранения с‎\х продукции</c:v>
                </c:pt>
                <c:pt idx="1">
                  <c:v>Рынок услуг ЖКХ</c:v>
                </c:pt>
                <c:pt idx="2">
                  <c:v>Рынок медицинских услуг</c:v>
                </c:pt>
                <c:pt idx="3">
                  <c:v>Рынок услуг дополнительного образования детей</c:v>
                </c:pt>
                <c:pt idx="4">
                  <c:v>Розничная торговля</c:v>
                </c:pt>
                <c:pt idx="5">
                  <c:v>Рынок услуг по сбору, сортировке и переработке твердых коммунальных (бытовых) отходов</c:v>
                </c:pt>
                <c:pt idx="6">
                  <c:v>Рынок услуг психолого-педагогического сопровождения детей с ограниченными возможностями здоровья</c:v>
                </c:pt>
                <c:pt idx="7">
                  <c:v>Рынок услуг связи</c:v>
                </c:pt>
                <c:pt idx="8">
                  <c:v>Рынок услуг в сфере культуры</c:v>
                </c:pt>
                <c:pt idx="9">
                  <c:v>Рынок услуг социального обслуживания населения</c:v>
                </c:pt>
                <c:pt idx="10">
                  <c:v>Рынок услуг перевозок пассажиров наземным транспортом</c:v>
                </c:pt>
                <c:pt idx="11">
                  <c:v>Рынок услуг дошкольного образования</c:v>
                </c:pt>
                <c:pt idx="12">
                  <c:v>Рынок услуг детского отдыха и оздоровления</c:v>
                </c:pt>
              </c:strCache>
            </c:strRef>
          </c:cat>
          <c:val>
            <c:numRef>
              <c:f>Лист1!$B$2:$B$14</c:f>
              <c:numCache>
                <c:formatCode>0.0%</c:formatCode>
                <c:ptCount val="13"/>
                <c:pt idx="0">
                  <c:v>0.48000000000000032</c:v>
                </c:pt>
                <c:pt idx="1">
                  <c:v>0.30000000000000032</c:v>
                </c:pt>
                <c:pt idx="2">
                  <c:v>0.28600000000000031</c:v>
                </c:pt>
                <c:pt idx="3">
                  <c:v>0.28000000000000008</c:v>
                </c:pt>
                <c:pt idx="4">
                  <c:v>0.27800000000000002</c:v>
                </c:pt>
                <c:pt idx="5">
                  <c:v>0.2</c:v>
                </c:pt>
                <c:pt idx="6">
                  <c:v>0.16</c:v>
                </c:pt>
                <c:pt idx="7">
                  <c:v>0.16</c:v>
                </c:pt>
                <c:pt idx="8">
                  <c:v>0.12000000000000002</c:v>
                </c:pt>
                <c:pt idx="9">
                  <c:v>0.12000000000000002</c:v>
                </c:pt>
                <c:pt idx="10">
                  <c:v>6.7000000000000004E-2</c:v>
                </c:pt>
                <c:pt idx="11">
                  <c:v>0</c:v>
                </c:pt>
                <c:pt idx="12">
                  <c:v>0</c:v>
                </c:pt>
              </c:numCache>
            </c:numRef>
          </c:val>
          <c:extLst xmlns:c16r2="http://schemas.microsoft.com/office/drawing/2015/06/chart">
            <c:ext xmlns:c16="http://schemas.microsoft.com/office/drawing/2014/chart" uri="{C3380CC4-5D6E-409C-BE32-E72D297353CC}">
              <c16:uniqueId val="{00000002-3301-4CE4-85D8-B54B2BFB9E25}"/>
            </c:ext>
          </c:extLst>
        </c:ser>
        <c:ser>
          <c:idx val="1"/>
          <c:order val="1"/>
          <c:tx>
            <c:strRef>
              <c:f>Лист1!$C$1</c:f>
              <c:strCache>
                <c:ptCount val="1"/>
                <c:pt idx="0">
                  <c:v>Неудовлетворительно</c:v>
                </c:pt>
              </c:strCache>
            </c:strRef>
          </c:tx>
          <c:spPr>
            <a:solidFill>
              <a:srgbClr val="B28AB2"/>
            </a:solidFill>
            <a:ln>
              <a:noFill/>
            </a:ln>
          </c:spPr>
          <c:dLbls>
            <c:dLbl>
              <c:idx val="3"/>
              <c:layout>
                <c:manualLayout>
                  <c:x val="1.7543859649123261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3301-4CE4-85D8-B54B2BFB9E25}"/>
                </c:ext>
              </c:extLst>
            </c:dLbl>
            <c:dLbl>
              <c:idx val="6"/>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3301-4CE4-85D8-B54B2BFB9E25}"/>
                </c:ext>
              </c:extLst>
            </c:dLbl>
            <c:dLbl>
              <c:idx val="8"/>
              <c:layout>
                <c:manualLayout>
                  <c:x val="1.7543859649123184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3301-4CE4-85D8-B54B2BFB9E25}"/>
                </c:ext>
              </c:extLst>
            </c:dLbl>
            <c:dLbl>
              <c:idx val="1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3301-4CE4-85D8-B54B2BFB9E25}"/>
                </c:ext>
              </c:extLst>
            </c:dLbl>
            <c:dLbl>
              <c:idx val="1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3301-4CE4-85D8-B54B2BFB9E25}"/>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развития, производства, переработки и хранения с‎\х продукции</c:v>
                </c:pt>
                <c:pt idx="1">
                  <c:v>Рынок услуг ЖКХ</c:v>
                </c:pt>
                <c:pt idx="2">
                  <c:v>Рынок медицинских услуг</c:v>
                </c:pt>
                <c:pt idx="3">
                  <c:v>Рынок услуг дополнительного образования детей</c:v>
                </c:pt>
                <c:pt idx="4">
                  <c:v>Розничная торговля</c:v>
                </c:pt>
                <c:pt idx="5">
                  <c:v>Рынок услуг по сбору, сортировке и переработке твердых коммунальных (бытовых) отходов</c:v>
                </c:pt>
                <c:pt idx="6">
                  <c:v>Рынок услуг психолого-педагогического сопровождения детей с ограниченными возможностями здоровья</c:v>
                </c:pt>
                <c:pt idx="7">
                  <c:v>Рынок услуг связи</c:v>
                </c:pt>
                <c:pt idx="8">
                  <c:v>Рынок услуг в сфере культуры</c:v>
                </c:pt>
                <c:pt idx="9">
                  <c:v>Рынок услуг социального обслуживания населения</c:v>
                </c:pt>
                <c:pt idx="10">
                  <c:v>Рынок услуг перевозок пассажиров наземным транспортом</c:v>
                </c:pt>
                <c:pt idx="11">
                  <c:v>Рынок услуг дошкольного образования</c:v>
                </c:pt>
                <c:pt idx="12">
                  <c:v>Рынок услуг детского отдыха и оздоровления</c:v>
                </c:pt>
              </c:strCache>
            </c:strRef>
          </c:cat>
          <c:val>
            <c:numRef>
              <c:f>Лист1!$C$2:$C$14</c:f>
              <c:numCache>
                <c:formatCode>0.0%</c:formatCode>
                <c:ptCount val="13"/>
                <c:pt idx="0">
                  <c:v>0.15000000000000024</c:v>
                </c:pt>
                <c:pt idx="1">
                  <c:v>0.22900000000000001</c:v>
                </c:pt>
                <c:pt idx="2">
                  <c:v>0.1</c:v>
                </c:pt>
                <c:pt idx="3">
                  <c:v>4.0000000000000022E-2</c:v>
                </c:pt>
                <c:pt idx="4">
                  <c:v>0.27200000000000002</c:v>
                </c:pt>
                <c:pt idx="5">
                  <c:v>0.2</c:v>
                </c:pt>
                <c:pt idx="6">
                  <c:v>0</c:v>
                </c:pt>
                <c:pt idx="7">
                  <c:v>0.16</c:v>
                </c:pt>
                <c:pt idx="8">
                  <c:v>4.0000000000000022E-2</c:v>
                </c:pt>
                <c:pt idx="9">
                  <c:v>0.16</c:v>
                </c:pt>
                <c:pt idx="10">
                  <c:v>0.11700000000000002</c:v>
                </c:pt>
                <c:pt idx="11">
                  <c:v>0</c:v>
                </c:pt>
                <c:pt idx="12">
                  <c:v>0</c:v>
                </c:pt>
              </c:numCache>
            </c:numRef>
          </c:val>
          <c:extLst xmlns:c16r2="http://schemas.microsoft.com/office/drawing/2015/06/chart">
            <c:ext xmlns:c16="http://schemas.microsoft.com/office/drawing/2014/chart" uri="{C3380CC4-5D6E-409C-BE32-E72D297353CC}">
              <c16:uniqueId val="{00000008-3301-4CE4-85D8-B54B2BFB9E25}"/>
            </c:ext>
          </c:extLst>
        </c:ser>
        <c:ser>
          <c:idx val="2"/>
          <c:order val="2"/>
          <c:tx>
            <c:strRef>
              <c:f>Лист1!$D$1</c:f>
              <c:strCache>
                <c:ptCount val="1"/>
                <c:pt idx="0">
                  <c:v>Затрудняюсь ответить</c:v>
                </c:pt>
              </c:strCache>
            </c:strRef>
          </c:tx>
          <c:spPr>
            <a:solidFill>
              <a:sysClr val="window" lastClr="FFFFFF">
                <a:lumMod val="85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развития, производства, переработки и хранения с‎\х продукции</c:v>
                </c:pt>
                <c:pt idx="1">
                  <c:v>Рынок услуг ЖКХ</c:v>
                </c:pt>
                <c:pt idx="2">
                  <c:v>Рынок медицинских услуг</c:v>
                </c:pt>
                <c:pt idx="3">
                  <c:v>Рынок услуг дополнительного образования детей</c:v>
                </c:pt>
                <c:pt idx="4">
                  <c:v>Розничная торговля</c:v>
                </c:pt>
                <c:pt idx="5">
                  <c:v>Рынок услуг по сбору, сортировке и переработке твердых коммунальных (бытовых) отходов</c:v>
                </c:pt>
                <c:pt idx="6">
                  <c:v>Рынок услуг психолого-педагогического сопровождения детей с ограниченными возможностями здоровья</c:v>
                </c:pt>
                <c:pt idx="7">
                  <c:v>Рынок услуг связи</c:v>
                </c:pt>
                <c:pt idx="8">
                  <c:v>Рынок услуг в сфере культуры</c:v>
                </c:pt>
                <c:pt idx="9">
                  <c:v>Рынок услуг социального обслуживания населения</c:v>
                </c:pt>
                <c:pt idx="10">
                  <c:v>Рынок услуг перевозок пассажиров наземным транспортом</c:v>
                </c:pt>
                <c:pt idx="11">
                  <c:v>Рынок услуг дошкольного образования</c:v>
                </c:pt>
                <c:pt idx="12">
                  <c:v>Рынок услуг детского отдыха и оздоровления</c:v>
                </c:pt>
              </c:strCache>
            </c:strRef>
          </c:cat>
          <c:val>
            <c:numRef>
              <c:f>Лист1!$D$2:$D$14</c:f>
              <c:numCache>
                <c:formatCode>0.0%</c:formatCode>
                <c:ptCount val="13"/>
                <c:pt idx="0">
                  <c:v>0.37000000000000038</c:v>
                </c:pt>
                <c:pt idx="1">
                  <c:v>0.47100000000000031</c:v>
                </c:pt>
                <c:pt idx="2">
                  <c:v>0.61400000000000265</c:v>
                </c:pt>
                <c:pt idx="3">
                  <c:v>0.68</c:v>
                </c:pt>
                <c:pt idx="4">
                  <c:v>0.45</c:v>
                </c:pt>
                <c:pt idx="5">
                  <c:v>0.60000000000000064</c:v>
                </c:pt>
                <c:pt idx="6">
                  <c:v>0.84000000000000064</c:v>
                </c:pt>
                <c:pt idx="7">
                  <c:v>0.68</c:v>
                </c:pt>
                <c:pt idx="8">
                  <c:v>0.84000000000000064</c:v>
                </c:pt>
                <c:pt idx="9">
                  <c:v>0.72000000000000064</c:v>
                </c:pt>
                <c:pt idx="10">
                  <c:v>0.81699999999999995</c:v>
                </c:pt>
                <c:pt idx="11">
                  <c:v>1</c:v>
                </c:pt>
                <c:pt idx="12">
                  <c:v>1</c:v>
                </c:pt>
              </c:numCache>
            </c:numRef>
          </c:val>
          <c:extLst xmlns:c16r2="http://schemas.microsoft.com/office/drawing/2015/06/chart">
            <c:ext xmlns:c16="http://schemas.microsoft.com/office/drawing/2014/chart" uri="{C3380CC4-5D6E-409C-BE32-E72D297353CC}">
              <c16:uniqueId val="{00000009-3301-4CE4-85D8-B54B2BFB9E25}"/>
            </c:ext>
          </c:extLst>
        </c:ser>
        <c:overlap val="100"/>
        <c:axId val="119159808"/>
        <c:axId val="119182080"/>
      </c:barChart>
      <c:catAx>
        <c:axId val="119159808"/>
        <c:scaling>
          <c:orientation val="maxMin"/>
        </c:scaling>
        <c:axPos val="l"/>
        <c:numFmt formatCode="General" sourceLinked="1"/>
        <c:tickLblPos val="nextTo"/>
        <c:crossAx val="119182080"/>
        <c:crosses val="autoZero"/>
        <c:auto val="1"/>
        <c:lblAlgn val="ctr"/>
        <c:lblOffset val="100"/>
      </c:catAx>
      <c:valAx>
        <c:axId val="119182080"/>
        <c:scaling>
          <c:orientation val="minMax"/>
          <c:max val="1"/>
          <c:min val="0"/>
        </c:scaling>
        <c:axPos val="t"/>
        <c:majorGridlines/>
        <c:numFmt formatCode="0.0%" sourceLinked="1"/>
        <c:tickLblPos val="nextTo"/>
        <c:txPr>
          <a:bodyPr/>
          <a:lstStyle/>
          <a:p>
            <a:pPr>
              <a:defRPr sz="600"/>
            </a:pPr>
            <a:endParaRPr lang="ru-RU"/>
          </a:p>
        </c:txPr>
        <c:crossAx val="119159808"/>
        <c:crosses val="autoZero"/>
        <c:crossBetween val="between"/>
        <c:majorUnit val="0.2"/>
      </c:valAx>
      <c:spPr>
        <a:noFill/>
        <a:ln>
          <a:solidFill>
            <a:schemeClr val="accent1"/>
          </a:solidFill>
        </a:ln>
      </c:spPr>
    </c:plotArea>
    <c:legend>
      <c:legendPos val="t"/>
    </c:legend>
    <c:plotVisOnly val="1"/>
    <c:dispBlanksAs val="gap"/>
  </c:chart>
  <c:spPr>
    <a:ln>
      <a:noFill/>
    </a:ln>
  </c:spPr>
  <c:txPr>
    <a:bodyPr/>
    <a:lstStyle/>
    <a:p>
      <a:pPr>
        <a:defRPr>
          <a:latin typeface="Arial Narrow" panose="020B0606020202030204" pitchFamily="34" charset="0"/>
        </a:defRPr>
      </a:pPr>
      <a:endParaRPr lang="ru-RU"/>
    </a:p>
  </c:txPr>
  <c:externalData r:id="rId2"/>
</c:chartSpace>
</file>

<file path=word/charts/chart42.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27650257804892092"/>
          <c:y val="0.17587951038830427"/>
          <c:w val="0.68250275481088496"/>
          <c:h val="0.81036671817891859"/>
        </c:manualLayout>
      </c:layout>
      <c:barChart>
        <c:barDir val="bar"/>
        <c:grouping val="stacked"/>
        <c:ser>
          <c:idx val="0"/>
          <c:order val="0"/>
          <c:tx>
            <c:strRef>
              <c:f>Лист1!$B$1</c:f>
              <c:strCache>
                <c:ptCount val="1"/>
                <c:pt idx="0">
                  <c:v>Удовлетворительно</c:v>
                </c:pt>
              </c:strCache>
            </c:strRef>
          </c:tx>
          <c:spPr>
            <a:solidFill>
              <a:srgbClr val="ED7D31">
                <a:lumMod val="40000"/>
                <a:lumOff val="60000"/>
              </a:srgbClr>
            </a:solidFill>
          </c:spPr>
          <c:dLbls>
            <c:spPr>
              <a:noFill/>
              <a:ln>
                <a:no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среднее предприятие</c:v>
                </c:pt>
                <c:pt idx="1">
                  <c:v>малое предприятие</c:v>
                </c:pt>
              </c:strCache>
            </c:strRef>
          </c:cat>
          <c:val>
            <c:numRef>
              <c:f>Лист1!$B$2:$B$3</c:f>
              <c:numCache>
                <c:formatCode>0.0%</c:formatCode>
                <c:ptCount val="2"/>
                <c:pt idx="0">
                  <c:v>0.45500000000000002</c:v>
                </c:pt>
                <c:pt idx="1">
                  <c:v>0.28900000000000031</c:v>
                </c:pt>
              </c:numCache>
            </c:numRef>
          </c:val>
          <c:extLst xmlns:c16r2="http://schemas.microsoft.com/office/drawing/2015/06/chart">
            <c:ext xmlns:c16="http://schemas.microsoft.com/office/drawing/2014/chart" uri="{C3380CC4-5D6E-409C-BE32-E72D297353CC}">
              <c16:uniqueId val="{00000000-B42F-4BCC-A5A7-211642630604}"/>
            </c:ext>
          </c:extLst>
        </c:ser>
        <c:ser>
          <c:idx val="1"/>
          <c:order val="1"/>
          <c:tx>
            <c:strRef>
              <c:f>Лист1!$C$1</c:f>
              <c:strCache>
                <c:ptCount val="1"/>
                <c:pt idx="0">
                  <c:v>Неудовлетворительно</c:v>
                </c:pt>
              </c:strCache>
            </c:strRef>
          </c:tx>
          <c:spPr>
            <a:solidFill>
              <a:srgbClr val="B28AB2"/>
            </a:solidFill>
            <a:ln>
              <a:noFill/>
            </a:ln>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среднее предприятие</c:v>
                </c:pt>
                <c:pt idx="1">
                  <c:v>малое предприятие</c:v>
                </c:pt>
              </c:strCache>
            </c:strRef>
          </c:cat>
          <c:val>
            <c:numRef>
              <c:f>Лист1!$C$2:$C$3</c:f>
              <c:numCache>
                <c:formatCode>0.0%</c:formatCode>
                <c:ptCount val="2"/>
                <c:pt idx="0">
                  <c:v>0.27300000000000002</c:v>
                </c:pt>
                <c:pt idx="1">
                  <c:v>0.19600000000000001</c:v>
                </c:pt>
              </c:numCache>
            </c:numRef>
          </c:val>
          <c:extLst xmlns:c16r2="http://schemas.microsoft.com/office/drawing/2015/06/chart">
            <c:ext xmlns:c16="http://schemas.microsoft.com/office/drawing/2014/chart" uri="{C3380CC4-5D6E-409C-BE32-E72D297353CC}">
              <c16:uniqueId val="{00000001-B42F-4BCC-A5A7-211642630604}"/>
            </c:ext>
          </c:extLst>
        </c:ser>
        <c:ser>
          <c:idx val="2"/>
          <c:order val="2"/>
          <c:tx>
            <c:strRef>
              <c:f>Лист1!$D$1</c:f>
              <c:strCache>
                <c:ptCount val="1"/>
                <c:pt idx="0">
                  <c:v>Затрудняюсь ответить</c:v>
                </c:pt>
              </c:strCache>
            </c:strRef>
          </c:tx>
          <c:spPr>
            <a:solidFill>
              <a:sysClr val="window" lastClr="FFFFFF">
                <a:lumMod val="85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среднее предприятие</c:v>
                </c:pt>
                <c:pt idx="1">
                  <c:v>малое предприятие</c:v>
                </c:pt>
              </c:strCache>
            </c:strRef>
          </c:cat>
          <c:val>
            <c:numRef>
              <c:f>Лист1!$D$2:$D$3</c:f>
              <c:numCache>
                <c:formatCode>0.0%</c:formatCode>
                <c:ptCount val="2"/>
                <c:pt idx="0">
                  <c:v>0.27300000000000002</c:v>
                </c:pt>
                <c:pt idx="1">
                  <c:v>0.51500000000000001</c:v>
                </c:pt>
              </c:numCache>
            </c:numRef>
          </c:val>
          <c:extLst xmlns:c16r2="http://schemas.microsoft.com/office/drawing/2015/06/chart">
            <c:ext xmlns:c16="http://schemas.microsoft.com/office/drawing/2014/chart" uri="{C3380CC4-5D6E-409C-BE32-E72D297353CC}">
              <c16:uniqueId val="{00000002-B42F-4BCC-A5A7-211642630604}"/>
            </c:ext>
          </c:extLst>
        </c:ser>
        <c:overlap val="100"/>
        <c:axId val="128442368"/>
        <c:axId val="128443904"/>
      </c:barChart>
      <c:catAx>
        <c:axId val="128442368"/>
        <c:scaling>
          <c:orientation val="maxMin"/>
        </c:scaling>
        <c:axPos val="l"/>
        <c:numFmt formatCode="General" sourceLinked="1"/>
        <c:tickLblPos val="nextTo"/>
        <c:crossAx val="128443904"/>
        <c:crosses val="autoZero"/>
        <c:auto val="1"/>
        <c:lblAlgn val="ctr"/>
        <c:lblOffset val="100"/>
      </c:catAx>
      <c:valAx>
        <c:axId val="128443904"/>
        <c:scaling>
          <c:orientation val="minMax"/>
          <c:max val="1"/>
          <c:min val="0"/>
        </c:scaling>
        <c:delete val="1"/>
        <c:axPos val="t"/>
        <c:majorGridlines/>
        <c:numFmt formatCode="0.0%" sourceLinked="1"/>
        <c:tickLblPos val="none"/>
        <c:crossAx val="128442368"/>
        <c:crosses val="autoZero"/>
        <c:crossBetween val="between"/>
        <c:majorUnit val="0.2"/>
      </c:valAx>
      <c:spPr>
        <a:noFill/>
        <a:ln>
          <a:solidFill>
            <a:schemeClr val="accent1"/>
          </a:solidFill>
        </a:ln>
      </c:spPr>
    </c:plotArea>
    <c:legend>
      <c:legendPos val="t"/>
    </c:legend>
    <c:plotVisOnly val="1"/>
    <c:dispBlanksAs val="gap"/>
  </c:chart>
  <c:spPr>
    <a:ln>
      <a:noFill/>
    </a:ln>
  </c:spPr>
  <c:txPr>
    <a:bodyPr/>
    <a:lstStyle/>
    <a:p>
      <a:pPr>
        <a:defRPr>
          <a:latin typeface="Arial Narrow" panose="020B0606020202030204" pitchFamily="34" charset="0"/>
        </a:defRPr>
      </a:pPr>
      <a:endParaRPr lang="ru-RU"/>
    </a:p>
  </c:txPr>
</c:chartSpace>
</file>

<file path=word/charts/chart43.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27650257804892092"/>
          <c:y val="7.6190911549699314E-2"/>
          <c:w val="0.68250275481088496"/>
          <c:h val="0.91005535048322161"/>
        </c:manualLayout>
      </c:layout>
      <c:barChart>
        <c:barDir val="bar"/>
        <c:grouping val="stacked"/>
        <c:ser>
          <c:idx val="0"/>
          <c:order val="0"/>
          <c:tx>
            <c:strRef>
              <c:f>Лист1!$B$1</c:f>
              <c:strCache>
                <c:ptCount val="1"/>
                <c:pt idx="0">
                  <c:v>Удовлетворительно</c:v>
                </c:pt>
              </c:strCache>
            </c:strRef>
          </c:tx>
          <c:spPr>
            <a:solidFill>
              <a:srgbClr val="ED7D31">
                <a:lumMod val="40000"/>
                <a:lumOff val="60000"/>
              </a:srgbClr>
            </a:solidFill>
          </c:spPr>
          <c:dLbls>
            <c:dLbl>
              <c:idx val="3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0D23-42C5-842A-AA86AF54E531}"/>
                </c:ext>
              </c:extLst>
            </c:dLbl>
            <c:dLbl>
              <c:idx val="3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0D23-42C5-842A-AA86AF54E531}"/>
                </c:ext>
              </c:extLst>
            </c:dLbl>
            <c:dLbl>
              <c:idx val="3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0D23-42C5-842A-AA86AF54E531}"/>
                </c:ext>
              </c:extLst>
            </c:dLbl>
            <c:dLbl>
              <c:idx val="3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0D23-42C5-842A-AA86AF54E531}"/>
                </c:ext>
              </c:extLst>
            </c:dLbl>
            <c:spPr>
              <a:noFill/>
              <a:ln>
                <a:noFill/>
              </a:ln>
              <a:effectLst/>
            </c:spPr>
            <c:txPr>
              <a:bodyPr/>
              <a:lstStyle/>
              <a:p>
                <a:pPr>
                  <a:defRPr sz="900">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Купинский МР</c:v>
                </c:pt>
                <c:pt idx="1">
                  <c:v>Усть-Таркский МР</c:v>
                </c:pt>
                <c:pt idx="2">
                  <c:v>Колыванский МР</c:v>
                </c:pt>
                <c:pt idx="3">
                  <c:v>Доволенский МР</c:v>
                </c:pt>
                <c:pt idx="4">
                  <c:v>Татарский МР</c:v>
                </c:pt>
                <c:pt idx="5">
                  <c:v>Куйбышевский МР</c:v>
                </c:pt>
                <c:pt idx="6">
                  <c:v>Чулымский МР</c:v>
                </c:pt>
                <c:pt idx="7">
                  <c:v>Карасукский МР</c:v>
                </c:pt>
                <c:pt idx="8">
                  <c:v>Барабинский МР</c:v>
                </c:pt>
                <c:pt idx="9">
                  <c:v>Ордынский МР</c:v>
                </c:pt>
                <c:pt idx="10">
                  <c:v>Маслянинский МР</c:v>
                </c:pt>
                <c:pt idx="11">
                  <c:v>Тогучинский МР</c:v>
                </c:pt>
                <c:pt idx="12">
                  <c:v>Мошковский МР</c:v>
                </c:pt>
                <c:pt idx="13">
                  <c:v>г. Искитим</c:v>
                </c:pt>
                <c:pt idx="14">
                  <c:v>Болотнинский МР</c:v>
                </c:pt>
                <c:pt idx="15">
                  <c:v>Коченевский МР</c:v>
                </c:pt>
                <c:pt idx="16">
                  <c:v>Баганский МР</c:v>
                </c:pt>
                <c:pt idx="17">
                  <c:v>Краснозерский МР</c:v>
                </c:pt>
                <c:pt idx="18">
                  <c:v>Черепановский МР</c:v>
                </c:pt>
                <c:pt idx="19">
                  <c:v>Искитимский МР</c:v>
                </c:pt>
                <c:pt idx="20">
                  <c:v>Здвинский МР</c:v>
                </c:pt>
                <c:pt idx="21">
                  <c:v>Сузунский МР</c:v>
                </c:pt>
                <c:pt idx="22">
                  <c:v>Венгеровский МР</c:v>
                </c:pt>
                <c:pt idx="23">
                  <c:v>Убинский МР</c:v>
                </c:pt>
                <c:pt idx="24">
                  <c:v>Новосибирский МР</c:v>
                </c:pt>
                <c:pt idx="25">
                  <c:v>Чистоозерный МР</c:v>
                </c:pt>
                <c:pt idx="26">
                  <c:v>г. Обь</c:v>
                </c:pt>
                <c:pt idx="27">
                  <c:v>г. Новосибирск</c:v>
                </c:pt>
                <c:pt idx="28">
                  <c:v>Чановский МР</c:v>
                </c:pt>
                <c:pt idx="29">
                  <c:v>Кыштовский МР</c:v>
                </c:pt>
                <c:pt idx="30">
                  <c:v>г. Бердск</c:v>
                </c:pt>
                <c:pt idx="31">
                  <c:v>Каргатский МР</c:v>
                </c:pt>
                <c:pt idx="32">
                  <c:v>Кочковский МР</c:v>
                </c:pt>
                <c:pt idx="33">
                  <c:v>р. п. Кольцово</c:v>
                </c:pt>
                <c:pt idx="34">
                  <c:v>Северный МР</c:v>
                </c:pt>
              </c:strCache>
            </c:strRef>
          </c:cat>
          <c:val>
            <c:numRef>
              <c:f>Лист1!$B$2:$B$36</c:f>
              <c:numCache>
                <c:formatCode>0.0%</c:formatCode>
                <c:ptCount val="35"/>
                <c:pt idx="0">
                  <c:v>0.8</c:v>
                </c:pt>
                <c:pt idx="1">
                  <c:v>0.66700000000000825</c:v>
                </c:pt>
                <c:pt idx="2">
                  <c:v>0.65200000000000768</c:v>
                </c:pt>
                <c:pt idx="3">
                  <c:v>0.57099999999999995</c:v>
                </c:pt>
                <c:pt idx="4">
                  <c:v>0.55600000000000005</c:v>
                </c:pt>
                <c:pt idx="5">
                  <c:v>0.53800000000000003</c:v>
                </c:pt>
                <c:pt idx="6">
                  <c:v>0.53300000000000003</c:v>
                </c:pt>
                <c:pt idx="7">
                  <c:v>0.52900000000000003</c:v>
                </c:pt>
                <c:pt idx="8">
                  <c:v>0.52600000000000002</c:v>
                </c:pt>
                <c:pt idx="9">
                  <c:v>0.52600000000000002</c:v>
                </c:pt>
                <c:pt idx="10">
                  <c:v>0.46200000000000002</c:v>
                </c:pt>
                <c:pt idx="11">
                  <c:v>0.45800000000000002</c:v>
                </c:pt>
                <c:pt idx="12">
                  <c:v>0.44400000000000001</c:v>
                </c:pt>
                <c:pt idx="13">
                  <c:v>0.43400000000000138</c:v>
                </c:pt>
                <c:pt idx="14">
                  <c:v>0.38500000000000362</c:v>
                </c:pt>
                <c:pt idx="15">
                  <c:v>0.38500000000000362</c:v>
                </c:pt>
                <c:pt idx="16">
                  <c:v>0.37500000000000322</c:v>
                </c:pt>
                <c:pt idx="17">
                  <c:v>0.37500000000000322</c:v>
                </c:pt>
                <c:pt idx="18">
                  <c:v>0.36100000000000032</c:v>
                </c:pt>
                <c:pt idx="19">
                  <c:v>0.35300000000000031</c:v>
                </c:pt>
                <c:pt idx="20">
                  <c:v>0.33300000000000413</c:v>
                </c:pt>
                <c:pt idx="21">
                  <c:v>0.31300000000000322</c:v>
                </c:pt>
                <c:pt idx="22">
                  <c:v>0.28600000000000031</c:v>
                </c:pt>
                <c:pt idx="23">
                  <c:v>0.28600000000000031</c:v>
                </c:pt>
                <c:pt idx="24">
                  <c:v>0.27300000000000002</c:v>
                </c:pt>
                <c:pt idx="25">
                  <c:v>0.27300000000000002</c:v>
                </c:pt>
                <c:pt idx="26">
                  <c:v>0.25</c:v>
                </c:pt>
                <c:pt idx="27">
                  <c:v>0.24500000000000041</c:v>
                </c:pt>
                <c:pt idx="28">
                  <c:v>0.21200000000000024</c:v>
                </c:pt>
                <c:pt idx="29">
                  <c:v>0.16700000000000001</c:v>
                </c:pt>
                <c:pt idx="30">
                  <c:v>0.128</c:v>
                </c:pt>
                <c:pt idx="31">
                  <c:v>0</c:v>
                </c:pt>
                <c:pt idx="32">
                  <c:v>0</c:v>
                </c:pt>
                <c:pt idx="33">
                  <c:v>0</c:v>
                </c:pt>
                <c:pt idx="34">
                  <c:v>0</c:v>
                </c:pt>
              </c:numCache>
            </c:numRef>
          </c:val>
          <c:extLst xmlns:c16r2="http://schemas.microsoft.com/office/drawing/2015/06/chart">
            <c:ext xmlns:c16="http://schemas.microsoft.com/office/drawing/2014/chart" uri="{C3380CC4-5D6E-409C-BE32-E72D297353CC}">
              <c16:uniqueId val="{00000004-0D23-42C5-842A-AA86AF54E531}"/>
            </c:ext>
          </c:extLst>
        </c:ser>
        <c:ser>
          <c:idx val="1"/>
          <c:order val="1"/>
          <c:tx>
            <c:strRef>
              <c:f>Лист1!$C$1</c:f>
              <c:strCache>
                <c:ptCount val="1"/>
                <c:pt idx="0">
                  <c:v>Неудовлетворительно</c:v>
                </c:pt>
              </c:strCache>
            </c:strRef>
          </c:tx>
          <c:spPr>
            <a:solidFill>
              <a:srgbClr val="B28AB2"/>
            </a:solidFill>
            <a:ln>
              <a:noFill/>
            </a:ln>
          </c:spPr>
          <c:dLbls>
            <c:dLbl>
              <c:idx val="3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0D23-42C5-842A-AA86AF54E531}"/>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Купинский МР</c:v>
                </c:pt>
                <c:pt idx="1">
                  <c:v>Усть-Таркский МР</c:v>
                </c:pt>
                <c:pt idx="2">
                  <c:v>Колыванский МР</c:v>
                </c:pt>
                <c:pt idx="3">
                  <c:v>Доволенский МР</c:v>
                </c:pt>
                <c:pt idx="4">
                  <c:v>Татарский МР</c:v>
                </c:pt>
                <c:pt idx="5">
                  <c:v>Куйбышевский МР</c:v>
                </c:pt>
                <c:pt idx="6">
                  <c:v>Чулымский МР</c:v>
                </c:pt>
                <c:pt idx="7">
                  <c:v>Карасукский МР</c:v>
                </c:pt>
                <c:pt idx="8">
                  <c:v>Барабинский МР</c:v>
                </c:pt>
                <c:pt idx="9">
                  <c:v>Ордынский МР</c:v>
                </c:pt>
                <c:pt idx="10">
                  <c:v>Маслянинский МР</c:v>
                </c:pt>
                <c:pt idx="11">
                  <c:v>Тогучинский МР</c:v>
                </c:pt>
                <c:pt idx="12">
                  <c:v>Мошковский МР</c:v>
                </c:pt>
                <c:pt idx="13">
                  <c:v>г. Искитим</c:v>
                </c:pt>
                <c:pt idx="14">
                  <c:v>Болотнинский МР</c:v>
                </c:pt>
                <c:pt idx="15">
                  <c:v>Коченевский МР</c:v>
                </c:pt>
                <c:pt idx="16">
                  <c:v>Баганский МР</c:v>
                </c:pt>
                <c:pt idx="17">
                  <c:v>Краснозерский МР</c:v>
                </c:pt>
                <c:pt idx="18">
                  <c:v>Черепановский МР</c:v>
                </c:pt>
                <c:pt idx="19">
                  <c:v>Искитимский МР</c:v>
                </c:pt>
                <c:pt idx="20">
                  <c:v>Здвинский МР</c:v>
                </c:pt>
                <c:pt idx="21">
                  <c:v>Сузунский МР</c:v>
                </c:pt>
                <c:pt idx="22">
                  <c:v>Венгеровский МР</c:v>
                </c:pt>
                <c:pt idx="23">
                  <c:v>Убинский МР</c:v>
                </c:pt>
                <c:pt idx="24">
                  <c:v>Новосибирский МР</c:v>
                </c:pt>
                <c:pt idx="25">
                  <c:v>Чистоозерный МР</c:v>
                </c:pt>
                <c:pt idx="26">
                  <c:v>г. Обь</c:v>
                </c:pt>
                <c:pt idx="27">
                  <c:v>г. Новосибирск</c:v>
                </c:pt>
                <c:pt idx="28">
                  <c:v>Чановский МР</c:v>
                </c:pt>
                <c:pt idx="29">
                  <c:v>Кыштовский МР</c:v>
                </c:pt>
                <c:pt idx="30">
                  <c:v>г. Бердск</c:v>
                </c:pt>
                <c:pt idx="31">
                  <c:v>Каргатский МР</c:v>
                </c:pt>
                <c:pt idx="32">
                  <c:v>Кочковский МР</c:v>
                </c:pt>
                <c:pt idx="33">
                  <c:v>р. п. Кольцово</c:v>
                </c:pt>
                <c:pt idx="34">
                  <c:v>Северный МР</c:v>
                </c:pt>
              </c:strCache>
            </c:strRef>
          </c:cat>
          <c:val>
            <c:numRef>
              <c:f>Лист1!$C$2:$C$36</c:f>
              <c:numCache>
                <c:formatCode>0.0%</c:formatCode>
                <c:ptCount val="35"/>
                <c:pt idx="0">
                  <c:v>0.13300000000000001</c:v>
                </c:pt>
                <c:pt idx="1">
                  <c:v>0.16700000000000001</c:v>
                </c:pt>
                <c:pt idx="2">
                  <c:v>0.26100000000000001</c:v>
                </c:pt>
                <c:pt idx="3">
                  <c:v>0.14300000000000004</c:v>
                </c:pt>
                <c:pt idx="4">
                  <c:v>0.111</c:v>
                </c:pt>
                <c:pt idx="5">
                  <c:v>0.34600000000000031</c:v>
                </c:pt>
                <c:pt idx="6">
                  <c:v>0.2</c:v>
                </c:pt>
                <c:pt idx="7">
                  <c:v>0.23500000000000001</c:v>
                </c:pt>
                <c:pt idx="8">
                  <c:v>0.42100000000000032</c:v>
                </c:pt>
                <c:pt idx="9">
                  <c:v>0.31600000000000328</c:v>
                </c:pt>
                <c:pt idx="10">
                  <c:v>0.30800000000000038</c:v>
                </c:pt>
                <c:pt idx="11">
                  <c:v>0.33300000000000413</c:v>
                </c:pt>
                <c:pt idx="12">
                  <c:v>0.222</c:v>
                </c:pt>
                <c:pt idx="13">
                  <c:v>0.24500000000000041</c:v>
                </c:pt>
                <c:pt idx="14">
                  <c:v>7.6999999999999999E-2</c:v>
                </c:pt>
                <c:pt idx="15">
                  <c:v>0.46200000000000002</c:v>
                </c:pt>
                <c:pt idx="16">
                  <c:v>0.37500000000000322</c:v>
                </c:pt>
                <c:pt idx="17">
                  <c:v>0.37500000000000322</c:v>
                </c:pt>
                <c:pt idx="18">
                  <c:v>0.19400000000000001</c:v>
                </c:pt>
                <c:pt idx="19">
                  <c:v>0.29400000000000032</c:v>
                </c:pt>
                <c:pt idx="20">
                  <c:v>0.16700000000000001</c:v>
                </c:pt>
                <c:pt idx="21">
                  <c:v>0.37500000000000322</c:v>
                </c:pt>
                <c:pt idx="22">
                  <c:v>0.28600000000000031</c:v>
                </c:pt>
                <c:pt idx="23">
                  <c:v>0</c:v>
                </c:pt>
                <c:pt idx="24">
                  <c:v>0.27300000000000002</c:v>
                </c:pt>
                <c:pt idx="25">
                  <c:v>0.36400000000000032</c:v>
                </c:pt>
                <c:pt idx="26">
                  <c:v>0.32100000000000362</c:v>
                </c:pt>
                <c:pt idx="27">
                  <c:v>0.161</c:v>
                </c:pt>
                <c:pt idx="28">
                  <c:v>0.18200000000000024</c:v>
                </c:pt>
                <c:pt idx="29">
                  <c:v>0.83300000000000063</c:v>
                </c:pt>
                <c:pt idx="30">
                  <c:v>0.20500000000000004</c:v>
                </c:pt>
                <c:pt idx="31">
                  <c:v>0.83300000000000063</c:v>
                </c:pt>
                <c:pt idx="32">
                  <c:v>0.28600000000000031</c:v>
                </c:pt>
                <c:pt idx="33">
                  <c:v>0</c:v>
                </c:pt>
                <c:pt idx="34">
                  <c:v>0.83300000000000063</c:v>
                </c:pt>
              </c:numCache>
            </c:numRef>
          </c:val>
          <c:extLst xmlns:c16r2="http://schemas.microsoft.com/office/drawing/2015/06/chart">
            <c:ext xmlns:c16="http://schemas.microsoft.com/office/drawing/2014/chart" uri="{C3380CC4-5D6E-409C-BE32-E72D297353CC}">
              <c16:uniqueId val="{00000006-0D23-42C5-842A-AA86AF54E531}"/>
            </c:ext>
          </c:extLst>
        </c:ser>
        <c:ser>
          <c:idx val="2"/>
          <c:order val="2"/>
          <c:tx>
            <c:strRef>
              <c:f>Лист1!$D$1</c:f>
              <c:strCache>
                <c:ptCount val="1"/>
                <c:pt idx="0">
                  <c:v>Затрудняюсь ответить</c:v>
                </c:pt>
              </c:strCache>
            </c:strRef>
          </c:tx>
          <c:spPr>
            <a:solidFill>
              <a:sysClr val="window" lastClr="FFFFFF">
                <a:lumMod val="85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Купинский МР</c:v>
                </c:pt>
                <c:pt idx="1">
                  <c:v>Усть-Таркский МР</c:v>
                </c:pt>
                <c:pt idx="2">
                  <c:v>Колыванский МР</c:v>
                </c:pt>
                <c:pt idx="3">
                  <c:v>Доволенский МР</c:v>
                </c:pt>
                <c:pt idx="4">
                  <c:v>Татарский МР</c:v>
                </c:pt>
                <c:pt idx="5">
                  <c:v>Куйбышевский МР</c:v>
                </c:pt>
                <c:pt idx="6">
                  <c:v>Чулымский МР</c:v>
                </c:pt>
                <c:pt idx="7">
                  <c:v>Карасукский МР</c:v>
                </c:pt>
                <c:pt idx="8">
                  <c:v>Барабинский МР</c:v>
                </c:pt>
                <c:pt idx="9">
                  <c:v>Ордынский МР</c:v>
                </c:pt>
                <c:pt idx="10">
                  <c:v>Маслянинский МР</c:v>
                </c:pt>
                <c:pt idx="11">
                  <c:v>Тогучинский МР</c:v>
                </c:pt>
                <c:pt idx="12">
                  <c:v>Мошковский МР</c:v>
                </c:pt>
                <c:pt idx="13">
                  <c:v>г. Искитим</c:v>
                </c:pt>
                <c:pt idx="14">
                  <c:v>Болотнинский МР</c:v>
                </c:pt>
                <c:pt idx="15">
                  <c:v>Коченевский МР</c:v>
                </c:pt>
                <c:pt idx="16">
                  <c:v>Баганский МР</c:v>
                </c:pt>
                <c:pt idx="17">
                  <c:v>Краснозерский МР</c:v>
                </c:pt>
                <c:pt idx="18">
                  <c:v>Черепановский МР</c:v>
                </c:pt>
                <c:pt idx="19">
                  <c:v>Искитимский МР</c:v>
                </c:pt>
                <c:pt idx="20">
                  <c:v>Здвинский МР</c:v>
                </c:pt>
                <c:pt idx="21">
                  <c:v>Сузунский МР</c:v>
                </c:pt>
                <c:pt idx="22">
                  <c:v>Венгеровский МР</c:v>
                </c:pt>
                <c:pt idx="23">
                  <c:v>Убинский МР</c:v>
                </c:pt>
                <c:pt idx="24">
                  <c:v>Новосибирский МР</c:v>
                </c:pt>
                <c:pt idx="25">
                  <c:v>Чистоозерный МР</c:v>
                </c:pt>
                <c:pt idx="26">
                  <c:v>г. Обь</c:v>
                </c:pt>
                <c:pt idx="27">
                  <c:v>г. Новосибирск</c:v>
                </c:pt>
                <c:pt idx="28">
                  <c:v>Чановский МР</c:v>
                </c:pt>
                <c:pt idx="29">
                  <c:v>Кыштовский МР</c:v>
                </c:pt>
                <c:pt idx="30">
                  <c:v>г. Бердск</c:v>
                </c:pt>
                <c:pt idx="31">
                  <c:v>Каргатский МР</c:v>
                </c:pt>
                <c:pt idx="32">
                  <c:v>Кочковский МР</c:v>
                </c:pt>
                <c:pt idx="33">
                  <c:v>р. п. Кольцово</c:v>
                </c:pt>
                <c:pt idx="34">
                  <c:v>Северный МР</c:v>
                </c:pt>
              </c:strCache>
            </c:strRef>
          </c:cat>
          <c:val>
            <c:numRef>
              <c:f>Лист1!$D$2:$D$36</c:f>
              <c:numCache>
                <c:formatCode>0.0%</c:formatCode>
                <c:ptCount val="35"/>
                <c:pt idx="0">
                  <c:v>6.7000000000000004E-2</c:v>
                </c:pt>
                <c:pt idx="1">
                  <c:v>0.16700000000000001</c:v>
                </c:pt>
                <c:pt idx="2">
                  <c:v>8.7000000000000022E-2</c:v>
                </c:pt>
                <c:pt idx="3">
                  <c:v>0.28600000000000031</c:v>
                </c:pt>
                <c:pt idx="4">
                  <c:v>0.33300000000000413</c:v>
                </c:pt>
                <c:pt idx="5">
                  <c:v>0.115</c:v>
                </c:pt>
                <c:pt idx="6">
                  <c:v>0.26700000000000002</c:v>
                </c:pt>
                <c:pt idx="7">
                  <c:v>0.23500000000000001</c:v>
                </c:pt>
                <c:pt idx="8">
                  <c:v>5.3000000000000012E-2</c:v>
                </c:pt>
                <c:pt idx="9">
                  <c:v>0.15800000000000144</c:v>
                </c:pt>
                <c:pt idx="10">
                  <c:v>0.23100000000000001</c:v>
                </c:pt>
                <c:pt idx="11">
                  <c:v>0.20800000000000021</c:v>
                </c:pt>
                <c:pt idx="12">
                  <c:v>0.33300000000000413</c:v>
                </c:pt>
                <c:pt idx="13">
                  <c:v>0.32100000000000362</c:v>
                </c:pt>
                <c:pt idx="14">
                  <c:v>0.53800000000000003</c:v>
                </c:pt>
                <c:pt idx="15">
                  <c:v>0.15400000000000041</c:v>
                </c:pt>
                <c:pt idx="16">
                  <c:v>0.25</c:v>
                </c:pt>
                <c:pt idx="17">
                  <c:v>0.25</c:v>
                </c:pt>
                <c:pt idx="18">
                  <c:v>0.44400000000000001</c:v>
                </c:pt>
                <c:pt idx="19">
                  <c:v>0.35300000000000031</c:v>
                </c:pt>
                <c:pt idx="20">
                  <c:v>0.5</c:v>
                </c:pt>
                <c:pt idx="21">
                  <c:v>0.31300000000000322</c:v>
                </c:pt>
                <c:pt idx="22">
                  <c:v>0.42900000000000038</c:v>
                </c:pt>
                <c:pt idx="23">
                  <c:v>0.71400000000000063</c:v>
                </c:pt>
                <c:pt idx="24">
                  <c:v>0.45500000000000002</c:v>
                </c:pt>
                <c:pt idx="25">
                  <c:v>0.36400000000000032</c:v>
                </c:pt>
                <c:pt idx="26">
                  <c:v>0.42900000000000038</c:v>
                </c:pt>
                <c:pt idx="27">
                  <c:v>0.59399999999999997</c:v>
                </c:pt>
                <c:pt idx="28">
                  <c:v>0.60600000000000065</c:v>
                </c:pt>
                <c:pt idx="29">
                  <c:v>0</c:v>
                </c:pt>
                <c:pt idx="30">
                  <c:v>0.66700000000000825</c:v>
                </c:pt>
                <c:pt idx="31">
                  <c:v>0.16700000000000001</c:v>
                </c:pt>
                <c:pt idx="32">
                  <c:v>0.71400000000000063</c:v>
                </c:pt>
                <c:pt idx="33">
                  <c:v>1</c:v>
                </c:pt>
                <c:pt idx="34">
                  <c:v>0.16700000000000001</c:v>
                </c:pt>
              </c:numCache>
            </c:numRef>
          </c:val>
          <c:extLst xmlns:c16r2="http://schemas.microsoft.com/office/drawing/2015/06/chart">
            <c:ext xmlns:c16="http://schemas.microsoft.com/office/drawing/2014/chart" uri="{C3380CC4-5D6E-409C-BE32-E72D297353CC}">
              <c16:uniqueId val="{00000007-0D23-42C5-842A-AA86AF54E531}"/>
            </c:ext>
          </c:extLst>
        </c:ser>
        <c:overlap val="100"/>
        <c:axId val="128306176"/>
        <c:axId val="128393984"/>
      </c:barChart>
      <c:catAx>
        <c:axId val="128306176"/>
        <c:scaling>
          <c:orientation val="maxMin"/>
        </c:scaling>
        <c:axPos val="l"/>
        <c:numFmt formatCode="General" sourceLinked="1"/>
        <c:tickLblPos val="nextTo"/>
        <c:crossAx val="128393984"/>
        <c:crosses val="autoZero"/>
        <c:auto val="1"/>
        <c:lblAlgn val="ctr"/>
        <c:lblOffset val="100"/>
      </c:catAx>
      <c:valAx>
        <c:axId val="128393984"/>
        <c:scaling>
          <c:orientation val="minMax"/>
          <c:max val="1"/>
          <c:min val="0"/>
        </c:scaling>
        <c:axPos val="t"/>
        <c:majorGridlines/>
        <c:numFmt formatCode="0.0%" sourceLinked="1"/>
        <c:tickLblPos val="nextTo"/>
        <c:txPr>
          <a:bodyPr/>
          <a:lstStyle/>
          <a:p>
            <a:pPr>
              <a:defRPr sz="600"/>
            </a:pPr>
            <a:endParaRPr lang="ru-RU"/>
          </a:p>
        </c:txPr>
        <c:crossAx val="128306176"/>
        <c:crosses val="autoZero"/>
        <c:crossBetween val="between"/>
        <c:majorUnit val="0.2"/>
      </c:valAx>
      <c:spPr>
        <a:noFill/>
        <a:ln>
          <a:solidFill>
            <a:schemeClr val="accent1"/>
          </a:solidFill>
        </a:ln>
      </c:spPr>
    </c:plotArea>
    <c:legend>
      <c:legendPos val="t"/>
    </c:legend>
    <c:plotVisOnly val="1"/>
    <c:dispBlanksAs val="gap"/>
  </c:chart>
  <c:spPr>
    <a:ln>
      <a:noFill/>
    </a:ln>
  </c:spPr>
  <c:txPr>
    <a:bodyPr/>
    <a:lstStyle/>
    <a:p>
      <a:pPr>
        <a:defRPr>
          <a:latin typeface="Arial Narrow" panose="020B0606020202030204" pitchFamily="34" charset="0"/>
        </a:defRPr>
      </a:pPr>
      <a:endParaRPr lang="ru-RU"/>
    </a:p>
  </c:txPr>
  <c:externalData r:id="rId2"/>
</c:chartSpace>
</file>

<file path=word/charts/chart44.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53998968701243366"/>
          <c:y val="7.6190911549699314E-2"/>
          <c:w val="0.56037176496336549"/>
          <c:h val="0.91005535048322161"/>
        </c:manualLayout>
      </c:layout>
      <c:barChart>
        <c:barDir val="bar"/>
        <c:grouping val="stacked"/>
        <c:ser>
          <c:idx val="0"/>
          <c:order val="0"/>
          <c:tx>
            <c:strRef>
              <c:f>Лист1!$B$1</c:f>
              <c:strCache>
                <c:ptCount val="1"/>
                <c:pt idx="0">
                  <c:v>Удовлетворительно</c:v>
                </c:pt>
              </c:strCache>
            </c:strRef>
          </c:tx>
          <c:spPr>
            <a:solidFill>
              <a:srgbClr val="ED7D31">
                <a:lumMod val="40000"/>
                <a:lumOff val="60000"/>
              </a:srgbClr>
            </a:solidFill>
          </c:spPr>
          <c:dLbls>
            <c:dLbl>
              <c:idx val="10"/>
              <c:layout>
                <c:manualLayout>
                  <c:x val="1.1918951132300289E-2"/>
                  <c:y val="8.9495345606785534E-1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F10B-4F46-B8A0-C9E9BE9BD403}"/>
                </c:ext>
              </c:extLst>
            </c:dLbl>
            <c:dLbl>
              <c:idx val="1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F10B-4F46-B8A0-C9E9BE9BD403}"/>
                </c:ext>
              </c:extLst>
            </c:dLbl>
            <c:dLbl>
              <c:idx val="1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F10B-4F46-B8A0-C9E9BE9BD403}"/>
                </c:ext>
              </c:extLst>
            </c:dLbl>
            <c:spPr>
              <a:noFill/>
              <a:ln>
                <a:no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развития, производства, переработки и хранения с‎\х продукции</c:v>
                </c:pt>
                <c:pt idx="1">
                  <c:v>Рынок услуг ЖКХ</c:v>
                </c:pt>
                <c:pt idx="2">
                  <c:v>Розничная торговля</c:v>
                </c:pt>
                <c:pt idx="3">
                  <c:v>Рынок медицинских услуг</c:v>
                </c:pt>
                <c:pt idx="4">
                  <c:v>Рынок услуг дополнительного образования детей</c:v>
                </c:pt>
                <c:pt idx="5">
                  <c:v>Рынок услуг по сбору, сортировке и переработке твердых коммунальных (бытовых) отходов</c:v>
                </c:pt>
                <c:pt idx="6">
                  <c:v>Рынок услуг психолого-педагогического сопровождения детей с ограниченными возможностями здоровья</c:v>
                </c:pt>
                <c:pt idx="7">
                  <c:v>Рынок услуг в сфере культуры</c:v>
                </c:pt>
                <c:pt idx="8">
                  <c:v>Рынок услуг социального обслуживания населения</c:v>
                </c:pt>
                <c:pt idx="9">
                  <c:v>Рынок услуг связи</c:v>
                </c:pt>
                <c:pt idx="10">
                  <c:v>Рынок услуг перевозок пассажиров наземным транспортом</c:v>
                </c:pt>
                <c:pt idx="11">
                  <c:v>Рынок услуг дошкольного образования</c:v>
                </c:pt>
                <c:pt idx="12">
                  <c:v>Рынок услуг детского отдыха и оздоровления</c:v>
                </c:pt>
              </c:strCache>
            </c:strRef>
          </c:cat>
          <c:val>
            <c:numRef>
              <c:f>Лист1!$B$2:$B$14</c:f>
              <c:numCache>
                <c:formatCode>0.0%</c:formatCode>
                <c:ptCount val="13"/>
                <c:pt idx="0">
                  <c:v>0.44</c:v>
                </c:pt>
                <c:pt idx="1">
                  <c:v>0.35700000000000032</c:v>
                </c:pt>
                <c:pt idx="2">
                  <c:v>0.31100000000000333</c:v>
                </c:pt>
                <c:pt idx="3">
                  <c:v>0.25700000000000001</c:v>
                </c:pt>
                <c:pt idx="4">
                  <c:v>0.24000000000000021</c:v>
                </c:pt>
                <c:pt idx="5">
                  <c:v>0.2</c:v>
                </c:pt>
                <c:pt idx="6">
                  <c:v>0.16</c:v>
                </c:pt>
                <c:pt idx="7">
                  <c:v>0.12000000000000002</c:v>
                </c:pt>
                <c:pt idx="8">
                  <c:v>0.12000000000000002</c:v>
                </c:pt>
                <c:pt idx="9">
                  <c:v>8.0000000000000043E-2</c:v>
                </c:pt>
                <c:pt idx="10">
                  <c:v>3.3000000000000002E-2</c:v>
                </c:pt>
                <c:pt idx="11">
                  <c:v>0</c:v>
                </c:pt>
                <c:pt idx="12">
                  <c:v>0</c:v>
                </c:pt>
              </c:numCache>
            </c:numRef>
          </c:val>
          <c:extLst xmlns:c16r2="http://schemas.microsoft.com/office/drawing/2015/06/chart">
            <c:ext xmlns:c16="http://schemas.microsoft.com/office/drawing/2014/chart" uri="{C3380CC4-5D6E-409C-BE32-E72D297353CC}">
              <c16:uniqueId val="{00000003-F10B-4F46-B8A0-C9E9BE9BD403}"/>
            </c:ext>
          </c:extLst>
        </c:ser>
        <c:ser>
          <c:idx val="1"/>
          <c:order val="1"/>
          <c:tx>
            <c:strRef>
              <c:f>Лист1!$C$1</c:f>
              <c:strCache>
                <c:ptCount val="1"/>
                <c:pt idx="0">
                  <c:v>Неудовлетворительно</c:v>
                </c:pt>
              </c:strCache>
            </c:strRef>
          </c:tx>
          <c:spPr>
            <a:solidFill>
              <a:srgbClr val="B28AB2"/>
            </a:solidFill>
            <a:ln>
              <a:noFill/>
            </a:ln>
          </c:spPr>
          <c:dLbls>
            <c:dLbl>
              <c:idx val="6"/>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F10B-4F46-B8A0-C9E9BE9BD403}"/>
                </c:ext>
              </c:extLst>
            </c:dLbl>
            <c:dLbl>
              <c:idx val="7"/>
              <c:layout>
                <c:manualLayout>
                  <c:x val="1.7878426698450623E-2"/>
                  <c:y val="8.9495345606785534E-1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F10B-4F46-B8A0-C9E9BE9BD403}"/>
                </c:ext>
              </c:extLst>
            </c:dLbl>
            <c:dLbl>
              <c:idx val="9"/>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F10B-4F46-B8A0-C9E9BE9BD403}"/>
                </c:ext>
              </c:extLst>
            </c:dLbl>
            <c:dLbl>
              <c:idx val="10"/>
              <c:layout>
                <c:manualLayout>
                  <c:x val="2.9797377830751006E-2"/>
                  <c:y val="8.9495345606785534E-1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F10B-4F46-B8A0-C9E9BE9BD403}"/>
                </c:ext>
              </c:extLst>
            </c:dLbl>
            <c:dLbl>
              <c:idx val="1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F10B-4F46-B8A0-C9E9BE9BD403}"/>
                </c:ext>
              </c:extLst>
            </c:dLbl>
            <c:dLbl>
              <c:idx val="1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F10B-4F46-B8A0-C9E9BE9BD403}"/>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развития, производства, переработки и хранения с‎\х продукции</c:v>
                </c:pt>
                <c:pt idx="1">
                  <c:v>Рынок услуг ЖКХ</c:v>
                </c:pt>
                <c:pt idx="2">
                  <c:v>Розничная торговля</c:v>
                </c:pt>
                <c:pt idx="3">
                  <c:v>Рынок медицинских услуг</c:v>
                </c:pt>
                <c:pt idx="4">
                  <c:v>Рынок услуг дополнительного образования детей</c:v>
                </c:pt>
                <c:pt idx="5">
                  <c:v>Рынок услуг по сбору, сортировке и переработке твердых коммунальных (бытовых) отходов</c:v>
                </c:pt>
                <c:pt idx="6">
                  <c:v>Рынок услуг психолого-педагогического сопровождения детей с ограниченными возможностями здоровья</c:v>
                </c:pt>
                <c:pt idx="7">
                  <c:v>Рынок услуг в сфере культуры</c:v>
                </c:pt>
                <c:pt idx="8">
                  <c:v>Рынок услуг социального обслуживания населения</c:v>
                </c:pt>
                <c:pt idx="9">
                  <c:v>Рынок услуг связи</c:v>
                </c:pt>
                <c:pt idx="10">
                  <c:v>Рынок услуг перевозок пассажиров наземным транспортом</c:v>
                </c:pt>
                <c:pt idx="11">
                  <c:v>Рынок услуг дошкольного образования</c:v>
                </c:pt>
                <c:pt idx="12">
                  <c:v>Рынок услуг детского отдыха и оздоровления</c:v>
                </c:pt>
              </c:strCache>
            </c:strRef>
          </c:cat>
          <c:val>
            <c:numRef>
              <c:f>Лист1!$C$2:$C$14</c:f>
              <c:numCache>
                <c:formatCode>0.0%</c:formatCode>
                <c:ptCount val="13"/>
                <c:pt idx="0">
                  <c:v>9.0000000000000024E-2</c:v>
                </c:pt>
                <c:pt idx="1">
                  <c:v>0.14300000000000004</c:v>
                </c:pt>
                <c:pt idx="2">
                  <c:v>0.25</c:v>
                </c:pt>
                <c:pt idx="3">
                  <c:v>0.129</c:v>
                </c:pt>
                <c:pt idx="4">
                  <c:v>8.0000000000000043E-2</c:v>
                </c:pt>
                <c:pt idx="5">
                  <c:v>0.2</c:v>
                </c:pt>
                <c:pt idx="6">
                  <c:v>0</c:v>
                </c:pt>
                <c:pt idx="7">
                  <c:v>4.0000000000000022E-2</c:v>
                </c:pt>
                <c:pt idx="8">
                  <c:v>0.16</c:v>
                </c:pt>
                <c:pt idx="9">
                  <c:v>0</c:v>
                </c:pt>
                <c:pt idx="10">
                  <c:v>6.7000000000000004E-2</c:v>
                </c:pt>
                <c:pt idx="11">
                  <c:v>0</c:v>
                </c:pt>
                <c:pt idx="12">
                  <c:v>0</c:v>
                </c:pt>
              </c:numCache>
            </c:numRef>
          </c:val>
          <c:extLst xmlns:c16r2="http://schemas.microsoft.com/office/drawing/2015/06/chart">
            <c:ext xmlns:c16="http://schemas.microsoft.com/office/drawing/2014/chart" uri="{C3380CC4-5D6E-409C-BE32-E72D297353CC}">
              <c16:uniqueId val="{0000000A-F10B-4F46-B8A0-C9E9BE9BD403}"/>
            </c:ext>
          </c:extLst>
        </c:ser>
        <c:ser>
          <c:idx val="2"/>
          <c:order val="2"/>
          <c:tx>
            <c:strRef>
              <c:f>Лист1!$D$1</c:f>
              <c:strCache>
                <c:ptCount val="1"/>
                <c:pt idx="0">
                  <c:v>Затрудняюсь ответить</c:v>
                </c:pt>
              </c:strCache>
            </c:strRef>
          </c:tx>
          <c:spPr>
            <a:solidFill>
              <a:sysClr val="window" lastClr="FFFFFF">
                <a:lumMod val="85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развития, производства, переработки и хранения с‎\х продукции</c:v>
                </c:pt>
                <c:pt idx="1">
                  <c:v>Рынок услуг ЖКХ</c:v>
                </c:pt>
                <c:pt idx="2">
                  <c:v>Розничная торговля</c:v>
                </c:pt>
                <c:pt idx="3">
                  <c:v>Рынок медицинских услуг</c:v>
                </c:pt>
                <c:pt idx="4">
                  <c:v>Рынок услуг дополнительного образования детей</c:v>
                </c:pt>
                <c:pt idx="5">
                  <c:v>Рынок услуг по сбору, сортировке и переработке твердых коммунальных (бытовых) отходов</c:v>
                </c:pt>
                <c:pt idx="6">
                  <c:v>Рынок услуг психолого-педагогического сопровождения детей с ограниченными возможностями здоровья</c:v>
                </c:pt>
                <c:pt idx="7">
                  <c:v>Рынок услуг в сфере культуры</c:v>
                </c:pt>
                <c:pt idx="8">
                  <c:v>Рынок услуг социального обслуживания населения</c:v>
                </c:pt>
                <c:pt idx="9">
                  <c:v>Рынок услуг связи</c:v>
                </c:pt>
                <c:pt idx="10">
                  <c:v>Рынок услуг перевозок пассажиров наземным транспортом</c:v>
                </c:pt>
                <c:pt idx="11">
                  <c:v>Рынок услуг дошкольного образования</c:v>
                </c:pt>
                <c:pt idx="12">
                  <c:v>Рынок услуг детского отдыха и оздоровления</c:v>
                </c:pt>
              </c:strCache>
            </c:strRef>
          </c:cat>
          <c:val>
            <c:numRef>
              <c:f>Лист1!$D$2:$D$14</c:f>
              <c:numCache>
                <c:formatCode>0.0%</c:formatCode>
                <c:ptCount val="13"/>
                <c:pt idx="0">
                  <c:v>0.47000000000000008</c:v>
                </c:pt>
                <c:pt idx="1">
                  <c:v>0.5</c:v>
                </c:pt>
                <c:pt idx="2">
                  <c:v>0.43900000000000333</c:v>
                </c:pt>
                <c:pt idx="3">
                  <c:v>0.61400000000000265</c:v>
                </c:pt>
                <c:pt idx="4">
                  <c:v>0.68</c:v>
                </c:pt>
                <c:pt idx="5">
                  <c:v>0.60000000000000064</c:v>
                </c:pt>
                <c:pt idx="6">
                  <c:v>0.84000000000000064</c:v>
                </c:pt>
                <c:pt idx="7">
                  <c:v>0.84000000000000064</c:v>
                </c:pt>
                <c:pt idx="8">
                  <c:v>0.72000000000000064</c:v>
                </c:pt>
                <c:pt idx="9">
                  <c:v>0.92</c:v>
                </c:pt>
                <c:pt idx="10">
                  <c:v>0.9</c:v>
                </c:pt>
                <c:pt idx="11">
                  <c:v>1</c:v>
                </c:pt>
                <c:pt idx="12">
                  <c:v>1</c:v>
                </c:pt>
              </c:numCache>
            </c:numRef>
          </c:val>
          <c:extLst xmlns:c16r2="http://schemas.microsoft.com/office/drawing/2015/06/chart">
            <c:ext xmlns:c16="http://schemas.microsoft.com/office/drawing/2014/chart" uri="{C3380CC4-5D6E-409C-BE32-E72D297353CC}">
              <c16:uniqueId val="{0000000B-F10B-4F46-B8A0-C9E9BE9BD403}"/>
            </c:ext>
          </c:extLst>
        </c:ser>
        <c:overlap val="100"/>
        <c:axId val="130968960"/>
        <c:axId val="131101824"/>
      </c:barChart>
      <c:catAx>
        <c:axId val="130968960"/>
        <c:scaling>
          <c:orientation val="maxMin"/>
        </c:scaling>
        <c:axPos val="l"/>
        <c:numFmt formatCode="General" sourceLinked="1"/>
        <c:tickLblPos val="nextTo"/>
        <c:crossAx val="131101824"/>
        <c:crosses val="autoZero"/>
        <c:auto val="1"/>
        <c:lblAlgn val="ctr"/>
        <c:lblOffset val="100"/>
      </c:catAx>
      <c:valAx>
        <c:axId val="131101824"/>
        <c:scaling>
          <c:orientation val="minMax"/>
          <c:max val="1"/>
          <c:min val="0"/>
        </c:scaling>
        <c:axPos val="t"/>
        <c:majorGridlines/>
        <c:numFmt formatCode="0.0%" sourceLinked="1"/>
        <c:tickLblPos val="nextTo"/>
        <c:txPr>
          <a:bodyPr/>
          <a:lstStyle/>
          <a:p>
            <a:pPr>
              <a:defRPr sz="600"/>
            </a:pPr>
            <a:endParaRPr lang="ru-RU"/>
          </a:p>
        </c:txPr>
        <c:crossAx val="130968960"/>
        <c:crosses val="autoZero"/>
        <c:crossBetween val="between"/>
        <c:majorUnit val="0.2"/>
      </c:valAx>
      <c:spPr>
        <a:noFill/>
        <a:ln>
          <a:solidFill>
            <a:schemeClr val="accent1"/>
          </a:solidFill>
        </a:ln>
      </c:spPr>
    </c:plotArea>
    <c:legend>
      <c:legendPos val="t"/>
      <c:layout>
        <c:manualLayout>
          <c:xMode val="edge"/>
          <c:yMode val="edge"/>
          <c:x val="0.16742825948901799"/>
          <c:y val="0"/>
          <c:w val="0.6651433246052908"/>
          <c:h val="4.2010574282315513E-2"/>
        </c:manualLayout>
      </c:layout>
    </c:legend>
    <c:plotVisOnly val="1"/>
    <c:dispBlanksAs val="gap"/>
  </c:chart>
  <c:spPr>
    <a:ln>
      <a:noFill/>
    </a:ln>
  </c:spPr>
  <c:txPr>
    <a:bodyPr/>
    <a:lstStyle/>
    <a:p>
      <a:pPr>
        <a:defRPr>
          <a:latin typeface="Arial Narrow" panose="020B0606020202030204" pitchFamily="34" charset="0"/>
        </a:defRPr>
      </a:pPr>
      <a:endParaRPr lang="ru-RU"/>
    </a:p>
  </c:txPr>
  <c:externalData r:id="rId2"/>
</c:chartSpace>
</file>

<file path=word/charts/chart45.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27650257804892092"/>
          <c:y val="0.15026485325697941"/>
          <c:w val="0.68250275481088496"/>
          <c:h val="0.83598133566638211"/>
        </c:manualLayout>
      </c:layout>
      <c:barChart>
        <c:barDir val="bar"/>
        <c:grouping val="stacked"/>
        <c:ser>
          <c:idx val="0"/>
          <c:order val="0"/>
          <c:tx>
            <c:strRef>
              <c:f>Лист1!$B$1</c:f>
              <c:strCache>
                <c:ptCount val="1"/>
                <c:pt idx="0">
                  <c:v>Удовлетворительно</c:v>
                </c:pt>
              </c:strCache>
            </c:strRef>
          </c:tx>
          <c:spPr>
            <a:solidFill>
              <a:srgbClr val="ED7D31">
                <a:lumMod val="40000"/>
                <a:lumOff val="60000"/>
              </a:srgbClr>
            </a:solidFill>
          </c:spPr>
          <c:dLbls>
            <c:spPr>
              <a:noFill/>
              <a:ln>
                <a:no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среднее предприятие</c:v>
                </c:pt>
                <c:pt idx="1">
                  <c:v>малое предприятие</c:v>
                </c:pt>
              </c:strCache>
            </c:strRef>
          </c:cat>
          <c:val>
            <c:numRef>
              <c:f>Лист1!$B$2:$B$3</c:f>
              <c:numCache>
                <c:formatCode>0.0%</c:formatCode>
                <c:ptCount val="2"/>
                <c:pt idx="0">
                  <c:v>0.45500000000000002</c:v>
                </c:pt>
                <c:pt idx="1">
                  <c:v>0.29000000000000031</c:v>
                </c:pt>
              </c:numCache>
            </c:numRef>
          </c:val>
          <c:extLst xmlns:c16r2="http://schemas.microsoft.com/office/drawing/2015/06/chart">
            <c:ext xmlns:c16="http://schemas.microsoft.com/office/drawing/2014/chart" uri="{C3380CC4-5D6E-409C-BE32-E72D297353CC}">
              <c16:uniqueId val="{00000000-70FA-4511-A3A1-CDAFED4E91E2}"/>
            </c:ext>
          </c:extLst>
        </c:ser>
        <c:ser>
          <c:idx val="1"/>
          <c:order val="1"/>
          <c:tx>
            <c:strRef>
              <c:f>Лист1!$C$1</c:f>
              <c:strCache>
                <c:ptCount val="1"/>
                <c:pt idx="0">
                  <c:v>Неудовлетворительно</c:v>
                </c:pt>
              </c:strCache>
            </c:strRef>
          </c:tx>
          <c:spPr>
            <a:solidFill>
              <a:srgbClr val="B28AB2"/>
            </a:solidFill>
            <a:ln>
              <a:noFill/>
            </a:ln>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среднее предприятие</c:v>
                </c:pt>
                <c:pt idx="1">
                  <c:v>малое предприятие</c:v>
                </c:pt>
              </c:strCache>
            </c:strRef>
          </c:cat>
          <c:val>
            <c:numRef>
              <c:f>Лист1!$C$2:$C$3</c:f>
              <c:numCache>
                <c:formatCode>0.0%</c:formatCode>
                <c:ptCount val="2"/>
                <c:pt idx="0">
                  <c:v>0.18200000000000024</c:v>
                </c:pt>
                <c:pt idx="1">
                  <c:v>0.17500000000000004</c:v>
                </c:pt>
              </c:numCache>
            </c:numRef>
          </c:val>
          <c:extLst xmlns:c16r2="http://schemas.microsoft.com/office/drawing/2015/06/chart">
            <c:ext xmlns:c16="http://schemas.microsoft.com/office/drawing/2014/chart" uri="{C3380CC4-5D6E-409C-BE32-E72D297353CC}">
              <c16:uniqueId val="{00000001-70FA-4511-A3A1-CDAFED4E91E2}"/>
            </c:ext>
          </c:extLst>
        </c:ser>
        <c:ser>
          <c:idx val="2"/>
          <c:order val="2"/>
          <c:tx>
            <c:strRef>
              <c:f>Лист1!$D$1</c:f>
              <c:strCache>
                <c:ptCount val="1"/>
                <c:pt idx="0">
                  <c:v>Затрудняюсь ответить</c:v>
                </c:pt>
              </c:strCache>
            </c:strRef>
          </c:tx>
          <c:spPr>
            <a:solidFill>
              <a:sysClr val="window" lastClr="FFFFFF">
                <a:lumMod val="85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среднее предприятие</c:v>
                </c:pt>
                <c:pt idx="1">
                  <c:v>малое предприятие</c:v>
                </c:pt>
              </c:strCache>
            </c:strRef>
          </c:cat>
          <c:val>
            <c:numRef>
              <c:f>Лист1!$D$2:$D$3</c:f>
              <c:numCache>
                <c:formatCode>0.0%</c:formatCode>
                <c:ptCount val="2"/>
                <c:pt idx="0">
                  <c:v>0.36400000000000032</c:v>
                </c:pt>
                <c:pt idx="1">
                  <c:v>0.53600000000000003</c:v>
                </c:pt>
              </c:numCache>
            </c:numRef>
          </c:val>
          <c:extLst xmlns:c16r2="http://schemas.microsoft.com/office/drawing/2015/06/chart">
            <c:ext xmlns:c16="http://schemas.microsoft.com/office/drawing/2014/chart" uri="{C3380CC4-5D6E-409C-BE32-E72D297353CC}">
              <c16:uniqueId val="{00000002-70FA-4511-A3A1-CDAFED4E91E2}"/>
            </c:ext>
          </c:extLst>
        </c:ser>
        <c:overlap val="100"/>
        <c:axId val="131170688"/>
        <c:axId val="131172224"/>
      </c:barChart>
      <c:catAx>
        <c:axId val="131170688"/>
        <c:scaling>
          <c:orientation val="maxMin"/>
        </c:scaling>
        <c:axPos val="l"/>
        <c:numFmt formatCode="General" sourceLinked="1"/>
        <c:tickLblPos val="nextTo"/>
        <c:crossAx val="131172224"/>
        <c:crosses val="autoZero"/>
        <c:auto val="1"/>
        <c:lblAlgn val="ctr"/>
        <c:lblOffset val="100"/>
      </c:catAx>
      <c:valAx>
        <c:axId val="131172224"/>
        <c:scaling>
          <c:orientation val="minMax"/>
          <c:max val="1"/>
          <c:min val="0"/>
        </c:scaling>
        <c:delete val="1"/>
        <c:axPos val="t"/>
        <c:majorGridlines/>
        <c:numFmt formatCode="0.0%" sourceLinked="1"/>
        <c:tickLblPos val="none"/>
        <c:crossAx val="131170688"/>
        <c:crosses val="autoZero"/>
        <c:crossBetween val="between"/>
        <c:majorUnit val="0.2"/>
      </c:valAx>
      <c:spPr>
        <a:noFill/>
        <a:ln>
          <a:solidFill>
            <a:schemeClr val="accent1"/>
          </a:solidFill>
        </a:ln>
      </c:spPr>
    </c:plotArea>
    <c:legend>
      <c:legendPos val="t"/>
      <c:layout>
        <c:manualLayout>
          <c:xMode val="edge"/>
          <c:yMode val="edge"/>
          <c:x val="0.14536404680305673"/>
          <c:y val="0"/>
          <c:w val="0.70506032766119064"/>
          <c:h val="0.1159039211007715"/>
        </c:manualLayout>
      </c:layout>
    </c:legend>
    <c:plotVisOnly val="1"/>
    <c:dispBlanksAs val="gap"/>
  </c:chart>
  <c:spPr>
    <a:ln>
      <a:noFill/>
    </a:ln>
  </c:spPr>
  <c:txPr>
    <a:bodyPr/>
    <a:lstStyle/>
    <a:p>
      <a:pPr>
        <a:defRPr>
          <a:latin typeface="Arial Narrow" panose="020B0606020202030204" pitchFamily="34" charset="0"/>
        </a:defRPr>
      </a:pPr>
      <a:endParaRPr lang="ru-RU"/>
    </a:p>
  </c:txPr>
</c:chartSpace>
</file>

<file path=word/charts/chart46.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27650257804892092"/>
          <c:y val="6.0847302846268332E-2"/>
          <c:w val="0.68250275481088496"/>
          <c:h val="0.92762432068254264"/>
        </c:manualLayout>
      </c:layout>
      <c:barChart>
        <c:barDir val="bar"/>
        <c:grouping val="stacked"/>
        <c:ser>
          <c:idx val="0"/>
          <c:order val="0"/>
          <c:tx>
            <c:strRef>
              <c:f>Лист1!$B$1</c:f>
              <c:strCache>
                <c:ptCount val="1"/>
                <c:pt idx="0">
                  <c:v>Удовлетворительно</c:v>
                </c:pt>
              </c:strCache>
            </c:strRef>
          </c:tx>
          <c:spPr>
            <a:solidFill>
              <a:srgbClr val="ED7D31">
                <a:lumMod val="40000"/>
                <a:lumOff val="60000"/>
              </a:srgbClr>
            </a:solidFill>
          </c:spPr>
          <c:dLbls>
            <c:dLbl>
              <c:idx val="3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431B-4796-AF22-20531FB3BF05}"/>
                </c:ext>
              </c:extLst>
            </c:dLbl>
            <c:dLbl>
              <c:idx val="3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31B-4796-AF22-20531FB3BF05}"/>
                </c:ext>
              </c:extLst>
            </c:dLbl>
            <c:spPr>
              <a:noFill/>
              <a:ln>
                <a:noFill/>
              </a:ln>
              <a:effectLst/>
            </c:spPr>
            <c:txPr>
              <a:bodyPr/>
              <a:lstStyle/>
              <a:p>
                <a:pPr>
                  <a:defRPr sz="900">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Кыштовский МР</c:v>
                </c:pt>
                <c:pt idx="1">
                  <c:v>Здвинский МР</c:v>
                </c:pt>
                <c:pt idx="2">
                  <c:v>Купинский МР</c:v>
                </c:pt>
                <c:pt idx="3">
                  <c:v>Усть-Таркский МР</c:v>
                </c:pt>
                <c:pt idx="4">
                  <c:v>Баганский МР</c:v>
                </c:pt>
                <c:pt idx="5">
                  <c:v>Барабинский МР</c:v>
                </c:pt>
                <c:pt idx="6">
                  <c:v>Коченевский МР</c:v>
                </c:pt>
                <c:pt idx="7">
                  <c:v>Куйбышевский МР</c:v>
                </c:pt>
                <c:pt idx="8">
                  <c:v>Чулымский МР</c:v>
                </c:pt>
                <c:pt idx="9">
                  <c:v>Карасукский МР</c:v>
                </c:pt>
                <c:pt idx="10">
                  <c:v>Ордынский МР</c:v>
                </c:pt>
                <c:pt idx="11">
                  <c:v>Колыванский МР</c:v>
                </c:pt>
                <c:pt idx="12">
                  <c:v>Черепановский МР</c:v>
                </c:pt>
                <c:pt idx="13">
                  <c:v>Маслянинский МР</c:v>
                </c:pt>
                <c:pt idx="14">
                  <c:v>Мошковский МР</c:v>
                </c:pt>
                <c:pt idx="15">
                  <c:v>Татарский МР</c:v>
                </c:pt>
                <c:pt idx="16">
                  <c:v>Венгеровский МР</c:v>
                </c:pt>
                <c:pt idx="17">
                  <c:v>Доволенский МР</c:v>
                </c:pt>
                <c:pt idx="18">
                  <c:v>Тогучинский МР</c:v>
                </c:pt>
                <c:pt idx="19">
                  <c:v>г. Искитим</c:v>
                </c:pt>
                <c:pt idx="20">
                  <c:v>Болотнинский МР</c:v>
                </c:pt>
                <c:pt idx="21">
                  <c:v>Краснозерский МР</c:v>
                </c:pt>
                <c:pt idx="22">
                  <c:v>Сузунский МР</c:v>
                </c:pt>
                <c:pt idx="23">
                  <c:v>Искитимский МР</c:v>
                </c:pt>
                <c:pt idx="24">
                  <c:v>Северный МР</c:v>
                </c:pt>
                <c:pt idx="25">
                  <c:v>Убинский МР</c:v>
                </c:pt>
                <c:pt idx="26">
                  <c:v>Новосибирский МР</c:v>
                </c:pt>
                <c:pt idx="27">
                  <c:v>г. Обь</c:v>
                </c:pt>
                <c:pt idx="28">
                  <c:v>г. Новосибирск</c:v>
                </c:pt>
                <c:pt idx="29">
                  <c:v>Чановский МР</c:v>
                </c:pt>
                <c:pt idx="30">
                  <c:v>Чистоозерный МР</c:v>
                </c:pt>
                <c:pt idx="31">
                  <c:v>Каргатский МР</c:v>
                </c:pt>
                <c:pt idx="32">
                  <c:v>г. Бердск</c:v>
                </c:pt>
                <c:pt idx="33">
                  <c:v>Кочковский МР</c:v>
                </c:pt>
                <c:pt idx="34">
                  <c:v>р. п. Кольцово</c:v>
                </c:pt>
              </c:strCache>
            </c:strRef>
          </c:cat>
          <c:val>
            <c:numRef>
              <c:f>Лист1!$B$2:$B$36</c:f>
              <c:numCache>
                <c:formatCode>0.0%</c:formatCode>
                <c:ptCount val="35"/>
                <c:pt idx="0">
                  <c:v>0.83300000000000063</c:v>
                </c:pt>
                <c:pt idx="1">
                  <c:v>0.66700000000000825</c:v>
                </c:pt>
                <c:pt idx="2">
                  <c:v>0.66700000000000825</c:v>
                </c:pt>
                <c:pt idx="3">
                  <c:v>0.66700000000000825</c:v>
                </c:pt>
                <c:pt idx="4">
                  <c:v>0.62500000000000655</c:v>
                </c:pt>
                <c:pt idx="5">
                  <c:v>0.57900000000000063</c:v>
                </c:pt>
                <c:pt idx="6">
                  <c:v>0.53800000000000003</c:v>
                </c:pt>
                <c:pt idx="7">
                  <c:v>0.53800000000000003</c:v>
                </c:pt>
                <c:pt idx="8">
                  <c:v>0.53300000000000003</c:v>
                </c:pt>
                <c:pt idx="9">
                  <c:v>0.52900000000000003</c:v>
                </c:pt>
                <c:pt idx="10">
                  <c:v>0.52600000000000002</c:v>
                </c:pt>
                <c:pt idx="11">
                  <c:v>0.52200000000000002</c:v>
                </c:pt>
                <c:pt idx="12">
                  <c:v>0.47200000000000031</c:v>
                </c:pt>
                <c:pt idx="13">
                  <c:v>0.46200000000000002</c:v>
                </c:pt>
                <c:pt idx="14">
                  <c:v>0.44400000000000001</c:v>
                </c:pt>
                <c:pt idx="15">
                  <c:v>0.44400000000000001</c:v>
                </c:pt>
                <c:pt idx="16">
                  <c:v>0.42900000000000038</c:v>
                </c:pt>
                <c:pt idx="17">
                  <c:v>0.42900000000000038</c:v>
                </c:pt>
                <c:pt idx="18">
                  <c:v>0.41700000000000031</c:v>
                </c:pt>
                <c:pt idx="19">
                  <c:v>0.40700000000000008</c:v>
                </c:pt>
                <c:pt idx="20">
                  <c:v>0.38500000000000362</c:v>
                </c:pt>
                <c:pt idx="21">
                  <c:v>0.37500000000000322</c:v>
                </c:pt>
                <c:pt idx="22">
                  <c:v>0.37500000000000322</c:v>
                </c:pt>
                <c:pt idx="23">
                  <c:v>0.35300000000000031</c:v>
                </c:pt>
                <c:pt idx="24">
                  <c:v>0.33300000000000413</c:v>
                </c:pt>
                <c:pt idx="25">
                  <c:v>0.28600000000000031</c:v>
                </c:pt>
                <c:pt idx="26">
                  <c:v>0.27300000000000002</c:v>
                </c:pt>
                <c:pt idx="27">
                  <c:v>0.25</c:v>
                </c:pt>
                <c:pt idx="28">
                  <c:v>0.24100000000000021</c:v>
                </c:pt>
                <c:pt idx="29">
                  <c:v>0.18200000000000024</c:v>
                </c:pt>
                <c:pt idx="30">
                  <c:v>0.18200000000000024</c:v>
                </c:pt>
                <c:pt idx="31">
                  <c:v>0.16700000000000001</c:v>
                </c:pt>
                <c:pt idx="32">
                  <c:v>0.10299999999999998</c:v>
                </c:pt>
                <c:pt idx="33">
                  <c:v>0</c:v>
                </c:pt>
                <c:pt idx="34">
                  <c:v>0</c:v>
                </c:pt>
              </c:numCache>
            </c:numRef>
          </c:val>
          <c:extLst xmlns:c16r2="http://schemas.microsoft.com/office/drawing/2015/06/chart">
            <c:ext xmlns:c16="http://schemas.microsoft.com/office/drawing/2014/chart" uri="{C3380CC4-5D6E-409C-BE32-E72D297353CC}">
              <c16:uniqueId val="{00000002-431B-4796-AF22-20531FB3BF05}"/>
            </c:ext>
          </c:extLst>
        </c:ser>
        <c:ser>
          <c:idx val="1"/>
          <c:order val="1"/>
          <c:tx>
            <c:strRef>
              <c:f>Лист1!$C$1</c:f>
              <c:strCache>
                <c:ptCount val="1"/>
                <c:pt idx="0">
                  <c:v>Неудовлетворительно</c:v>
                </c:pt>
              </c:strCache>
            </c:strRef>
          </c:tx>
          <c:spPr>
            <a:solidFill>
              <a:srgbClr val="B28AB2"/>
            </a:solidFill>
            <a:ln>
              <a:noFill/>
            </a:ln>
          </c:spPr>
          <c:dLbls>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431B-4796-AF22-20531FB3BF05}"/>
                </c:ext>
              </c:extLst>
            </c:dLbl>
            <c:dLbl>
              <c:idx val="25"/>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431B-4796-AF22-20531FB3BF05}"/>
                </c:ext>
              </c:extLst>
            </c:dLbl>
            <c:dLbl>
              <c:idx val="3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431B-4796-AF22-20531FB3BF05}"/>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Кыштовский МР</c:v>
                </c:pt>
                <c:pt idx="1">
                  <c:v>Здвинский МР</c:v>
                </c:pt>
                <c:pt idx="2">
                  <c:v>Купинский МР</c:v>
                </c:pt>
                <c:pt idx="3">
                  <c:v>Усть-Таркский МР</c:v>
                </c:pt>
                <c:pt idx="4">
                  <c:v>Баганский МР</c:v>
                </c:pt>
                <c:pt idx="5">
                  <c:v>Барабинский МР</c:v>
                </c:pt>
                <c:pt idx="6">
                  <c:v>Коченевский МР</c:v>
                </c:pt>
                <c:pt idx="7">
                  <c:v>Куйбышевский МР</c:v>
                </c:pt>
                <c:pt idx="8">
                  <c:v>Чулымский МР</c:v>
                </c:pt>
                <c:pt idx="9">
                  <c:v>Карасукский МР</c:v>
                </c:pt>
                <c:pt idx="10">
                  <c:v>Ордынский МР</c:v>
                </c:pt>
                <c:pt idx="11">
                  <c:v>Колыванский МР</c:v>
                </c:pt>
                <c:pt idx="12">
                  <c:v>Черепановский МР</c:v>
                </c:pt>
                <c:pt idx="13">
                  <c:v>Маслянинский МР</c:v>
                </c:pt>
                <c:pt idx="14">
                  <c:v>Мошковский МР</c:v>
                </c:pt>
                <c:pt idx="15">
                  <c:v>Татарский МР</c:v>
                </c:pt>
                <c:pt idx="16">
                  <c:v>Венгеровский МР</c:v>
                </c:pt>
                <c:pt idx="17">
                  <c:v>Доволенский МР</c:v>
                </c:pt>
                <c:pt idx="18">
                  <c:v>Тогучинский МР</c:v>
                </c:pt>
                <c:pt idx="19">
                  <c:v>г. Искитим</c:v>
                </c:pt>
                <c:pt idx="20">
                  <c:v>Болотнинский МР</c:v>
                </c:pt>
                <c:pt idx="21">
                  <c:v>Краснозерский МР</c:v>
                </c:pt>
                <c:pt idx="22">
                  <c:v>Сузунский МР</c:v>
                </c:pt>
                <c:pt idx="23">
                  <c:v>Искитимский МР</c:v>
                </c:pt>
                <c:pt idx="24">
                  <c:v>Северный МР</c:v>
                </c:pt>
                <c:pt idx="25">
                  <c:v>Убинский МР</c:v>
                </c:pt>
                <c:pt idx="26">
                  <c:v>Новосибирский МР</c:v>
                </c:pt>
                <c:pt idx="27">
                  <c:v>г. Обь</c:v>
                </c:pt>
                <c:pt idx="28">
                  <c:v>г. Новосибирск</c:v>
                </c:pt>
                <c:pt idx="29">
                  <c:v>Чановский МР</c:v>
                </c:pt>
                <c:pt idx="30">
                  <c:v>Чистоозерный МР</c:v>
                </c:pt>
                <c:pt idx="31">
                  <c:v>Каргатский МР</c:v>
                </c:pt>
                <c:pt idx="32">
                  <c:v>г. Бердск</c:v>
                </c:pt>
                <c:pt idx="33">
                  <c:v>Кочковский МР</c:v>
                </c:pt>
                <c:pt idx="34">
                  <c:v>р. п. Кольцово</c:v>
                </c:pt>
              </c:strCache>
            </c:strRef>
          </c:cat>
          <c:val>
            <c:numRef>
              <c:f>Лист1!$C$2:$C$36</c:f>
              <c:numCache>
                <c:formatCode>0.0%</c:formatCode>
                <c:ptCount val="35"/>
                <c:pt idx="0">
                  <c:v>0.16700000000000001</c:v>
                </c:pt>
                <c:pt idx="1">
                  <c:v>0</c:v>
                </c:pt>
                <c:pt idx="2">
                  <c:v>0.2</c:v>
                </c:pt>
                <c:pt idx="3">
                  <c:v>0.16700000000000001</c:v>
                </c:pt>
                <c:pt idx="4">
                  <c:v>0.125</c:v>
                </c:pt>
                <c:pt idx="5">
                  <c:v>0.36800000000000038</c:v>
                </c:pt>
                <c:pt idx="6">
                  <c:v>0.15400000000000041</c:v>
                </c:pt>
                <c:pt idx="7">
                  <c:v>0.34600000000000031</c:v>
                </c:pt>
                <c:pt idx="8">
                  <c:v>0.2</c:v>
                </c:pt>
                <c:pt idx="9">
                  <c:v>0.29400000000000032</c:v>
                </c:pt>
                <c:pt idx="10">
                  <c:v>0.21100000000000024</c:v>
                </c:pt>
                <c:pt idx="11">
                  <c:v>0.39100000000000368</c:v>
                </c:pt>
                <c:pt idx="12">
                  <c:v>8.3000000000000046E-2</c:v>
                </c:pt>
                <c:pt idx="13">
                  <c:v>0.30800000000000038</c:v>
                </c:pt>
                <c:pt idx="14">
                  <c:v>0.222</c:v>
                </c:pt>
                <c:pt idx="15">
                  <c:v>0.222</c:v>
                </c:pt>
                <c:pt idx="16">
                  <c:v>0.14300000000000004</c:v>
                </c:pt>
                <c:pt idx="17">
                  <c:v>0.28600000000000031</c:v>
                </c:pt>
                <c:pt idx="18">
                  <c:v>0.29200000000000031</c:v>
                </c:pt>
                <c:pt idx="19">
                  <c:v>0.25900000000000001</c:v>
                </c:pt>
                <c:pt idx="20">
                  <c:v>0.15400000000000041</c:v>
                </c:pt>
                <c:pt idx="21">
                  <c:v>0.125</c:v>
                </c:pt>
                <c:pt idx="22">
                  <c:v>0.31300000000000322</c:v>
                </c:pt>
                <c:pt idx="23">
                  <c:v>0.29400000000000032</c:v>
                </c:pt>
                <c:pt idx="24">
                  <c:v>0.5</c:v>
                </c:pt>
                <c:pt idx="25">
                  <c:v>0</c:v>
                </c:pt>
                <c:pt idx="26">
                  <c:v>9.1000000000000025E-2</c:v>
                </c:pt>
                <c:pt idx="27">
                  <c:v>0.32100000000000362</c:v>
                </c:pt>
                <c:pt idx="28">
                  <c:v>0.14800000000000021</c:v>
                </c:pt>
                <c:pt idx="29">
                  <c:v>0.12100000000000002</c:v>
                </c:pt>
                <c:pt idx="30">
                  <c:v>0.36400000000000032</c:v>
                </c:pt>
                <c:pt idx="31">
                  <c:v>0.33300000000000413</c:v>
                </c:pt>
                <c:pt idx="32">
                  <c:v>0.20500000000000004</c:v>
                </c:pt>
                <c:pt idx="33">
                  <c:v>0.28600000000000031</c:v>
                </c:pt>
                <c:pt idx="34">
                  <c:v>0</c:v>
                </c:pt>
              </c:numCache>
            </c:numRef>
          </c:val>
          <c:extLst xmlns:c16r2="http://schemas.microsoft.com/office/drawing/2015/06/chart">
            <c:ext xmlns:c16="http://schemas.microsoft.com/office/drawing/2014/chart" uri="{C3380CC4-5D6E-409C-BE32-E72D297353CC}">
              <c16:uniqueId val="{00000006-431B-4796-AF22-20531FB3BF05}"/>
            </c:ext>
          </c:extLst>
        </c:ser>
        <c:ser>
          <c:idx val="2"/>
          <c:order val="2"/>
          <c:tx>
            <c:strRef>
              <c:f>Лист1!$D$1</c:f>
              <c:strCache>
                <c:ptCount val="1"/>
                <c:pt idx="0">
                  <c:v>Затрудняюсь ответить</c:v>
                </c:pt>
              </c:strCache>
            </c:strRef>
          </c:tx>
          <c:spPr>
            <a:solidFill>
              <a:sysClr val="window" lastClr="FFFFFF">
                <a:lumMod val="85000"/>
              </a:sysClr>
            </a:solidFill>
          </c:spPr>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431B-4796-AF22-20531FB3BF05}"/>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Кыштовский МР</c:v>
                </c:pt>
                <c:pt idx="1">
                  <c:v>Здвинский МР</c:v>
                </c:pt>
                <c:pt idx="2">
                  <c:v>Купинский МР</c:v>
                </c:pt>
                <c:pt idx="3">
                  <c:v>Усть-Таркский МР</c:v>
                </c:pt>
                <c:pt idx="4">
                  <c:v>Баганский МР</c:v>
                </c:pt>
                <c:pt idx="5">
                  <c:v>Барабинский МР</c:v>
                </c:pt>
                <c:pt idx="6">
                  <c:v>Коченевский МР</c:v>
                </c:pt>
                <c:pt idx="7">
                  <c:v>Куйбышевский МР</c:v>
                </c:pt>
                <c:pt idx="8">
                  <c:v>Чулымский МР</c:v>
                </c:pt>
                <c:pt idx="9">
                  <c:v>Карасукский МР</c:v>
                </c:pt>
                <c:pt idx="10">
                  <c:v>Ордынский МР</c:v>
                </c:pt>
                <c:pt idx="11">
                  <c:v>Колыванский МР</c:v>
                </c:pt>
                <c:pt idx="12">
                  <c:v>Черепановский МР</c:v>
                </c:pt>
                <c:pt idx="13">
                  <c:v>Маслянинский МР</c:v>
                </c:pt>
                <c:pt idx="14">
                  <c:v>Мошковский МР</c:v>
                </c:pt>
                <c:pt idx="15">
                  <c:v>Татарский МР</c:v>
                </c:pt>
                <c:pt idx="16">
                  <c:v>Венгеровский МР</c:v>
                </c:pt>
                <c:pt idx="17">
                  <c:v>Доволенский МР</c:v>
                </c:pt>
                <c:pt idx="18">
                  <c:v>Тогучинский МР</c:v>
                </c:pt>
                <c:pt idx="19">
                  <c:v>г. Искитим</c:v>
                </c:pt>
                <c:pt idx="20">
                  <c:v>Болотнинский МР</c:v>
                </c:pt>
                <c:pt idx="21">
                  <c:v>Краснозерский МР</c:v>
                </c:pt>
                <c:pt idx="22">
                  <c:v>Сузунский МР</c:v>
                </c:pt>
                <c:pt idx="23">
                  <c:v>Искитимский МР</c:v>
                </c:pt>
                <c:pt idx="24">
                  <c:v>Северный МР</c:v>
                </c:pt>
                <c:pt idx="25">
                  <c:v>Убинский МР</c:v>
                </c:pt>
                <c:pt idx="26">
                  <c:v>Новосибирский МР</c:v>
                </c:pt>
                <c:pt idx="27">
                  <c:v>г. Обь</c:v>
                </c:pt>
                <c:pt idx="28">
                  <c:v>г. Новосибирск</c:v>
                </c:pt>
                <c:pt idx="29">
                  <c:v>Чановский МР</c:v>
                </c:pt>
                <c:pt idx="30">
                  <c:v>Чистоозерный МР</c:v>
                </c:pt>
                <c:pt idx="31">
                  <c:v>Каргатский МР</c:v>
                </c:pt>
                <c:pt idx="32">
                  <c:v>г. Бердск</c:v>
                </c:pt>
                <c:pt idx="33">
                  <c:v>Кочковский МР</c:v>
                </c:pt>
                <c:pt idx="34">
                  <c:v>р. п. Кольцово</c:v>
                </c:pt>
              </c:strCache>
            </c:strRef>
          </c:cat>
          <c:val>
            <c:numRef>
              <c:f>Лист1!$D$2:$D$36</c:f>
              <c:numCache>
                <c:formatCode>0.0%</c:formatCode>
                <c:ptCount val="35"/>
                <c:pt idx="0">
                  <c:v>0</c:v>
                </c:pt>
                <c:pt idx="1">
                  <c:v>0.33300000000000413</c:v>
                </c:pt>
                <c:pt idx="2">
                  <c:v>0.13300000000000001</c:v>
                </c:pt>
                <c:pt idx="3">
                  <c:v>0.16700000000000001</c:v>
                </c:pt>
                <c:pt idx="4">
                  <c:v>0.25</c:v>
                </c:pt>
                <c:pt idx="5">
                  <c:v>5.3000000000000012E-2</c:v>
                </c:pt>
                <c:pt idx="6">
                  <c:v>0.30800000000000038</c:v>
                </c:pt>
                <c:pt idx="7">
                  <c:v>0.115</c:v>
                </c:pt>
                <c:pt idx="8">
                  <c:v>0.26700000000000002</c:v>
                </c:pt>
                <c:pt idx="9">
                  <c:v>0.17600000000000021</c:v>
                </c:pt>
                <c:pt idx="10">
                  <c:v>0.26300000000000001</c:v>
                </c:pt>
                <c:pt idx="11">
                  <c:v>8.7000000000000022E-2</c:v>
                </c:pt>
                <c:pt idx="12">
                  <c:v>0.44400000000000001</c:v>
                </c:pt>
                <c:pt idx="13">
                  <c:v>0.23100000000000001</c:v>
                </c:pt>
                <c:pt idx="14">
                  <c:v>0.33300000000000413</c:v>
                </c:pt>
                <c:pt idx="15">
                  <c:v>0.33300000000000413</c:v>
                </c:pt>
                <c:pt idx="16">
                  <c:v>0.42900000000000038</c:v>
                </c:pt>
                <c:pt idx="17">
                  <c:v>0.28600000000000031</c:v>
                </c:pt>
                <c:pt idx="18">
                  <c:v>0.29200000000000031</c:v>
                </c:pt>
                <c:pt idx="19">
                  <c:v>0.33300000000000413</c:v>
                </c:pt>
                <c:pt idx="20">
                  <c:v>0.46200000000000002</c:v>
                </c:pt>
                <c:pt idx="21">
                  <c:v>0.5</c:v>
                </c:pt>
                <c:pt idx="22">
                  <c:v>0.31300000000000322</c:v>
                </c:pt>
                <c:pt idx="23">
                  <c:v>0.35300000000000031</c:v>
                </c:pt>
                <c:pt idx="24">
                  <c:v>0.16700000000000001</c:v>
                </c:pt>
                <c:pt idx="25">
                  <c:v>0.71400000000000063</c:v>
                </c:pt>
                <c:pt idx="26">
                  <c:v>0.63600000000000723</c:v>
                </c:pt>
                <c:pt idx="27">
                  <c:v>0.42900000000000038</c:v>
                </c:pt>
                <c:pt idx="28">
                  <c:v>0.61200000000000065</c:v>
                </c:pt>
                <c:pt idx="29">
                  <c:v>0.69699999999999995</c:v>
                </c:pt>
                <c:pt idx="30">
                  <c:v>0.45500000000000002</c:v>
                </c:pt>
                <c:pt idx="31">
                  <c:v>0.5</c:v>
                </c:pt>
                <c:pt idx="32">
                  <c:v>0.69199999999999995</c:v>
                </c:pt>
                <c:pt idx="33">
                  <c:v>0.71400000000000063</c:v>
                </c:pt>
                <c:pt idx="34">
                  <c:v>1</c:v>
                </c:pt>
              </c:numCache>
            </c:numRef>
          </c:val>
          <c:extLst xmlns:c16r2="http://schemas.microsoft.com/office/drawing/2015/06/chart">
            <c:ext xmlns:c16="http://schemas.microsoft.com/office/drawing/2014/chart" uri="{C3380CC4-5D6E-409C-BE32-E72D297353CC}">
              <c16:uniqueId val="{00000008-431B-4796-AF22-20531FB3BF05}"/>
            </c:ext>
          </c:extLst>
        </c:ser>
        <c:overlap val="100"/>
        <c:axId val="131046784"/>
        <c:axId val="131060864"/>
      </c:barChart>
      <c:catAx>
        <c:axId val="131046784"/>
        <c:scaling>
          <c:orientation val="maxMin"/>
        </c:scaling>
        <c:axPos val="l"/>
        <c:numFmt formatCode="General" sourceLinked="1"/>
        <c:tickLblPos val="nextTo"/>
        <c:crossAx val="131060864"/>
        <c:crosses val="autoZero"/>
        <c:auto val="1"/>
        <c:lblAlgn val="ctr"/>
        <c:lblOffset val="100"/>
      </c:catAx>
      <c:valAx>
        <c:axId val="131060864"/>
        <c:scaling>
          <c:orientation val="minMax"/>
          <c:max val="1"/>
          <c:min val="0"/>
        </c:scaling>
        <c:axPos val="t"/>
        <c:majorGridlines/>
        <c:numFmt formatCode="0.0%" sourceLinked="1"/>
        <c:tickLblPos val="nextTo"/>
        <c:txPr>
          <a:bodyPr/>
          <a:lstStyle/>
          <a:p>
            <a:pPr>
              <a:defRPr sz="600"/>
            </a:pPr>
            <a:endParaRPr lang="ru-RU"/>
          </a:p>
        </c:txPr>
        <c:crossAx val="131046784"/>
        <c:crosses val="autoZero"/>
        <c:crossBetween val="between"/>
        <c:majorUnit val="0.2"/>
      </c:valAx>
      <c:spPr>
        <a:noFill/>
        <a:ln>
          <a:solidFill>
            <a:schemeClr val="accent1"/>
          </a:solidFill>
        </a:ln>
      </c:spPr>
    </c:plotArea>
    <c:legend>
      <c:legendPos val="t"/>
      <c:layout>
        <c:manualLayout>
          <c:xMode val="edge"/>
          <c:yMode val="edge"/>
          <c:x val="0.16147694913931934"/>
          <c:y val="0"/>
          <c:w val="0.67704610172136126"/>
          <c:h val="3.0019590622594652E-2"/>
        </c:manualLayout>
      </c:layout>
    </c:legend>
    <c:plotVisOnly val="1"/>
    <c:dispBlanksAs val="gap"/>
  </c:chart>
  <c:spPr>
    <a:ln>
      <a:noFill/>
    </a:ln>
  </c:spPr>
  <c:txPr>
    <a:bodyPr/>
    <a:lstStyle/>
    <a:p>
      <a:pPr>
        <a:defRPr>
          <a:latin typeface="Arial Narrow" panose="020B0606020202030204" pitchFamily="34" charset="0"/>
        </a:defRPr>
      </a:pPr>
      <a:endParaRPr lang="ru-RU"/>
    </a:p>
  </c:txPr>
  <c:externalData r:id="rId2"/>
</c:chartSpace>
</file>

<file path=word/charts/chart47.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55894104519311261"/>
          <c:y val="7.6190911549699314E-2"/>
          <c:w val="0.5414204067826961"/>
          <c:h val="0.92380908974733456"/>
        </c:manualLayout>
      </c:layout>
      <c:barChart>
        <c:barDir val="bar"/>
        <c:grouping val="stacked"/>
        <c:ser>
          <c:idx val="0"/>
          <c:order val="0"/>
          <c:tx>
            <c:strRef>
              <c:f>Лист1!$B$1</c:f>
              <c:strCache>
                <c:ptCount val="1"/>
                <c:pt idx="0">
                  <c:v>Удовлетворительно</c:v>
                </c:pt>
              </c:strCache>
            </c:strRef>
          </c:tx>
          <c:spPr>
            <a:solidFill>
              <a:srgbClr val="ED7D31">
                <a:lumMod val="40000"/>
                <a:lumOff val="60000"/>
              </a:srgbClr>
            </a:solidFill>
          </c:spPr>
          <c:dLbls>
            <c:dLbl>
              <c:idx val="1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4336-43C3-A682-F97A76FAFFA5}"/>
                </c:ext>
              </c:extLst>
            </c:dLbl>
            <c:dLbl>
              <c:idx val="1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336-43C3-A682-F97A76FAFFA5}"/>
                </c:ext>
              </c:extLst>
            </c:dLbl>
            <c:spPr>
              <a:noFill/>
              <a:ln>
                <a:no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развития, производства, переработки и хранения с‎\х продукции</c:v>
                </c:pt>
                <c:pt idx="1">
                  <c:v>Розничная торговля</c:v>
                </c:pt>
                <c:pt idx="2">
                  <c:v>Рынок услуг ЖКХ</c:v>
                </c:pt>
                <c:pt idx="3">
                  <c:v>Рынок медицинских услуг</c:v>
                </c:pt>
                <c:pt idx="4">
                  <c:v>Рынок услуг дополнительного образования детей</c:v>
                </c:pt>
                <c:pt idx="5">
                  <c:v>Рынок услуг по сбору, сортировке и переработке твердых коммунальных (бытовых) отходов</c:v>
                </c:pt>
                <c:pt idx="6">
                  <c:v>Рынок услуг психолого-педагогического сопровождения детей с ограниченными возможностями здоровья</c:v>
                </c:pt>
                <c:pt idx="7">
                  <c:v>Рынок услуг в сфере культуры</c:v>
                </c:pt>
                <c:pt idx="8">
                  <c:v>Рынок услуг социального обслуживания населения</c:v>
                </c:pt>
                <c:pt idx="9">
                  <c:v>Рынок услуг связи</c:v>
                </c:pt>
                <c:pt idx="10">
                  <c:v>Рынок услуг перевозок пассажиров наземным транспортом</c:v>
                </c:pt>
                <c:pt idx="11">
                  <c:v>Рынок услуг дошкольного образования</c:v>
                </c:pt>
                <c:pt idx="12">
                  <c:v>Рынок услуг детского отдыха и оздоровления</c:v>
                </c:pt>
              </c:strCache>
            </c:strRef>
          </c:cat>
          <c:val>
            <c:numRef>
              <c:f>Лист1!$B$2:$B$14</c:f>
              <c:numCache>
                <c:formatCode>0.0%</c:formatCode>
                <c:ptCount val="13"/>
                <c:pt idx="0">
                  <c:v>0.35000000000000031</c:v>
                </c:pt>
                <c:pt idx="1">
                  <c:v>0.28900000000000031</c:v>
                </c:pt>
                <c:pt idx="2">
                  <c:v>0.28600000000000031</c:v>
                </c:pt>
                <c:pt idx="3">
                  <c:v>0.27100000000000002</c:v>
                </c:pt>
                <c:pt idx="4">
                  <c:v>0.24000000000000021</c:v>
                </c:pt>
                <c:pt idx="5">
                  <c:v>0.2</c:v>
                </c:pt>
                <c:pt idx="6">
                  <c:v>0.16</c:v>
                </c:pt>
                <c:pt idx="7">
                  <c:v>0.12000000000000002</c:v>
                </c:pt>
                <c:pt idx="8">
                  <c:v>0.12000000000000002</c:v>
                </c:pt>
                <c:pt idx="9">
                  <c:v>8.0000000000000043E-2</c:v>
                </c:pt>
                <c:pt idx="10">
                  <c:v>6.7000000000000004E-2</c:v>
                </c:pt>
                <c:pt idx="11">
                  <c:v>0</c:v>
                </c:pt>
                <c:pt idx="12">
                  <c:v>0</c:v>
                </c:pt>
              </c:numCache>
            </c:numRef>
          </c:val>
          <c:extLst xmlns:c16r2="http://schemas.microsoft.com/office/drawing/2015/06/chart">
            <c:ext xmlns:c16="http://schemas.microsoft.com/office/drawing/2014/chart" uri="{C3380CC4-5D6E-409C-BE32-E72D297353CC}">
              <c16:uniqueId val="{00000002-4336-43C3-A682-F97A76FAFFA5}"/>
            </c:ext>
          </c:extLst>
        </c:ser>
        <c:ser>
          <c:idx val="1"/>
          <c:order val="1"/>
          <c:tx>
            <c:strRef>
              <c:f>Лист1!$C$1</c:f>
              <c:strCache>
                <c:ptCount val="1"/>
                <c:pt idx="0">
                  <c:v>Неудовлетворительно</c:v>
                </c:pt>
              </c:strCache>
            </c:strRef>
          </c:tx>
          <c:spPr>
            <a:solidFill>
              <a:srgbClr val="B28AB2"/>
            </a:solidFill>
            <a:ln>
              <a:noFill/>
            </a:ln>
          </c:spPr>
          <c:dLbls>
            <c:dLbl>
              <c:idx val="6"/>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4336-43C3-A682-F97A76FAFFA5}"/>
                </c:ext>
              </c:extLst>
            </c:dLbl>
            <c:dLbl>
              <c:idx val="7"/>
              <c:layout>
                <c:manualLayout>
                  <c:x val="2.383790226460112E-2"/>
                  <c:y val="7.8346673280127674E-1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4336-43C3-A682-F97A76FAFFA5}"/>
                </c:ext>
              </c:extLst>
            </c:dLbl>
            <c:dLbl>
              <c:idx val="9"/>
              <c:layout>
                <c:manualLayout>
                  <c:x val="1.7878426698450543E-2"/>
                  <c:y val="1.5669334656025402E-1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4336-43C3-A682-F97A76FAFFA5}"/>
                </c:ext>
              </c:extLst>
            </c:dLbl>
            <c:dLbl>
              <c:idx val="10"/>
              <c:layout>
                <c:manualLayout>
                  <c:x val="1.191895113230036E-2"/>
                  <c:y val="1.5669334656025402E-1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4336-43C3-A682-F97A76FAFFA5}"/>
                </c:ext>
              </c:extLst>
            </c:dLbl>
            <c:dLbl>
              <c:idx val="1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4336-43C3-A682-F97A76FAFFA5}"/>
                </c:ext>
              </c:extLst>
            </c:dLbl>
            <c:dLbl>
              <c:idx val="1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4336-43C3-A682-F97A76FAFFA5}"/>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развития, производства, переработки и хранения с‎\х продукции</c:v>
                </c:pt>
                <c:pt idx="1">
                  <c:v>Розничная торговля</c:v>
                </c:pt>
                <c:pt idx="2">
                  <c:v>Рынок услуг ЖКХ</c:v>
                </c:pt>
                <c:pt idx="3">
                  <c:v>Рынок медицинских услуг</c:v>
                </c:pt>
                <c:pt idx="4">
                  <c:v>Рынок услуг дополнительного образования детей</c:v>
                </c:pt>
                <c:pt idx="5">
                  <c:v>Рынок услуг по сбору, сортировке и переработке твердых коммунальных (бытовых) отходов</c:v>
                </c:pt>
                <c:pt idx="6">
                  <c:v>Рынок услуг психолого-педагогического сопровождения детей с ограниченными возможностями здоровья</c:v>
                </c:pt>
                <c:pt idx="7">
                  <c:v>Рынок услуг в сфере культуры</c:v>
                </c:pt>
                <c:pt idx="8">
                  <c:v>Рынок услуг социального обслуживания населения</c:v>
                </c:pt>
                <c:pt idx="9">
                  <c:v>Рынок услуг связи</c:v>
                </c:pt>
                <c:pt idx="10">
                  <c:v>Рынок услуг перевозок пассажиров наземным транспортом</c:v>
                </c:pt>
                <c:pt idx="11">
                  <c:v>Рынок услуг дошкольного образования</c:v>
                </c:pt>
                <c:pt idx="12">
                  <c:v>Рынок услуг детского отдыха и оздоровления</c:v>
                </c:pt>
              </c:strCache>
            </c:strRef>
          </c:cat>
          <c:val>
            <c:numRef>
              <c:f>Лист1!$C$2:$C$14</c:f>
              <c:numCache>
                <c:formatCode>0.0%</c:formatCode>
                <c:ptCount val="13"/>
                <c:pt idx="0">
                  <c:v>0.13</c:v>
                </c:pt>
                <c:pt idx="1">
                  <c:v>0.21100000000000024</c:v>
                </c:pt>
                <c:pt idx="2">
                  <c:v>0.17100000000000001</c:v>
                </c:pt>
                <c:pt idx="3">
                  <c:v>8.6000000000000021E-2</c:v>
                </c:pt>
                <c:pt idx="4">
                  <c:v>8.0000000000000043E-2</c:v>
                </c:pt>
                <c:pt idx="5">
                  <c:v>0.2</c:v>
                </c:pt>
                <c:pt idx="6">
                  <c:v>0</c:v>
                </c:pt>
                <c:pt idx="7">
                  <c:v>4.0000000000000022E-2</c:v>
                </c:pt>
                <c:pt idx="8">
                  <c:v>0.16</c:v>
                </c:pt>
                <c:pt idx="9">
                  <c:v>8.0000000000000043E-2</c:v>
                </c:pt>
                <c:pt idx="10">
                  <c:v>6.7000000000000004E-2</c:v>
                </c:pt>
                <c:pt idx="11">
                  <c:v>0</c:v>
                </c:pt>
                <c:pt idx="12">
                  <c:v>0</c:v>
                </c:pt>
              </c:numCache>
            </c:numRef>
          </c:val>
          <c:extLst xmlns:c16r2="http://schemas.microsoft.com/office/drawing/2015/06/chart">
            <c:ext xmlns:c16="http://schemas.microsoft.com/office/drawing/2014/chart" uri="{C3380CC4-5D6E-409C-BE32-E72D297353CC}">
              <c16:uniqueId val="{00000009-4336-43C3-A682-F97A76FAFFA5}"/>
            </c:ext>
          </c:extLst>
        </c:ser>
        <c:ser>
          <c:idx val="2"/>
          <c:order val="2"/>
          <c:tx>
            <c:strRef>
              <c:f>Лист1!$D$1</c:f>
              <c:strCache>
                <c:ptCount val="1"/>
                <c:pt idx="0">
                  <c:v>Затрудняюсь ответить</c:v>
                </c:pt>
              </c:strCache>
            </c:strRef>
          </c:tx>
          <c:spPr>
            <a:solidFill>
              <a:sysClr val="window" lastClr="FFFFFF">
                <a:lumMod val="85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развития, производства, переработки и хранения с‎\х продукции</c:v>
                </c:pt>
                <c:pt idx="1">
                  <c:v>Розничная торговля</c:v>
                </c:pt>
                <c:pt idx="2">
                  <c:v>Рынок услуг ЖКХ</c:v>
                </c:pt>
                <c:pt idx="3">
                  <c:v>Рынок медицинских услуг</c:v>
                </c:pt>
                <c:pt idx="4">
                  <c:v>Рынок услуг дополнительного образования детей</c:v>
                </c:pt>
                <c:pt idx="5">
                  <c:v>Рынок услуг по сбору, сортировке и переработке твердых коммунальных (бытовых) отходов</c:v>
                </c:pt>
                <c:pt idx="6">
                  <c:v>Рынок услуг психолого-педагогического сопровождения детей с ограниченными возможностями здоровья</c:v>
                </c:pt>
                <c:pt idx="7">
                  <c:v>Рынок услуг в сфере культуры</c:v>
                </c:pt>
                <c:pt idx="8">
                  <c:v>Рынок услуг социального обслуживания населения</c:v>
                </c:pt>
                <c:pt idx="9">
                  <c:v>Рынок услуг связи</c:v>
                </c:pt>
                <c:pt idx="10">
                  <c:v>Рынок услуг перевозок пассажиров наземным транспортом</c:v>
                </c:pt>
                <c:pt idx="11">
                  <c:v>Рынок услуг дошкольного образования</c:v>
                </c:pt>
                <c:pt idx="12">
                  <c:v>Рынок услуг детского отдыха и оздоровления</c:v>
                </c:pt>
              </c:strCache>
            </c:strRef>
          </c:cat>
          <c:val>
            <c:numRef>
              <c:f>Лист1!$D$2:$D$14</c:f>
              <c:numCache>
                <c:formatCode>0.0%</c:formatCode>
                <c:ptCount val="13"/>
                <c:pt idx="0">
                  <c:v>0.52</c:v>
                </c:pt>
                <c:pt idx="1">
                  <c:v>0.5</c:v>
                </c:pt>
                <c:pt idx="2">
                  <c:v>0.54300000000000004</c:v>
                </c:pt>
                <c:pt idx="3">
                  <c:v>0.64300000000000745</c:v>
                </c:pt>
                <c:pt idx="4">
                  <c:v>0.68</c:v>
                </c:pt>
                <c:pt idx="5">
                  <c:v>0.60000000000000064</c:v>
                </c:pt>
                <c:pt idx="6">
                  <c:v>0.84000000000000064</c:v>
                </c:pt>
                <c:pt idx="7">
                  <c:v>0.84000000000000064</c:v>
                </c:pt>
                <c:pt idx="8">
                  <c:v>0.72000000000000064</c:v>
                </c:pt>
                <c:pt idx="9">
                  <c:v>0.84000000000000064</c:v>
                </c:pt>
                <c:pt idx="10">
                  <c:v>0.86700000000000665</c:v>
                </c:pt>
                <c:pt idx="11">
                  <c:v>1</c:v>
                </c:pt>
                <c:pt idx="12">
                  <c:v>1</c:v>
                </c:pt>
              </c:numCache>
            </c:numRef>
          </c:val>
          <c:extLst xmlns:c16r2="http://schemas.microsoft.com/office/drawing/2015/06/chart">
            <c:ext xmlns:c16="http://schemas.microsoft.com/office/drawing/2014/chart" uri="{C3380CC4-5D6E-409C-BE32-E72D297353CC}">
              <c16:uniqueId val="{0000000A-4336-43C3-A682-F97A76FAFFA5}"/>
            </c:ext>
          </c:extLst>
        </c:ser>
        <c:overlap val="100"/>
        <c:axId val="131272064"/>
        <c:axId val="131277952"/>
      </c:barChart>
      <c:catAx>
        <c:axId val="131272064"/>
        <c:scaling>
          <c:orientation val="maxMin"/>
        </c:scaling>
        <c:axPos val="l"/>
        <c:numFmt formatCode="General" sourceLinked="1"/>
        <c:tickLblPos val="nextTo"/>
        <c:crossAx val="131277952"/>
        <c:crosses val="autoZero"/>
        <c:auto val="1"/>
        <c:lblAlgn val="ctr"/>
        <c:lblOffset val="100"/>
      </c:catAx>
      <c:valAx>
        <c:axId val="131277952"/>
        <c:scaling>
          <c:orientation val="minMax"/>
          <c:max val="1"/>
          <c:min val="0"/>
        </c:scaling>
        <c:axPos val="t"/>
        <c:majorGridlines/>
        <c:numFmt formatCode="0.0%" sourceLinked="1"/>
        <c:tickLblPos val="nextTo"/>
        <c:txPr>
          <a:bodyPr/>
          <a:lstStyle/>
          <a:p>
            <a:pPr>
              <a:defRPr sz="600"/>
            </a:pPr>
            <a:endParaRPr lang="ru-RU"/>
          </a:p>
        </c:txPr>
        <c:crossAx val="131272064"/>
        <c:crosses val="autoZero"/>
        <c:crossBetween val="between"/>
        <c:majorUnit val="0.2"/>
      </c:valAx>
      <c:spPr>
        <a:noFill/>
        <a:ln>
          <a:solidFill>
            <a:schemeClr val="accent1"/>
          </a:solidFill>
        </a:ln>
      </c:spPr>
    </c:plotArea>
    <c:legend>
      <c:legendPos val="t"/>
      <c:layout>
        <c:manualLayout>
          <c:xMode val="edge"/>
          <c:yMode val="edge"/>
          <c:x val="0.16742825948901799"/>
          <c:y val="0"/>
          <c:w val="0.6651433246052908"/>
          <c:h val="3.677720573389865E-2"/>
        </c:manualLayout>
      </c:layout>
    </c:legend>
    <c:plotVisOnly val="1"/>
    <c:dispBlanksAs val="gap"/>
  </c:chart>
  <c:spPr>
    <a:ln>
      <a:noFill/>
    </a:ln>
  </c:spPr>
  <c:txPr>
    <a:bodyPr/>
    <a:lstStyle/>
    <a:p>
      <a:pPr>
        <a:defRPr>
          <a:latin typeface="Arial Narrow" panose="020B0606020202030204" pitchFamily="34" charset="0"/>
        </a:defRPr>
      </a:pPr>
      <a:endParaRPr lang="ru-RU"/>
    </a:p>
  </c:txPr>
  <c:externalData r:id="rId2"/>
</c:chartSpace>
</file>

<file path=word/charts/chart48.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27650257804892092"/>
          <c:y val="0.15056793058919354"/>
          <c:w val="0.68250275481088496"/>
          <c:h val="0.83567816388143001"/>
        </c:manualLayout>
      </c:layout>
      <c:barChart>
        <c:barDir val="bar"/>
        <c:grouping val="stacked"/>
        <c:ser>
          <c:idx val="0"/>
          <c:order val="0"/>
          <c:tx>
            <c:strRef>
              <c:f>Лист1!$B$1</c:f>
              <c:strCache>
                <c:ptCount val="1"/>
                <c:pt idx="0">
                  <c:v>Удовлетворительно</c:v>
                </c:pt>
              </c:strCache>
            </c:strRef>
          </c:tx>
          <c:spPr>
            <a:solidFill>
              <a:srgbClr val="ED7D31">
                <a:lumMod val="40000"/>
                <a:lumOff val="60000"/>
              </a:srgbClr>
            </a:solidFill>
          </c:spPr>
          <c:dLbls>
            <c:spPr>
              <a:noFill/>
              <a:ln>
                <a:no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среднее предприятие</c:v>
                </c:pt>
                <c:pt idx="1">
                  <c:v>малое предприятие</c:v>
                </c:pt>
              </c:strCache>
            </c:strRef>
          </c:cat>
          <c:val>
            <c:numRef>
              <c:f>Лист1!$B$2:$B$3</c:f>
              <c:numCache>
                <c:formatCode>0.0%</c:formatCode>
                <c:ptCount val="2"/>
                <c:pt idx="0">
                  <c:v>0.36400000000000032</c:v>
                </c:pt>
                <c:pt idx="1">
                  <c:v>0.27900000000000008</c:v>
                </c:pt>
              </c:numCache>
            </c:numRef>
          </c:val>
          <c:extLst xmlns:c16r2="http://schemas.microsoft.com/office/drawing/2015/06/chart">
            <c:ext xmlns:c16="http://schemas.microsoft.com/office/drawing/2014/chart" uri="{C3380CC4-5D6E-409C-BE32-E72D297353CC}">
              <c16:uniqueId val="{00000000-0CC3-4EE4-B2C4-D0628829EF25}"/>
            </c:ext>
          </c:extLst>
        </c:ser>
        <c:ser>
          <c:idx val="1"/>
          <c:order val="1"/>
          <c:tx>
            <c:strRef>
              <c:f>Лист1!$C$1</c:f>
              <c:strCache>
                <c:ptCount val="1"/>
                <c:pt idx="0">
                  <c:v>Неудовлетворительно</c:v>
                </c:pt>
              </c:strCache>
            </c:strRef>
          </c:tx>
          <c:spPr>
            <a:solidFill>
              <a:srgbClr val="B28AB2"/>
            </a:solidFill>
            <a:ln>
              <a:noFill/>
            </a:ln>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среднее предприятие</c:v>
                </c:pt>
                <c:pt idx="1">
                  <c:v>малое предприятие</c:v>
                </c:pt>
              </c:strCache>
            </c:strRef>
          </c:cat>
          <c:val>
            <c:numRef>
              <c:f>Лист1!$C$2:$C$3</c:f>
              <c:numCache>
                <c:formatCode>0.0%</c:formatCode>
                <c:ptCount val="2"/>
                <c:pt idx="0">
                  <c:v>0.27300000000000002</c:v>
                </c:pt>
                <c:pt idx="1">
                  <c:v>0.17</c:v>
                </c:pt>
              </c:numCache>
            </c:numRef>
          </c:val>
          <c:extLst xmlns:c16r2="http://schemas.microsoft.com/office/drawing/2015/06/chart">
            <c:ext xmlns:c16="http://schemas.microsoft.com/office/drawing/2014/chart" uri="{C3380CC4-5D6E-409C-BE32-E72D297353CC}">
              <c16:uniqueId val="{00000001-0CC3-4EE4-B2C4-D0628829EF25}"/>
            </c:ext>
          </c:extLst>
        </c:ser>
        <c:ser>
          <c:idx val="2"/>
          <c:order val="2"/>
          <c:tx>
            <c:strRef>
              <c:f>Лист1!$D$1</c:f>
              <c:strCache>
                <c:ptCount val="1"/>
                <c:pt idx="0">
                  <c:v>Затрудняюсь ответить</c:v>
                </c:pt>
              </c:strCache>
            </c:strRef>
          </c:tx>
          <c:spPr>
            <a:solidFill>
              <a:sysClr val="window" lastClr="FFFFFF">
                <a:lumMod val="85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среднее предприятие</c:v>
                </c:pt>
                <c:pt idx="1">
                  <c:v>малое предприятие</c:v>
                </c:pt>
              </c:strCache>
            </c:strRef>
          </c:cat>
          <c:val>
            <c:numRef>
              <c:f>Лист1!$D$2:$D$3</c:f>
              <c:numCache>
                <c:formatCode>0.0%</c:formatCode>
                <c:ptCount val="2"/>
                <c:pt idx="0">
                  <c:v>0.36400000000000032</c:v>
                </c:pt>
                <c:pt idx="1">
                  <c:v>0.55100000000000005</c:v>
                </c:pt>
              </c:numCache>
            </c:numRef>
          </c:val>
          <c:extLst xmlns:c16r2="http://schemas.microsoft.com/office/drawing/2015/06/chart">
            <c:ext xmlns:c16="http://schemas.microsoft.com/office/drawing/2014/chart" uri="{C3380CC4-5D6E-409C-BE32-E72D297353CC}">
              <c16:uniqueId val="{00000002-0CC3-4EE4-B2C4-D0628829EF25}"/>
            </c:ext>
          </c:extLst>
        </c:ser>
        <c:overlap val="100"/>
        <c:axId val="131441024"/>
        <c:axId val="131442560"/>
      </c:barChart>
      <c:catAx>
        <c:axId val="131441024"/>
        <c:scaling>
          <c:orientation val="maxMin"/>
        </c:scaling>
        <c:axPos val="l"/>
        <c:numFmt formatCode="General" sourceLinked="1"/>
        <c:tickLblPos val="nextTo"/>
        <c:crossAx val="131442560"/>
        <c:crosses val="autoZero"/>
        <c:auto val="1"/>
        <c:lblAlgn val="ctr"/>
        <c:lblOffset val="100"/>
      </c:catAx>
      <c:valAx>
        <c:axId val="131442560"/>
        <c:scaling>
          <c:orientation val="minMax"/>
          <c:max val="1"/>
          <c:min val="0"/>
        </c:scaling>
        <c:delete val="1"/>
        <c:axPos val="t"/>
        <c:majorGridlines/>
        <c:numFmt formatCode="0.0%" sourceLinked="1"/>
        <c:tickLblPos val="none"/>
        <c:crossAx val="131441024"/>
        <c:crosses val="autoZero"/>
        <c:crossBetween val="between"/>
        <c:majorUnit val="0.2"/>
      </c:valAx>
      <c:spPr>
        <a:noFill/>
        <a:ln>
          <a:solidFill>
            <a:schemeClr val="accent1"/>
          </a:solidFill>
        </a:ln>
      </c:spPr>
    </c:plotArea>
    <c:legend>
      <c:legendPos val="t"/>
      <c:layout>
        <c:manualLayout>
          <c:xMode val="edge"/>
          <c:yMode val="edge"/>
          <c:x val="0.15378687266113344"/>
          <c:y val="0"/>
          <c:w val="0.70506032766119064"/>
          <c:h val="0.12801585930431064"/>
        </c:manualLayout>
      </c:layout>
    </c:legend>
    <c:plotVisOnly val="1"/>
    <c:dispBlanksAs val="gap"/>
  </c:chart>
  <c:spPr>
    <a:ln>
      <a:noFill/>
    </a:ln>
  </c:spPr>
  <c:txPr>
    <a:bodyPr/>
    <a:lstStyle/>
    <a:p>
      <a:pPr>
        <a:defRPr>
          <a:latin typeface="Arial Narrow" panose="020B0606020202030204" pitchFamily="34" charset="0"/>
        </a:defRPr>
      </a:pPr>
      <a:endParaRPr lang="ru-RU"/>
    </a:p>
  </c:txPr>
</c:chartSpace>
</file>

<file path=word/charts/chart49.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27650257804892092"/>
          <c:y val="5.8254042220443232E-2"/>
          <c:w val="0.68743191687267768"/>
          <c:h val="0.92976274399690095"/>
        </c:manualLayout>
      </c:layout>
      <c:barChart>
        <c:barDir val="bar"/>
        <c:grouping val="stacked"/>
        <c:ser>
          <c:idx val="0"/>
          <c:order val="0"/>
          <c:tx>
            <c:strRef>
              <c:f>Лист1!$B$1</c:f>
              <c:strCache>
                <c:ptCount val="1"/>
                <c:pt idx="0">
                  <c:v>Удовлетворительно</c:v>
                </c:pt>
              </c:strCache>
            </c:strRef>
          </c:tx>
          <c:spPr>
            <a:solidFill>
              <a:srgbClr val="ED7D31">
                <a:lumMod val="40000"/>
                <a:lumOff val="60000"/>
              </a:srgbClr>
            </a:solidFill>
          </c:spPr>
          <c:dLbls>
            <c:dLbl>
              <c:idx val="3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616A-474D-9459-D2E1BA8250F7}"/>
                </c:ext>
              </c:extLst>
            </c:dLbl>
            <c:dLbl>
              <c:idx val="3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16A-474D-9459-D2E1BA8250F7}"/>
                </c:ext>
              </c:extLst>
            </c:dLbl>
            <c:spPr>
              <a:noFill/>
              <a:ln>
                <a:noFill/>
              </a:ln>
              <a:effectLst/>
            </c:spPr>
            <c:txPr>
              <a:bodyPr/>
              <a:lstStyle/>
              <a:p>
                <a:pPr>
                  <a:defRPr sz="900">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Татарский МР</c:v>
                </c:pt>
                <c:pt idx="1">
                  <c:v>Колыванский МР</c:v>
                </c:pt>
                <c:pt idx="2">
                  <c:v>Купинский МР</c:v>
                </c:pt>
                <c:pt idx="3">
                  <c:v>Доволенский МР</c:v>
                </c:pt>
                <c:pt idx="4">
                  <c:v>Чулымский МР</c:v>
                </c:pt>
                <c:pt idx="5">
                  <c:v>Карасукский МР</c:v>
                </c:pt>
                <c:pt idx="6">
                  <c:v>Барабинский МР</c:v>
                </c:pt>
                <c:pt idx="7">
                  <c:v>Куйбышевский МР</c:v>
                </c:pt>
                <c:pt idx="8">
                  <c:v>Кыштовский МР</c:v>
                </c:pt>
                <c:pt idx="9">
                  <c:v>Усть-Таркский МР</c:v>
                </c:pt>
                <c:pt idx="10">
                  <c:v>Ордынский МР</c:v>
                </c:pt>
                <c:pt idx="11">
                  <c:v>Маслянинский МР</c:v>
                </c:pt>
                <c:pt idx="12">
                  <c:v>Венгеровский МР</c:v>
                </c:pt>
                <c:pt idx="13">
                  <c:v>Черепановский МР</c:v>
                </c:pt>
                <c:pt idx="14">
                  <c:v>г. Искитим</c:v>
                </c:pt>
                <c:pt idx="15">
                  <c:v>Болотнинский МР</c:v>
                </c:pt>
                <c:pt idx="16">
                  <c:v>Сузунский МР</c:v>
                </c:pt>
                <c:pt idx="17">
                  <c:v>Тогучинский МР</c:v>
                </c:pt>
                <c:pt idx="18">
                  <c:v>Здвинский МР</c:v>
                </c:pt>
                <c:pt idx="19">
                  <c:v>Мошковский МР</c:v>
                </c:pt>
                <c:pt idx="20">
                  <c:v>Искитимский МР</c:v>
                </c:pt>
                <c:pt idx="21">
                  <c:v>Убинский МР</c:v>
                </c:pt>
                <c:pt idx="22">
                  <c:v>Новосибирский МР</c:v>
                </c:pt>
                <c:pt idx="23">
                  <c:v>Чистоозерный МР</c:v>
                </c:pt>
                <c:pt idx="24">
                  <c:v>г. Обь</c:v>
                </c:pt>
                <c:pt idx="25">
                  <c:v>Краснозерский МР</c:v>
                </c:pt>
                <c:pt idx="26">
                  <c:v>г. Новосибирск</c:v>
                </c:pt>
                <c:pt idx="27">
                  <c:v>Коченевский МР</c:v>
                </c:pt>
                <c:pt idx="28">
                  <c:v>Чановский МР</c:v>
                </c:pt>
                <c:pt idx="29">
                  <c:v>Северный МР</c:v>
                </c:pt>
                <c:pt idx="30">
                  <c:v>Кочковский МР</c:v>
                </c:pt>
                <c:pt idx="31">
                  <c:v>Баганский МР</c:v>
                </c:pt>
                <c:pt idx="32">
                  <c:v>г. Бердск</c:v>
                </c:pt>
                <c:pt idx="33">
                  <c:v>Каргатский МР</c:v>
                </c:pt>
                <c:pt idx="34">
                  <c:v>р. п. Кольцово</c:v>
                </c:pt>
              </c:strCache>
            </c:strRef>
          </c:cat>
          <c:val>
            <c:numRef>
              <c:f>Лист1!$B$2:$B$36</c:f>
              <c:numCache>
                <c:formatCode>0.0%</c:formatCode>
                <c:ptCount val="35"/>
                <c:pt idx="0">
                  <c:v>0.66700000000000859</c:v>
                </c:pt>
                <c:pt idx="1">
                  <c:v>0.60900000000000065</c:v>
                </c:pt>
                <c:pt idx="2">
                  <c:v>0.60000000000000064</c:v>
                </c:pt>
                <c:pt idx="3">
                  <c:v>0.57099999999999995</c:v>
                </c:pt>
                <c:pt idx="4">
                  <c:v>0.53300000000000003</c:v>
                </c:pt>
                <c:pt idx="5">
                  <c:v>0.52900000000000003</c:v>
                </c:pt>
                <c:pt idx="6">
                  <c:v>0.52600000000000002</c:v>
                </c:pt>
                <c:pt idx="7">
                  <c:v>0.5</c:v>
                </c:pt>
                <c:pt idx="8">
                  <c:v>0.5</c:v>
                </c:pt>
                <c:pt idx="9">
                  <c:v>0.5</c:v>
                </c:pt>
                <c:pt idx="10">
                  <c:v>0.47400000000000031</c:v>
                </c:pt>
                <c:pt idx="11">
                  <c:v>0.46200000000000002</c:v>
                </c:pt>
                <c:pt idx="12">
                  <c:v>0.42900000000000038</c:v>
                </c:pt>
                <c:pt idx="13">
                  <c:v>0.41700000000000031</c:v>
                </c:pt>
                <c:pt idx="14">
                  <c:v>0.40700000000000008</c:v>
                </c:pt>
                <c:pt idx="15">
                  <c:v>0.38500000000000373</c:v>
                </c:pt>
                <c:pt idx="16">
                  <c:v>0.37500000000000333</c:v>
                </c:pt>
                <c:pt idx="17">
                  <c:v>0.37500000000000333</c:v>
                </c:pt>
                <c:pt idx="18">
                  <c:v>0.33300000000000435</c:v>
                </c:pt>
                <c:pt idx="19">
                  <c:v>0.33300000000000435</c:v>
                </c:pt>
                <c:pt idx="20">
                  <c:v>0.29400000000000032</c:v>
                </c:pt>
                <c:pt idx="21">
                  <c:v>0.28600000000000031</c:v>
                </c:pt>
                <c:pt idx="22">
                  <c:v>0.27300000000000002</c:v>
                </c:pt>
                <c:pt idx="23">
                  <c:v>0.27300000000000002</c:v>
                </c:pt>
                <c:pt idx="24">
                  <c:v>0.25</c:v>
                </c:pt>
                <c:pt idx="25">
                  <c:v>0.25</c:v>
                </c:pt>
                <c:pt idx="26">
                  <c:v>0.23900000000000021</c:v>
                </c:pt>
                <c:pt idx="27">
                  <c:v>0.23100000000000001</c:v>
                </c:pt>
                <c:pt idx="28">
                  <c:v>0.18200000000000024</c:v>
                </c:pt>
                <c:pt idx="29">
                  <c:v>0.16700000000000001</c:v>
                </c:pt>
                <c:pt idx="30">
                  <c:v>0.14300000000000004</c:v>
                </c:pt>
                <c:pt idx="31">
                  <c:v>0.125</c:v>
                </c:pt>
                <c:pt idx="32">
                  <c:v>7.6999999999999999E-2</c:v>
                </c:pt>
                <c:pt idx="33">
                  <c:v>0</c:v>
                </c:pt>
                <c:pt idx="34">
                  <c:v>0</c:v>
                </c:pt>
              </c:numCache>
            </c:numRef>
          </c:val>
          <c:extLst xmlns:c16r2="http://schemas.microsoft.com/office/drawing/2015/06/chart">
            <c:ext xmlns:c16="http://schemas.microsoft.com/office/drawing/2014/chart" uri="{C3380CC4-5D6E-409C-BE32-E72D297353CC}">
              <c16:uniqueId val="{00000002-616A-474D-9459-D2E1BA8250F7}"/>
            </c:ext>
          </c:extLst>
        </c:ser>
        <c:ser>
          <c:idx val="1"/>
          <c:order val="1"/>
          <c:tx>
            <c:strRef>
              <c:f>Лист1!$C$1</c:f>
              <c:strCache>
                <c:ptCount val="1"/>
                <c:pt idx="0">
                  <c:v>Неудовлетворительно</c:v>
                </c:pt>
              </c:strCache>
            </c:strRef>
          </c:tx>
          <c:spPr>
            <a:solidFill>
              <a:srgbClr val="B28AB2"/>
            </a:solidFill>
            <a:ln>
              <a:noFill/>
            </a:ln>
          </c:spPr>
          <c:dLbls>
            <c:dLbl>
              <c:idx val="2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616A-474D-9459-D2E1BA8250F7}"/>
                </c:ext>
              </c:extLst>
            </c:dLbl>
            <c:dLbl>
              <c:idx val="2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616A-474D-9459-D2E1BA8250F7}"/>
                </c:ext>
              </c:extLst>
            </c:dLbl>
            <c:dLbl>
              <c:idx val="3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616A-474D-9459-D2E1BA8250F7}"/>
                </c:ext>
              </c:extLst>
            </c:dLbl>
            <c:dLbl>
              <c:idx val="3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616A-474D-9459-D2E1BA8250F7}"/>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Татарский МР</c:v>
                </c:pt>
                <c:pt idx="1">
                  <c:v>Колыванский МР</c:v>
                </c:pt>
                <c:pt idx="2">
                  <c:v>Купинский МР</c:v>
                </c:pt>
                <c:pt idx="3">
                  <c:v>Доволенский МР</c:v>
                </c:pt>
                <c:pt idx="4">
                  <c:v>Чулымский МР</c:v>
                </c:pt>
                <c:pt idx="5">
                  <c:v>Карасукский МР</c:v>
                </c:pt>
                <c:pt idx="6">
                  <c:v>Барабинский МР</c:v>
                </c:pt>
                <c:pt idx="7">
                  <c:v>Куйбышевский МР</c:v>
                </c:pt>
                <c:pt idx="8">
                  <c:v>Кыштовский МР</c:v>
                </c:pt>
                <c:pt idx="9">
                  <c:v>Усть-Таркский МР</c:v>
                </c:pt>
                <c:pt idx="10">
                  <c:v>Ордынский МР</c:v>
                </c:pt>
                <c:pt idx="11">
                  <c:v>Маслянинский МР</c:v>
                </c:pt>
                <c:pt idx="12">
                  <c:v>Венгеровский МР</c:v>
                </c:pt>
                <c:pt idx="13">
                  <c:v>Черепановский МР</c:v>
                </c:pt>
                <c:pt idx="14">
                  <c:v>г. Искитим</c:v>
                </c:pt>
                <c:pt idx="15">
                  <c:v>Болотнинский МР</c:v>
                </c:pt>
                <c:pt idx="16">
                  <c:v>Сузунский МР</c:v>
                </c:pt>
                <c:pt idx="17">
                  <c:v>Тогучинский МР</c:v>
                </c:pt>
                <c:pt idx="18">
                  <c:v>Здвинский МР</c:v>
                </c:pt>
                <c:pt idx="19">
                  <c:v>Мошковский МР</c:v>
                </c:pt>
                <c:pt idx="20">
                  <c:v>Искитимский МР</c:v>
                </c:pt>
                <c:pt idx="21">
                  <c:v>Убинский МР</c:v>
                </c:pt>
                <c:pt idx="22">
                  <c:v>Новосибирский МР</c:v>
                </c:pt>
                <c:pt idx="23">
                  <c:v>Чистоозерный МР</c:v>
                </c:pt>
                <c:pt idx="24">
                  <c:v>г. Обь</c:v>
                </c:pt>
                <c:pt idx="25">
                  <c:v>Краснозерский МР</c:v>
                </c:pt>
                <c:pt idx="26">
                  <c:v>г. Новосибирск</c:v>
                </c:pt>
                <c:pt idx="27">
                  <c:v>Коченевский МР</c:v>
                </c:pt>
                <c:pt idx="28">
                  <c:v>Чановский МР</c:v>
                </c:pt>
                <c:pt idx="29">
                  <c:v>Северный МР</c:v>
                </c:pt>
                <c:pt idx="30">
                  <c:v>Кочковский МР</c:v>
                </c:pt>
                <c:pt idx="31">
                  <c:v>Баганский МР</c:v>
                </c:pt>
                <c:pt idx="32">
                  <c:v>г. Бердск</c:v>
                </c:pt>
                <c:pt idx="33">
                  <c:v>Каргатский МР</c:v>
                </c:pt>
                <c:pt idx="34">
                  <c:v>р. п. Кольцово</c:v>
                </c:pt>
              </c:strCache>
            </c:strRef>
          </c:cat>
          <c:val>
            <c:numRef>
              <c:f>Лист1!$C$2:$C$36</c:f>
              <c:numCache>
                <c:formatCode>0.0%</c:formatCode>
                <c:ptCount val="35"/>
                <c:pt idx="0">
                  <c:v>5.6000000000000001E-2</c:v>
                </c:pt>
                <c:pt idx="1">
                  <c:v>0.26100000000000001</c:v>
                </c:pt>
                <c:pt idx="2">
                  <c:v>0.13300000000000001</c:v>
                </c:pt>
                <c:pt idx="3">
                  <c:v>0.14300000000000004</c:v>
                </c:pt>
                <c:pt idx="4">
                  <c:v>0.2</c:v>
                </c:pt>
                <c:pt idx="5">
                  <c:v>0.23500000000000001</c:v>
                </c:pt>
                <c:pt idx="6">
                  <c:v>0.36800000000000038</c:v>
                </c:pt>
                <c:pt idx="7">
                  <c:v>0.34600000000000031</c:v>
                </c:pt>
                <c:pt idx="8">
                  <c:v>0.5</c:v>
                </c:pt>
                <c:pt idx="9">
                  <c:v>0.16700000000000001</c:v>
                </c:pt>
                <c:pt idx="10">
                  <c:v>0.26300000000000001</c:v>
                </c:pt>
                <c:pt idx="11">
                  <c:v>0.30800000000000038</c:v>
                </c:pt>
                <c:pt idx="12">
                  <c:v>0.14300000000000004</c:v>
                </c:pt>
                <c:pt idx="13">
                  <c:v>8.3000000000000046E-2</c:v>
                </c:pt>
                <c:pt idx="14">
                  <c:v>0.222</c:v>
                </c:pt>
                <c:pt idx="15">
                  <c:v>7.6999999999999999E-2</c:v>
                </c:pt>
                <c:pt idx="16">
                  <c:v>0.31300000000000333</c:v>
                </c:pt>
                <c:pt idx="17">
                  <c:v>0.16700000000000001</c:v>
                </c:pt>
                <c:pt idx="18">
                  <c:v>0.16700000000000001</c:v>
                </c:pt>
                <c:pt idx="19">
                  <c:v>0.222</c:v>
                </c:pt>
                <c:pt idx="20">
                  <c:v>0.29400000000000032</c:v>
                </c:pt>
                <c:pt idx="21">
                  <c:v>0</c:v>
                </c:pt>
                <c:pt idx="22">
                  <c:v>0</c:v>
                </c:pt>
                <c:pt idx="23">
                  <c:v>0.36400000000000032</c:v>
                </c:pt>
                <c:pt idx="24">
                  <c:v>0.32100000000000373</c:v>
                </c:pt>
                <c:pt idx="25">
                  <c:v>0.125</c:v>
                </c:pt>
                <c:pt idx="26">
                  <c:v>0.15000000000000024</c:v>
                </c:pt>
                <c:pt idx="27">
                  <c:v>0.46200000000000002</c:v>
                </c:pt>
                <c:pt idx="28">
                  <c:v>0.12100000000000002</c:v>
                </c:pt>
                <c:pt idx="29">
                  <c:v>0.5</c:v>
                </c:pt>
                <c:pt idx="30">
                  <c:v>0.14300000000000004</c:v>
                </c:pt>
                <c:pt idx="31">
                  <c:v>0</c:v>
                </c:pt>
                <c:pt idx="32">
                  <c:v>0.20500000000000004</c:v>
                </c:pt>
                <c:pt idx="33">
                  <c:v>0.33300000000000435</c:v>
                </c:pt>
                <c:pt idx="34">
                  <c:v>0</c:v>
                </c:pt>
              </c:numCache>
            </c:numRef>
          </c:val>
          <c:extLst xmlns:c16r2="http://schemas.microsoft.com/office/drawing/2015/06/chart">
            <c:ext xmlns:c16="http://schemas.microsoft.com/office/drawing/2014/chart" uri="{C3380CC4-5D6E-409C-BE32-E72D297353CC}">
              <c16:uniqueId val="{00000007-616A-474D-9459-D2E1BA8250F7}"/>
            </c:ext>
          </c:extLst>
        </c:ser>
        <c:ser>
          <c:idx val="2"/>
          <c:order val="2"/>
          <c:tx>
            <c:strRef>
              <c:f>Лист1!$D$1</c:f>
              <c:strCache>
                <c:ptCount val="1"/>
                <c:pt idx="0">
                  <c:v>Затрудняюсь ответить</c:v>
                </c:pt>
              </c:strCache>
            </c:strRef>
          </c:tx>
          <c:spPr>
            <a:solidFill>
              <a:sysClr val="window" lastClr="FFFFFF">
                <a:lumMod val="85000"/>
              </a:sysClr>
            </a:solidFill>
          </c:spPr>
          <c:dLbls>
            <c:dLbl>
              <c:idx val="8"/>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616A-474D-9459-D2E1BA8250F7}"/>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Татарский МР</c:v>
                </c:pt>
                <c:pt idx="1">
                  <c:v>Колыванский МР</c:v>
                </c:pt>
                <c:pt idx="2">
                  <c:v>Купинский МР</c:v>
                </c:pt>
                <c:pt idx="3">
                  <c:v>Доволенский МР</c:v>
                </c:pt>
                <c:pt idx="4">
                  <c:v>Чулымский МР</c:v>
                </c:pt>
                <c:pt idx="5">
                  <c:v>Карасукский МР</c:v>
                </c:pt>
                <c:pt idx="6">
                  <c:v>Барабинский МР</c:v>
                </c:pt>
                <c:pt idx="7">
                  <c:v>Куйбышевский МР</c:v>
                </c:pt>
                <c:pt idx="8">
                  <c:v>Кыштовский МР</c:v>
                </c:pt>
                <c:pt idx="9">
                  <c:v>Усть-Таркский МР</c:v>
                </c:pt>
                <c:pt idx="10">
                  <c:v>Ордынский МР</c:v>
                </c:pt>
                <c:pt idx="11">
                  <c:v>Маслянинский МР</c:v>
                </c:pt>
                <c:pt idx="12">
                  <c:v>Венгеровский МР</c:v>
                </c:pt>
                <c:pt idx="13">
                  <c:v>Черепановский МР</c:v>
                </c:pt>
                <c:pt idx="14">
                  <c:v>г. Искитим</c:v>
                </c:pt>
                <c:pt idx="15">
                  <c:v>Болотнинский МР</c:v>
                </c:pt>
                <c:pt idx="16">
                  <c:v>Сузунский МР</c:v>
                </c:pt>
                <c:pt idx="17">
                  <c:v>Тогучинский МР</c:v>
                </c:pt>
                <c:pt idx="18">
                  <c:v>Здвинский МР</c:v>
                </c:pt>
                <c:pt idx="19">
                  <c:v>Мошковский МР</c:v>
                </c:pt>
                <c:pt idx="20">
                  <c:v>Искитимский МР</c:v>
                </c:pt>
                <c:pt idx="21">
                  <c:v>Убинский МР</c:v>
                </c:pt>
                <c:pt idx="22">
                  <c:v>Новосибирский МР</c:v>
                </c:pt>
                <c:pt idx="23">
                  <c:v>Чистоозерный МР</c:v>
                </c:pt>
                <c:pt idx="24">
                  <c:v>г. Обь</c:v>
                </c:pt>
                <c:pt idx="25">
                  <c:v>Краснозерский МР</c:v>
                </c:pt>
                <c:pt idx="26">
                  <c:v>г. Новосибирск</c:v>
                </c:pt>
                <c:pt idx="27">
                  <c:v>Коченевский МР</c:v>
                </c:pt>
                <c:pt idx="28">
                  <c:v>Чановский МР</c:v>
                </c:pt>
                <c:pt idx="29">
                  <c:v>Северный МР</c:v>
                </c:pt>
                <c:pt idx="30">
                  <c:v>Кочковский МР</c:v>
                </c:pt>
                <c:pt idx="31">
                  <c:v>Баганский МР</c:v>
                </c:pt>
                <c:pt idx="32">
                  <c:v>г. Бердск</c:v>
                </c:pt>
                <c:pt idx="33">
                  <c:v>Каргатский МР</c:v>
                </c:pt>
                <c:pt idx="34">
                  <c:v>р. п. Кольцово</c:v>
                </c:pt>
              </c:strCache>
            </c:strRef>
          </c:cat>
          <c:val>
            <c:numRef>
              <c:f>Лист1!$D$2:$D$36</c:f>
              <c:numCache>
                <c:formatCode>0.0%</c:formatCode>
                <c:ptCount val="35"/>
                <c:pt idx="0">
                  <c:v>0.27800000000000002</c:v>
                </c:pt>
                <c:pt idx="1">
                  <c:v>0.13</c:v>
                </c:pt>
                <c:pt idx="2">
                  <c:v>0.26700000000000002</c:v>
                </c:pt>
                <c:pt idx="3">
                  <c:v>0.28600000000000031</c:v>
                </c:pt>
                <c:pt idx="4">
                  <c:v>0.26700000000000002</c:v>
                </c:pt>
                <c:pt idx="5">
                  <c:v>0.23500000000000001</c:v>
                </c:pt>
                <c:pt idx="6">
                  <c:v>0.10500000000000002</c:v>
                </c:pt>
                <c:pt idx="7">
                  <c:v>0.15400000000000041</c:v>
                </c:pt>
                <c:pt idx="8">
                  <c:v>0</c:v>
                </c:pt>
                <c:pt idx="9">
                  <c:v>0.33300000000000435</c:v>
                </c:pt>
                <c:pt idx="10">
                  <c:v>0.26300000000000001</c:v>
                </c:pt>
                <c:pt idx="11">
                  <c:v>0.23100000000000001</c:v>
                </c:pt>
                <c:pt idx="12">
                  <c:v>0.42900000000000038</c:v>
                </c:pt>
                <c:pt idx="13">
                  <c:v>0.5</c:v>
                </c:pt>
                <c:pt idx="14">
                  <c:v>0.37000000000000038</c:v>
                </c:pt>
                <c:pt idx="15">
                  <c:v>0.53800000000000003</c:v>
                </c:pt>
                <c:pt idx="16">
                  <c:v>0.31300000000000333</c:v>
                </c:pt>
                <c:pt idx="17">
                  <c:v>0.45800000000000002</c:v>
                </c:pt>
                <c:pt idx="18">
                  <c:v>0.5</c:v>
                </c:pt>
                <c:pt idx="19">
                  <c:v>0.44400000000000001</c:v>
                </c:pt>
                <c:pt idx="20">
                  <c:v>0.41200000000000031</c:v>
                </c:pt>
                <c:pt idx="21">
                  <c:v>0.71400000000000063</c:v>
                </c:pt>
                <c:pt idx="22">
                  <c:v>0.72700000000000065</c:v>
                </c:pt>
                <c:pt idx="23">
                  <c:v>0.36400000000000032</c:v>
                </c:pt>
                <c:pt idx="24">
                  <c:v>0.42900000000000038</c:v>
                </c:pt>
                <c:pt idx="25">
                  <c:v>0.62500000000000677</c:v>
                </c:pt>
                <c:pt idx="26">
                  <c:v>0.61100000000000065</c:v>
                </c:pt>
                <c:pt idx="27">
                  <c:v>0.30800000000000038</c:v>
                </c:pt>
                <c:pt idx="28">
                  <c:v>0.69699999999999995</c:v>
                </c:pt>
                <c:pt idx="29">
                  <c:v>0.33300000000000435</c:v>
                </c:pt>
                <c:pt idx="30">
                  <c:v>0.71400000000000063</c:v>
                </c:pt>
                <c:pt idx="31">
                  <c:v>0.87500000000000677</c:v>
                </c:pt>
                <c:pt idx="32">
                  <c:v>0.71800000000000064</c:v>
                </c:pt>
                <c:pt idx="33">
                  <c:v>0.66700000000000859</c:v>
                </c:pt>
                <c:pt idx="34">
                  <c:v>1</c:v>
                </c:pt>
              </c:numCache>
            </c:numRef>
          </c:val>
          <c:extLst xmlns:c16r2="http://schemas.microsoft.com/office/drawing/2015/06/chart">
            <c:ext xmlns:c16="http://schemas.microsoft.com/office/drawing/2014/chart" uri="{C3380CC4-5D6E-409C-BE32-E72D297353CC}">
              <c16:uniqueId val="{00000009-616A-474D-9459-D2E1BA8250F7}"/>
            </c:ext>
          </c:extLst>
        </c:ser>
        <c:overlap val="100"/>
        <c:axId val="131354624"/>
        <c:axId val="131356160"/>
      </c:barChart>
      <c:catAx>
        <c:axId val="131354624"/>
        <c:scaling>
          <c:orientation val="maxMin"/>
        </c:scaling>
        <c:axPos val="l"/>
        <c:numFmt formatCode="General" sourceLinked="1"/>
        <c:tickLblPos val="nextTo"/>
        <c:crossAx val="131356160"/>
        <c:crosses val="autoZero"/>
        <c:auto val="1"/>
        <c:lblAlgn val="ctr"/>
        <c:lblOffset val="100"/>
      </c:catAx>
      <c:valAx>
        <c:axId val="131356160"/>
        <c:scaling>
          <c:orientation val="minMax"/>
          <c:max val="1"/>
          <c:min val="0"/>
        </c:scaling>
        <c:axPos val="t"/>
        <c:majorGridlines/>
        <c:numFmt formatCode="0.0%" sourceLinked="1"/>
        <c:tickLblPos val="nextTo"/>
        <c:txPr>
          <a:bodyPr/>
          <a:lstStyle/>
          <a:p>
            <a:pPr>
              <a:defRPr sz="800"/>
            </a:pPr>
            <a:endParaRPr lang="ru-RU"/>
          </a:p>
        </c:txPr>
        <c:crossAx val="131354624"/>
        <c:crosses val="autoZero"/>
        <c:crossBetween val="between"/>
        <c:majorUnit val="0.2"/>
      </c:valAx>
      <c:spPr>
        <a:noFill/>
        <a:ln>
          <a:solidFill>
            <a:schemeClr val="accent1"/>
          </a:solidFill>
        </a:ln>
      </c:spPr>
    </c:plotArea>
    <c:legend>
      <c:legendPos val="t"/>
      <c:layout>
        <c:manualLayout>
          <c:xMode val="edge"/>
          <c:yMode val="edge"/>
          <c:x val="0.14746975326757591"/>
          <c:y val="0"/>
          <c:w val="0.70506032766119064"/>
          <c:h val="2.9019949896247794E-2"/>
        </c:manualLayout>
      </c:layout>
    </c:legend>
    <c:plotVisOnly val="1"/>
    <c:dispBlanksAs val="gap"/>
  </c:chart>
  <c:spPr>
    <a:ln>
      <a:noFill/>
    </a:ln>
  </c:spPr>
  <c:txPr>
    <a:bodyPr/>
    <a:lstStyle/>
    <a:p>
      <a:pPr>
        <a:defRPr>
          <a:latin typeface="Arial Narrow" panose="020B0606020202030204" pitchFamily="34" charset="0"/>
        </a:defRPr>
      </a:pPr>
      <a:endParaRPr lang="ru-RU"/>
    </a:p>
  </c:txPr>
  <c:externalData r:id="rId2"/>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4889151964027238"/>
          <c:y val="7.6190911549699314E-2"/>
          <c:w val="0.48088366717900993"/>
          <c:h val="0.917437711590399"/>
        </c:manualLayout>
      </c:layout>
      <c:barChart>
        <c:barDir val="bar"/>
        <c:grouping val="stacked"/>
        <c:ser>
          <c:idx val="0"/>
          <c:order val="0"/>
          <c:tx>
            <c:strRef>
              <c:f>Лист1!$B$1</c:f>
              <c:strCache>
                <c:ptCount val="1"/>
                <c:pt idx="0">
                  <c:v>Удовлетворительно</c:v>
                </c:pt>
              </c:strCache>
            </c:strRef>
          </c:tx>
          <c:spPr>
            <a:solidFill>
              <a:srgbClr val="ED7D31">
                <a:lumMod val="40000"/>
                <a:lumOff val="60000"/>
              </a:srgbClr>
            </a:solidFill>
          </c:spPr>
          <c:dLbls>
            <c:spPr>
              <a:noFill/>
              <a:ln>
                <a:no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услуг ЖКХ</c:v>
                </c:pt>
                <c:pt idx="3">
                  <c:v>Рынок услуг социального обслуживания населения</c:v>
                </c:pt>
                <c:pt idx="4">
                  <c:v>Рынок медицинских услуг</c:v>
                </c:pt>
                <c:pt idx="5">
                  <c:v>Рынок развития, производства, переработки и хранения с‎\х продукции</c:v>
                </c:pt>
                <c:pt idx="6">
                  <c:v>Рынок услуг дополнительного образования детей</c:v>
                </c:pt>
                <c:pt idx="7">
                  <c:v>Розничная торговля</c:v>
                </c:pt>
                <c:pt idx="8">
                  <c:v>Рынок услуг психолого-педагогического сопровождения детей с ограниченными возможностями здоровья</c:v>
                </c:pt>
                <c:pt idx="9">
                  <c:v>Рынок услуг по сбору, сортировке и переработке твердых коммунальных (бытовых) отходов</c:v>
                </c:pt>
                <c:pt idx="10">
                  <c:v>Рынок услуг в сфере культуры</c:v>
                </c:pt>
                <c:pt idx="11">
                  <c:v>Рынок услуг перевозок пассажиров наземным транспортом</c:v>
                </c:pt>
                <c:pt idx="12">
                  <c:v>Рынок услуг связи</c:v>
                </c:pt>
              </c:strCache>
            </c:strRef>
          </c:cat>
          <c:val>
            <c:numRef>
              <c:f>Лист1!$B$2:$B$14</c:f>
              <c:numCache>
                <c:formatCode>0.0%</c:formatCode>
                <c:ptCount val="13"/>
                <c:pt idx="0">
                  <c:v>0.70000000000000062</c:v>
                </c:pt>
                <c:pt idx="1">
                  <c:v>0.60000000000000064</c:v>
                </c:pt>
                <c:pt idx="2">
                  <c:v>0.48600000000000032</c:v>
                </c:pt>
                <c:pt idx="3">
                  <c:v>0.48000000000000032</c:v>
                </c:pt>
                <c:pt idx="4">
                  <c:v>0.45700000000000002</c:v>
                </c:pt>
                <c:pt idx="5">
                  <c:v>0.44</c:v>
                </c:pt>
                <c:pt idx="6">
                  <c:v>0.4</c:v>
                </c:pt>
                <c:pt idx="7">
                  <c:v>0.37800000000000333</c:v>
                </c:pt>
                <c:pt idx="8">
                  <c:v>0.36000000000000032</c:v>
                </c:pt>
                <c:pt idx="9">
                  <c:v>0.30000000000000032</c:v>
                </c:pt>
                <c:pt idx="10">
                  <c:v>0.24000000000000021</c:v>
                </c:pt>
                <c:pt idx="11">
                  <c:v>0.15000000000000024</c:v>
                </c:pt>
                <c:pt idx="12">
                  <c:v>0.15000000000000024</c:v>
                </c:pt>
              </c:numCache>
            </c:numRef>
          </c:val>
          <c:extLst xmlns:c16r2="http://schemas.microsoft.com/office/drawing/2015/06/chart">
            <c:ext xmlns:c16="http://schemas.microsoft.com/office/drawing/2014/chart" uri="{C3380CC4-5D6E-409C-BE32-E72D297353CC}">
              <c16:uniqueId val="{00000000-3749-4274-90B6-ED664EC4FBC2}"/>
            </c:ext>
          </c:extLst>
        </c:ser>
        <c:ser>
          <c:idx val="1"/>
          <c:order val="1"/>
          <c:tx>
            <c:strRef>
              <c:f>Лист1!$C$1</c:f>
              <c:strCache>
                <c:ptCount val="1"/>
                <c:pt idx="0">
                  <c:v>Неудовлетворительно</c:v>
                </c:pt>
              </c:strCache>
            </c:strRef>
          </c:tx>
          <c:spPr>
            <a:solidFill>
              <a:srgbClr val="BE9CBE"/>
            </a:solidFill>
            <a:ln>
              <a:noFill/>
            </a:ln>
          </c:spPr>
          <c:dLbls>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3749-4274-90B6-ED664EC4FBC2}"/>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услуг ЖКХ</c:v>
                </c:pt>
                <c:pt idx="3">
                  <c:v>Рынок услуг социального обслуживания населения</c:v>
                </c:pt>
                <c:pt idx="4">
                  <c:v>Рынок медицинских услуг</c:v>
                </c:pt>
                <c:pt idx="5">
                  <c:v>Рынок развития, производства, переработки и хранения с‎\х продукции</c:v>
                </c:pt>
                <c:pt idx="6">
                  <c:v>Рынок услуг дополнительного образования детей</c:v>
                </c:pt>
                <c:pt idx="7">
                  <c:v>Розничная торговля</c:v>
                </c:pt>
                <c:pt idx="8">
                  <c:v>Рынок услуг психолого-педагогического сопровождения детей с ограниченными возможностями здоровья</c:v>
                </c:pt>
                <c:pt idx="9">
                  <c:v>Рынок услуг по сбору, сортировке и переработке твердых коммунальных (бытовых) отходов</c:v>
                </c:pt>
                <c:pt idx="10">
                  <c:v>Рынок услуг в сфере культуры</c:v>
                </c:pt>
                <c:pt idx="11">
                  <c:v>Рынок услуг перевозок пассажиров наземным транспортом</c:v>
                </c:pt>
                <c:pt idx="12">
                  <c:v>Рынок услуг связи</c:v>
                </c:pt>
              </c:strCache>
            </c:strRef>
          </c:cat>
          <c:val>
            <c:numRef>
              <c:f>Лист1!$C$2:$C$14</c:f>
              <c:numCache>
                <c:formatCode>0.0%</c:formatCode>
                <c:ptCount val="13"/>
                <c:pt idx="0">
                  <c:v>0.30000000000000032</c:v>
                </c:pt>
                <c:pt idx="1">
                  <c:v>0</c:v>
                </c:pt>
                <c:pt idx="2">
                  <c:v>0.38600000000000373</c:v>
                </c:pt>
                <c:pt idx="3">
                  <c:v>0.44</c:v>
                </c:pt>
                <c:pt idx="4">
                  <c:v>0.42900000000000038</c:v>
                </c:pt>
                <c:pt idx="5">
                  <c:v>0.29000000000000031</c:v>
                </c:pt>
                <c:pt idx="6">
                  <c:v>0.44</c:v>
                </c:pt>
                <c:pt idx="7">
                  <c:v>0.39400000000000424</c:v>
                </c:pt>
                <c:pt idx="8">
                  <c:v>0.48000000000000032</c:v>
                </c:pt>
                <c:pt idx="9">
                  <c:v>0.70000000000000062</c:v>
                </c:pt>
                <c:pt idx="10">
                  <c:v>0.28000000000000008</c:v>
                </c:pt>
                <c:pt idx="11">
                  <c:v>0.36700000000000038</c:v>
                </c:pt>
                <c:pt idx="12">
                  <c:v>0.45</c:v>
                </c:pt>
              </c:numCache>
            </c:numRef>
          </c:val>
          <c:extLst xmlns:c16r2="http://schemas.microsoft.com/office/drawing/2015/06/chart">
            <c:ext xmlns:c16="http://schemas.microsoft.com/office/drawing/2014/chart" uri="{C3380CC4-5D6E-409C-BE32-E72D297353CC}">
              <c16:uniqueId val="{00000002-3749-4274-90B6-ED664EC4FBC2}"/>
            </c:ext>
          </c:extLst>
        </c:ser>
        <c:ser>
          <c:idx val="2"/>
          <c:order val="2"/>
          <c:tx>
            <c:strRef>
              <c:f>Лист1!$D$1</c:f>
              <c:strCache>
                <c:ptCount val="1"/>
                <c:pt idx="0">
                  <c:v>Затрудняюсь ответить</c:v>
                </c:pt>
              </c:strCache>
            </c:strRef>
          </c:tx>
          <c:spPr>
            <a:solidFill>
              <a:sysClr val="window" lastClr="FFFFFF">
                <a:lumMod val="85000"/>
              </a:sysClr>
            </a:solidFill>
          </c:spPr>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3749-4274-90B6-ED664EC4FBC2}"/>
                </c:ext>
              </c:extLst>
            </c:dLbl>
            <c:dLbl>
              <c:idx val="9"/>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3749-4274-90B6-ED664EC4FBC2}"/>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услуг ЖКХ</c:v>
                </c:pt>
                <c:pt idx="3">
                  <c:v>Рынок услуг социального обслуживания населения</c:v>
                </c:pt>
                <c:pt idx="4">
                  <c:v>Рынок медицинских услуг</c:v>
                </c:pt>
                <c:pt idx="5">
                  <c:v>Рынок развития, производства, переработки и хранения с‎\х продукции</c:v>
                </c:pt>
                <c:pt idx="6">
                  <c:v>Рынок услуг дополнительного образования детей</c:v>
                </c:pt>
                <c:pt idx="7">
                  <c:v>Розничная торговля</c:v>
                </c:pt>
                <c:pt idx="8">
                  <c:v>Рынок услуг психолого-педагогического сопровождения детей с ограниченными возможностями здоровья</c:v>
                </c:pt>
                <c:pt idx="9">
                  <c:v>Рынок услуг по сбору, сортировке и переработке твердых коммунальных (бытовых) отходов</c:v>
                </c:pt>
                <c:pt idx="10">
                  <c:v>Рынок услуг в сфере культуры</c:v>
                </c:pt>
                <c:pt idx="11">
                  <c:v>Рынок услуг перевозок пассажиров наземным транспортом</c:v>
                </c:pt>
                <c:pt idx="12">
                  <c:v>Рынок услуг связи</c:v>
                </c:pt>
              </c:strCache>
            </c:strRef>
          </c:cat>
          <c:val>
            <c:numRef>
              <c:f>Лист1!$D$2:$D$14</c:f>
              <c:numCache>
                <c:formatCode>0.0%</c:formatCode>
                <c:ptCount val="13"/>
                <c:pt idx="0">
                  <c:v>0</c:v>
                </c:pt>
                <c:pt idx="1">
                  <c:v>0.4</c:v>
                </c:pt>
                <c:pt idx="2">
                  <c:v>0.129</c:v>
                </c:pt>
                <c:pt idx="3">
                  <c:v>8.0000000000000043E-2</c:v>
                </c:pt>
                <c:pt idx="4">
                  <c:v>0.114</c:v>
                </c:pt>
                <c:pt idx="5">
                  <c:v>0.27</c:v>
                </c:pt>
                <c:pt idx="6">
                  <c:v>0.16</c:v>
                </c:pt>
                <c:pt idx="7">
                  <c:v>0.22800000000000001</c:v>
                </c:pt>
                <c:pt idx="8">
                  <c:v>0.16</c:v>
                </c:pt>
                <c:pt idx="9">
                  <c:v>0</c:v>
                </c:pt>
                <c:pt idx="10">
                  <c:v>0.48000000000000032</c:v>
                </c:pt>
                <c:pt idx="11">
                  <c:v>0.48300000000000032</c:v>
                </c:pt>
                <c:pt idx="12">
                  <c:v>0.4</c:v>
                </c:pt>
              </c:numCache>
            </c:numRef>
          </c:val>
          <c:extLst xmlns:c16r2="http://schemas.microsoft.com/office/drawing/2015/06/chart">
            <c:ext xmlns:c16="http://schemas.microsoft.com/office/drawing/2014/chart" uri="{C3380CC4-5D6E-409C-BE32-E72D297353CC}">
              <c16:uniqueId val="{00000005-3749-4274-90B6-ED664EC4FBC2}"/>
            </c:ext>
          </c:extLst>
        </c:ser>
        <c:overlap val="100"/>
        <c:axId val="98859648"/>
        <c:axId val="98881920"/>
      </c:barChart>
      <c:catAx>
        <c:axId val="98859648"/>
        <c:scaling>
          <c:orientation val="maxMin"/>
        </c:scaling>
        <c:axPos val="l"/>
        <c:numFmt formatCode="General" sourceLinked="1"/>
        <c:tickLblPos val="nextTo"/>
        <c:crossAx val="98881920"/>
        <c:crosses val="autoZero"/>
        <c:auto val="1"/>
        <c:lblAlgn val="ctr"/>
        <c:lblOffset val="100"/>
      </c:catAx>
      <c:valAx>
        <c:axId val="98881920"/>
        <c:scaling>
          <c:orientation val="minMax"/>
          <c:max val="1"/>
          <c:min val="0"/>
        </c:scaling>
        <c:axPos val="t"/>
        <c:majorGridlines/>
        <c:numFmt formatCode="0.0%" sourceLinked="1"/>
        <c:tickLblPos val="nextTo"/>
        <c:txPr>
          <a:bodyPr/>
          <a:lstStyle/>
          <a:p>
            <a:pPr>
              <a:defRPr sz="600"/>
            </a:pPr>
            <a:endParaRPr lang="ru-RU"/>
          </a:p>
        </c:txPr>
        <c:crossAx val="98859648"/>
        <c:crosses val="autoZero"/>
        <c:crossBetween val="between"/>
        <c:majorUnit val="0.2"/>
      </c:valAx>
      <c:spPr>
        <a:noFill/>
        <a:ln>
          <a:solidFill>
            <a:schemeClr val="accent1"/>
          </a:solidFill>
        </a:ln>
      </c:spPr>
    </c:plotArea>
    <c:legend>
      <c:legendPos val="t"/>
      <c:layout>
        <c:manualLayout>
          <c:xMode val="edge"/>
          <c:yMode val="edge"/>
          <c:x val="0.16378736956660941"/>
          <c:y val="0"/>
          <c:w val="0.68055518212662447"/>
          <c:h val="4.1574232568754102E-2"/>
        </c:manualLayout>
      </c:layout>
    </c:legend>
    <c:plotVisOnly val="1"/>
    <c:dispBlanksAs val="gap"/>
  </c:chart>
  <c:spPr>
    <a:ln>
      <a:noFill/>
    </a:ln>
  </c:spPr>
  <c:txPr>
    <a:bodyPr/>
    <a:lstStyle/>
    <a:p>
      <a:pPr>
        <a:defRPr>
          <a:latin typeface="Arial Narrow" panose="020B0606020202030204" pitchFamily="34" charset="0"/>
        </a:defRPr>
      </a:pPr>
      <a:endParaRPr lang="ru-RU"/>
    </a:p>
  </c:txPr>
  <c:externalData r:id="rId2"/>
</c:chartSpace>
</file>

<file path=word/charts/chart50.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53367256761888571"/>
          <c:y val="9.2460435472875593E-2"/>
          <c:w val="0.56668888435692233"/>
          <c:h val="0.89556502125205573"/>
        </c:manualLayout>
      </c:layout>
      <c:barChart>
        <c:barDir val="bar"/>
        <c:grouping val="stacked"/>
        <c:ser>
          <c:idx val="0"/>
          <c:order val="0"/>
          <c:tx>
            <c:strRef>
              <c:f>Лист1!$B$1</c:f>
              <c:strCache>
                <c:ptCount val="1"/>
                <c:pt idx="0">
                  <c:v>Удовлетворительно</c:v>
                </c:pt>
              </c:strCache>
            </c:strRef>
          </c:tx>
          <c:spPr>
            <a:solidFill>
              <a:srgbClr val="ED7D31">
                <a:lumMod val="40000"/>
                <a:lumOff val="60000"/>
              </a:srgbClr>
            </a:solidFill>
          </c:spPr>
          <c:dLbls>
            <c:dLbl>
              <c:idx val="1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6570-4532-9E11-6F51A0030851}"/>
                </c:ext>
              </c:extLst>
            </c:dLbl>
            <c:dLbl>
              <c:idx val="1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570-4532-9E11-6F51A0030851}"/>
                </c:ext>
              </c:extLst>
            </c:dLbl>
            <c:spPr>
              <a:noFill/>
              <a:ln>
                <a:no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развития, производства, переработки и хранения с‎\х продукции</c:v>
                </c:pt>
                <c:pt idx="1">
                  <c:v>Рынок услуг ЖКХ</c:v>
                </c:pt>
                <c:pt idx="2">
                  <c:v>Рынок услуг дополнительного образования детей</c:v>
                </c:pt>
                <c:pt idx="3">
                  <c:v>Рынок медицинских услуг</c:v>
                </c:pt>
                <c:pt idx="4">
                  <c:v>Розничная торговля</c:v>
                </c:pt>
                <c:pt idx="5">
                  <c:v>Рынок услуг по сбору, сортировке и переработке твердых коммунальных (бытовых) отходов</c:v>
                </c:pt>
                <c:pt idx="6">
                  <c:v>Рынок услуг психолого-педагогического сопровождения детей с ограниченными возможностями здоровья</c:v>
                </c:pt>
                <c:pt idx="7">
                  <c:v>Рынок услуг в сфере культуры</c:v>
                </c:pt>
                <c:pt idx="8">
                  <c:v>Рынок услуг связи</c:v>
                </c:pt>
                <c:pt idx="9">
                  <c:v>Рынок услуг социального обслуживания населения</c:v>
                </c:pt>
                <c:pt idx="10">
                  <c:v>Рынок услуг перевозок пассажиров наземным транспортом</c:v>
                </c:pt>
                <c:pt idx="11">
                  <c:v>Рынок услуг дошкольного образования</c:v>
                </c:pt>
                <c:pt idx="12">
                  <c:v>Рынок услуг детского отдыха и оздоровления</c:v>
                </c:pt>
              </c:strCache>
            </c:strRef>
          </c:cat>
          <c:val>
            <c:numRef>
              <c:f>Лист1!$B$2:$B$14</c:f>
              <c:numCache>
                <c:formatCode>0.0%</c:formatCode>
                <c:ptCount val="13"/>
                <c:pt idx="0">
                  <c:v>0.29000000000000031</c:v>
                </c:pt>
                <c:pt idx="1">
                  <c:v>0.27100000000000002</c:v>
                </c:pt>
                <c:pt idx="2">
                  <c:v>0.24000000000000021</c:v>
                </c:pt>
                <c:pt idx="3">
                  <c:v>0.22900000000000001</c:v>
                </c:pt>
                <c:pt idx="4">
                  <c:v>0.22800000000000001</c:v>
                </c:pt>
                <c:pt idx="5">
                  <c:v>0.2</c:v>
                </c:pt>
                <c:pt idx="6">
                  <c:v>0.16</c:v>
                </c:pt>
                <c:pt idx="7">
                  <c:v>0.12000000000000002</c:v>
                </c:pt>
                <c:pt idx="8">
                  <c:v>8.0000000000000043E-2</c:v>
                </c:pt>
                <c:pt idx="9">
                  <c:v>8.0000000000000043E-2</c:v>
                </c:pt>
                <c:pt idx="10">
                  <c:v>6.7000000000000004E-2</c:v>
                </c:pt>
                <c:pt idx="11">
                  <c:v>0</c:v>
                </c:pt>
                <c:pt idx="12">
                  <c:v>0</c:v>
                </c:pt>
              </c:numCache>
            </c:numRef>
          </c:val>
          <c:extLst xmlns:c16r2="http://schemas.microsoft.com/office/drawing/2015/06/chart">
            <c:ext xmlns:c16="http://schemas.microsoft.com/office/drawing/2014/chart" uri="{C3380CC4-5D6E-409C-BE32-E72D297353CC}">
              <c16:uniqueId val="{00000002-6570-4532-9E11-6F51A0030851}"/>
            </c:ext>
          </c:extLst>
        </c:ser>
        <c:ser>
          <c:idx val="1"/>
          <c:order val="1"/>
          <c:tx>
            <c:strRef>
              <c:f>Лист1!$C$1</c:f>
              <c:strCache>
                <c:ptCount val="1"/>
                <c:pt idx="0">
                  <c:v>Неудовлетворительно</c:v>
                </c:pt>
              </c:strCache>
            </c:strRef>
          </c:tx>
          <c:spPr>
            <a:solidFill>
              <a:srgbClr val="B28AB2"/>
            </a:solidFill>
            <a:ln>
              <a:noFill/>
            </a:ln>
          </c:spPr>
          <c:dLbls>
            <c:dLbl>
              <c:idx val="6"/>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6570-4532-9E11-6F51A0030851}"/>
                </c:ext>
              </c:extLst>
            </c:dLbl>
            <c:dLbl>
              <c:idx val="7"/>
              <c:layout>
                <c:manualLayout>
                  <c:x val="3.5756853396901073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6570-4532-9E11-6F51A0030851}"/>
                </c:ext>
              </c:extLst>
            </c:dLbl>
            <c:dLbl>
              <c:idx val="8"/>
              <c:layout>
                <c:manualLayout>
                  <c:x val="1.7878426698450543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6570-4532-9E11-6F51A0030851}"/>
                </c:ext>
              </c:extLst>
            </c:dLbl>
            <c:dLbl>
              <c:idx val="10"/>
              <c:layout>
                <c:manualLayout>
                  <c:x val="2.1851410409217717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6570-4532-9E11-6F51A0030851}"/>
                </c:ext>
              </c:extLst>
            </c:dLbl>
            <c:dLbl>
              <c:idx val="1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6570-4532-9E11-6F51A0030851}"/>
                </c:ext>
              </c:extLst>
            </c:dLbl>
            <c:dLbl>
              <c:idx val="1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6570-4532-9E11-6F51A0030851}"/>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развития, производства, переработки и хранения с‎\х продукции</c:v>
                </c:pt>
                <c:pt idx="1">
                  <c:v>Рынок услуг ЖКХ</c:v>
                </c:pt>
                <c:pt idx="2">
                  <c:v>Рынок услуг дополнительного образования детей</c:v>
                </c:pt>
                <c:pt idx="3">
                  <c:v>Рынок медицинских услуг</c:v>
                </c:pt>
                <c:pt idx="4">
                  <c:v>Розничная торговля</c:v>
                </c:pt>
                <c:pt idx="5">
                  <c:v>Рынок услуг по сбору, сортировке и переработке твердых коммунальных (бытовых) отходов</c:v>
                </c:pt>
                <c:pt idx="6">
                  <c:v>Рынок услуг психолого-педагогического сопровождения детей с ограниченными возможностями здоровья</c:v>
                </c:pt>
                <c:pt idx="7">
                  <c:v>Рынок услуг в сфере культуры</c:v>
                </c:pt>
                <c:pt idx="8">
                  <c:v>Рынок услуг связи</c:v>
                </c:pt>
                <c:pt idx="9">
                  <c:v>Рынок услуг социального обслуживания населения</c:v>
                </c:pt>
                <c:pt idx="10">
                  <c:v>Рынок услуг перевозок пассажиров наземным транспортом</c:v>
                </c:pt>
                <c:pt idx="11">
                  <c:v>Рынок услуг дошкольного образования</c:v>
                </c:pt>
                <c:pt idx="12">
                  <c:v>Рынок услуг детского отдыха и оздоровления</c:v>
                </c:pt>
              </c:strCache>
            </c:strRef>
          </c:cat>
          <c:val>
            <c:numRef>
              <c:f>Лист1!$C$2:$C$14</c:f>
              <c:numCache>
                <c:formatCode>0.0%</c:formatCode>
                <c:ptCount val="13"/>
                <c:pt idx="0">
                  <c:v>0.13</c:v>
                </c:pt>
                <c:pt idx="1">
                  <c:v>0.15700000000000044</c:v>
                </c:pt>
                <c:pt idx="2">
                  <c:v>8.0000000000000043E-2</c:v>
                </c:pt>
                <c:pt idx="3">
                  <c:v>8.6000000000000021E-2</c:v>
                </c:pt>
                <c:pt idx="4">
                  <c:v>0.20600000000000004</c:v>
                </c:pt>
                <c:pt idx="5">
                  <c:v>0.2</c:v>
                </c:pt>
                <c:pt idx="6">
                  <c:v>0</c:v>
                </c:pt>
                <c:pt idx="7">
                  <c:v>4.0000000000000022E-2</c:v>
                </c:pt>
                <c:pt idx="8">
                  <c:v>8.0000000000000043E-2</c:v>
                </c:pt>
                <c:pt idx="9">
                  <c:v>0.16</c:v>
                </c:pt>
                <c:pt idx="10">
                  <c:v>3.3000000000000002E-2</c:v>
                </c:pt>
                <c:pt idx="11">
                  <c:v>0</c:v>
                </c:pt>
                <c:pt idx="12">
                  <c:v>0</c:v>
                </c:pt>
              </c:numCache>
            </c:numRef>
          </c:val>
          <c:extLst xmlns:c16r2="http://schemas.microsoft.com/office/drawing/2015/06/chart">
            <c:ext xmlns:c16="http://schemas.microsoft.com/office/drawing/2014/chart" uri="{C3380CC4-5D6E-409C-BE32-E72D297353CC}">
              <c16:uniqueId val="{00000009-6570-4532-9E11-6F51A0030851}"/>
            </c:ext>
          </c:extLst>
        </c:ser>
        <c:ser>
          <c:idx val="2"/>
          <c:order val="2"/>
          <c:tx>
            <c:strRef>
              <c:f>Лист1!$D$1</c:f>
              <c:strCache>
                <c:ptCount val="1"/>
                <c:pt idx="0">
                  <c:v>Затрудняюсь ответить</c:v>
                </c:pt>
              </c:strCache>
            </c:strRef>
          </c:tx>
          <c:spPr>
            <a:solidFill>
              <a:sysClr val="window" lastClr="FFFFFF">
                <a:lumMod val="85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развития, производства, переработки и хранения с‎\х продукции</c:v>
                </c:pt>
                <c:pt idx="1">
                  <c:v>Рынок услуг ЖКХ</c:v>
                </c:pt>
                <c:pt idx="2">
                  <c:v>Рынок услуг дополнительного образования детей</c:v>
                </c:pt>
                <c:pt idx="3">
                  <c:v>Рынок медицинских услуг</c:v>
                </c:pt>
                <c:pt idx="4">
                  <c:v>Розничная торговля</c:v>
                </c:pt>
                <c:pt idx="5">
                  <c:v>Рынок услуг по сбору, сортировке и переработке твердых коммунальных (бытовых) отходов</c:v>
                </c:pt>
                <c:pt idx="6">
                  <c:v>Рынок услуг психолого-педагогического сопровождения детей с ограниченными возможностями здоровья</c:v>
                </c:pt>
                <c:pt idx="7">
                  <c:v>Рынок услуг в сфере культуры</c:v>
                </c:pt>
                <c:pt idx="8">
                  <c:v>Рынок услуг связи</c:v>
                </c:pt>
                <c:pt idx="9">
                  <c:v>Рынок услуг социального обслуживания населения</c:v>
                </c:pt>
                <c:pt idx="10">
                  <c:v>Рынок услуг перевозок пассажиров наземным транспортом</c:v>
                </c:pt>
                <c:pt idx="11">
                  <c:v>Рынок услуг дошкольного образования</c:v>
                </c:pt>
                <c:pt idx="12">
                  <c:v>Рынок услуг детского отдыха и оздоровления</c:v>
                </c:pt>
              </c:strCache>
            </c:strRef>
          </c:cat>
          <c:val>
            <c:numRef>
              <c:f>Лист1!$D$2:$D$14</c:f>
              <c:numCache>
                <c:formatCode>0.0%</c:formatCode>
                <c:ptCount val="13"/>
                <c:pt idx="0">
                  <c:v>0.58000000000000007</c:v>
                </c:pt>
                <c:pt idx="1">
                  <c:v>0.57099999999999995</c:v>
                </c:pt>
                <c:pt idx="2">
                  <c:v>0.68</c:v>
                </c:pt>
                <c:pt idx="3">
                  <c:v>0.68600000000000005</c:v>
                </c:pt>
                <c:pt idx="4">
                  <c:v>0.56699999999999995</c:v>
                </c:pt>
                <c:pt idx="5">
                  <c:v>0.60000000000000064</c:v>
                </c:pt>
                <c:pt idx="6">
                  <c:v>0.84000000000000064</c:v>
                </c:pt>
                <c:pt idx="7">
                  <c:v>0.84000000000000064</c:v>
                </c:pt>
                <c:pt idx="8">
                  <c:v>0.84000000000000064</c:v>
                </c:pt>
                <c:pt idx="9">
                  <c:v>0.76000000000000745</c:v>
                </c:pt>
                <c:pt idx="10">
                  <c:v>0.9</c:v>
                </c:pt>
                <c:pt idx="11">
                  <c:v>1</c:v>
                </c:pt>
                <c:pt idx="12">
                  <c:v>1</c:v>
                </c:pt>
              </c:numCache>
            </c:numRef>
          </c:val>
          <c:extLst xmlns:c16r2="http://schemas.microsoft.com/office/drawing/2015/06/chart">
            <c:ext xmlns:c16="http://schemas.microsoft.com/office/drawing/2014/chart" uri="{C3380CC4-5D6E-409C-BE32-E72D297353CC}">
              <c16:uniqueId val="{0000000A-6570-4532-9E11-6F51A0030851}"/>
            </c:ext>
          </c:extLst>
        </c:ser>
        <c:overlap val="100"/>
        <c:axId val="131932160"/>
        <c:axId val="131933696"/>
      </c:barChart>
      <c:catAx>
        <c:axId val="131932160"/>
        <c:scaling>
          <c:orientation val="maxMin"/>
        </c:scaling>
        <c:axPos val="l"/>
        <c:numFmt formatCode="General" sourceLinked="1"/>
        <c:tickLblPos val="nextTo"/>
        <c:crossAx val="131933696"/>
        <c:crosses val="autoZero"/>
        <c:auto val="1"/>
        <c:lblAlgn val="ctr"/>
        <c:lblOffset val="100"/>
      </c:catAx>
      <c:valAx>
        <c:axId val="131933696"/>
        <c:scaling>
          <c:orientation val="minMax"/>
          <c:max val="1"/>
          <c:min val="0"/>
        </c:scaling>
        <c:axPos val="t"/>
        <c:majorGridlines/>
        <c:numFmt formatCode="0.0%" sourceLinked="1"/>
        <c:tickLblPos val="nextTo"/>
        <c:txPr>
          <a:bodyPr/>
          <a:lstStyle/>
          <a:p>
            <a:pPr>
              <a:defRPr sz="600"/>
            </a:pPr>
            <a:endParaRPr lang="ru-RU"/>
          </a:p>
        </c:txPr>
        <c:crossAx val="131932160"/>
        <c:crosses val="autoZero"/>
        <c:crossBetween val="between"/>
        <c:majorUnit val="0.2"/>
      </c:valAx>
      <c:spPr>
        <a:noFill/>
        <a:ln>
          <a:solidFill>
            <a:schemeClr val="accent1"/>
          </a:solidFill>
        </a:ln>
      </c:spPr>
    </c:plotArea>
    <c:legend>
      <c:legendPos val="t"/>
    </c:legend>
    <c:plotVisOnly val="1"/>
    <c:dispBlanksAs val="gap"/>
  </c:chart>
  <c:spPr>
    <a:ln>
      <a:noFill/>
    </a:ln>
  </c:spPr>
  <c:txPr>
    <a:bodyPr/>
    <a:lstStyle/>
    <a:p>
      <a:pPr>
        <a:defRPr>
          <a:latin typeface="Arial Narrow" panose="020B0606020202030204" pitchFamily="34" charset="0"/>
        </a:defRPr>
      </a:pPr>
      <a:endParaRPr lang="ru-RU"/>
    </a:p>
  </c:txPr>
  <c:externalData r:id="rId2"/>
</c:chartSpace>
</file>

<file path=word/charts/chart51.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27650257804892092"/>
          <c:y val="0.14879810815727629"/>
          <c:w val="0.68250275481088496"/>
          <c:h val="0.83744809126581965"/>
        </c:manualLayout>
      </c:layout>
      <c:barChart>
        <c:barDir val="bar"/>
        <c:grouping val="stacked"/>
        <c:ser>
          <c:idx val="0"/>
          <c:order val="0"/>
          <c:tx>
            <c:strRef>
              <c:f>Лист1!$B$1</c:f>
              <c:strCache>
                <c:ptCount val="1"/>
                <c:pt idx="0">
                  <c:v>Удовлетворительно</c:v>
                </c:pt>
              </c:strCache>
            </c:strRef>
          </c:tx>
          <c:spPr>
            <a:solidFill>
              <a:srgbClr val="ED7D31">
                <a:lumMod val="40000"/>
                <a:lumOff val="60000"/>
              </a:srgbClr>
            </a:solidFill>
          </c:spPr>
          <c:dLbls>
            <c:spPr>
              <a:noFill/>
              <a:ln>
                <a:no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среднее предприятие</c:v>
                </c:pt>
                <c:pt idx="1">
                  <c:v>малое предприятие</c:v>
                </c:pt>
              </c:strCache>
            </c:strRef>
          </c:cat>
          <c:val>
            <c:numRef>
              <c:f>Лист1!$B$2:$B$3</c:f>
              <c:numCache>
                <c:formatCode>0.0%</c:formatCode>
                <c:ptCount val="2"/>
                <c:pt idx="0">
                  <c:v>0.36400000000000032</c:v>
                </c:pt>
                <c:pt idx="1">
                  <c:v>0.23300000000000001</c:v>
                </c:pt>
              </c:numCache>
            </c:numRef>
          </c:val>
          <c:extLst xmlns:c16r2="http://schemas.microsoft.com/office/drawing/2015/06/chart">
            <c:ext xmlns:c16="http://schemas.microsoft.com/office/drawing/2014/chart" uri="{C3380CC4-5D6E-409C-BE32-E72D297353CC}">
              <c16:uniqueId val="{00000000-9FDE-460D-9CF6-B5502ED677C5}"/>
            </c:ext>
          </c:extLst>
        </c:ser>
        <c:ser>
          <c:idx val="1"/>
          <c:order val="1"/>
          <c:tx>
            <c:strRef>
              <c:f>Лист1!$C$1</c:f>
              <c:strCache>
                <c:ptCount val="1"/>
                <c:pt idx="0">
                  <c:v>Неудовлетворительно</c:v>
                </c:pt>
              </c:strCache>
            </c:strRef>
          </c:tx>
          <c:spPr>
            <a:solidFill>
              <a:srgbClr val="B28AB2"/>
            </a:solidFill>
            <a:ln>
              <a:noFill/>
            </a:ln>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среднее предприятие</c:v>
                </c:pt>
                <c:pt idx="1">
                  <c:v>малое предприятие</c:v>
                </c:pt>
              </c:strCache>
            </c:strRef>
          </c:cat>
          <c:val>
            <c:numRef>
              <c:f>Лист1!$C$2:$C$3</c:f>
              <c:numCache>
                <c:formatCode>0.0%</c:formatCode>
                <c:ptCount val="2"/>
                <c:pt idx="0">
                  <c:v>0.36400000000000032</c:v>
                </c:pt>
                <c:pt idx="1">
                  <c:v>0.16900000000000001</c:v>
                </c:pt>
              </c:numCache>
            </c:numRef>
          </c:val>
          <c:extLst xmlns:c16r2="http://schemas.microsoft.com/office/drawing/2015/06/chart">
            <c:ext xmlns:c16="http://schemas.microsoft.com/office/drawing/2014/chart" uri="{C3380CC4-5D6E-409C-BE32-E72D297353CC}">
              <c16:uniqueId val="{00000001-9FDE-460D-9CF6-B5502ED677C5}"/>
            </c:ext>
          </c:extLst>
        </c:ser>
        <c:ser>
          <c:idx val="2"/>
          <c:order val="2"/>
          <c:tx>
            <c:strRef>
              <c:f>Лист1!$D$1</c:f>
              <c:strCache>
                <c:ptCount val="1"/>
                <c:pt idx="0">
                  <c:v>Затрудняюсь ответить</c:v>
                </c:pt>
              </c:strCache>
            </c:strRef>
          </c:tx>
          <c:spPr>
            <a:solidFill>
              <a:sysClr val="window" lastClr="FFFFFF">
                <a:lumMod val="85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среднее предприятие</c:v>
                </c:pt>
                <c:pt idx="1">
                  <c:v>малое предприятие</c:v>
                </c:pt>
              </c:strCache>
            </c:strRef>
          </c:cat>
          <c:val>
            <c:numRef>
              <c:f>Лист1!$D$2:$D$3</c:f>
              <c:numCache>
                <c:formatCode>0.0%</c:formatCode>
                <c:ptCount val="2"/>
                <c:pt idx="0">
                  <c:v>0.27300000000000002</c:v>
                </c:pt>
                <c:pt idx="1">
                  <c:v>0.59799999999999998</c:v>
                </c:pt>
              </c:numCache>
            </c:numRef>
          </c:val>
          <c:extLst xmlns:c16r2="http://schemas.microsoft.com/office/drawing/2015/06/chart">
            <c:ext xmlns:c16="http://schemas.microsoft.com/office/drawing/2014/chart" uri="{C3380CC4-5D6E-409C-BE32-E72D297353CC}">
              <c16:uniqueId val="{00000002-9FDE-460D-9CF6-B5502ED677C5}"/>
            </c:ext>
          </c:extLst>
        </c:ser>
        <c:overlap val="100"/>
        <c:axId val="111768320"/>
        <c:axId val="111769856"/>
      </c:barChart>
      <c:catAx>
        <c:axId val="111768320"/>
        <c:scaling>
          <c:orientation val="maxMin"/>
        </c:scaling>
        <c:axPos val="l"/>
        <c:numFmt formatCode="General" sourceLinked="1"/>
        <c:tickLblPos val="nextTo"/>
        <c:crossAx val="111769856"/>
        <c:crosses val="autoZero"/>
        <c:auto val="1"/>
        <c:lblAlgn val="ctr"/>
        <c:lblOffset val="100"/>
      </c:catAx>
      <c:valAx>
        <c:axId val="111769856"/>
        <c:scaling>
          <c:orientation val="minMax"/>
          <c:max val="1"/>
          <c:min val="0"/>
        </c:scaling>
        <c:delete val="1"/>
        <c:axPos val="t"/>
        <c:majorGridlines/>
        <c:numFmt formatCode="0.0%" sourceLinked="1"/>
        <c:tickLblPos val="none"/>
        <c:crossAx val="111768320"/>
        <c:crosses val="autoZero"/>
        <c:crossBetween val="between"/>
        <c:majorUnit val="0.2"/>
      </c:valAx>
      <c:spPr>
        <a:noFill/>
        <a:ln>
          <a:solidFill>
            <a:schemeClr val="accent1"/>
          </a:solidFill>
        </a:ln>
      </c:spPr>
    </c:plotArea>
    <c:legend>
      <c:legendPos val="t"/>
    </c:legend>
    <c:plotVisOnly val="1"/>
    <c:dispBlanksAs val="gap"/>
  </c:chart>
  <c:spPr>
    <a:ln>
      <a:noFill/>
    </a:ln>
  </c:spPr>
  <c:txPr>
    <a:bodyPr/>
    <a:lstStyle/>
    <a:p>
      <a:pPr>
        <a:defRPr>
          <a:latin typeface="Arial Narrow" panose="020B0606020202030204" pitchFamily="34" charset="0"/>
        </a:defRPr>
      </a:pPr>
      <a:endParaRPr lang="ru-RU"/>
    </a:p>
  </c:txPr>
</c:chartSpace>
</file>

<file path=word/charts/chart52.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27650257804892092"/>
          <c:y val="7.4255224134304909E-2"/>
          <c:w val="0.68250275481088496"/>
          <c:h val="0.91752053496057262"/>
        </c:manualLayout>
      </c:layout>
      <c:barChart>
        <c:barDir val="bar"/>
        <c:grouping val="stacked"/>
        <c:ser>
          <c:idx val="0"/>
          <c:order val="0"/>
          <c:tx>
            <c:strRef>
              <c:f>Лист1!$B$1</c:f>
              <c:strCache>
                <c:ptCount val="1"/>
                <c:pt idx="0">
                  <c:v>Удовлетворительно</c:v>
                </c:pt>
              </c:strCache>
            </c:strRef>
          </c:tx>
          <c:spPr>
            <a:solidFill>
              <a:srgbClr val="ED7D31">
                <a:lumMod val="40000"/>
                <a:lumOff val="60000"/>
              </a:srgbClr>
            </a:solidFill>
          </c:spPr>
          <c:dLbls>
            <c:dLbl>
              <c:idx val="29"/>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D0E6-4D5B-9952-4706688D72D6}"/>
                </c:ext>
              </c:extLst>
            </c:dLbl>
            <c:dLbl>
              <c:idx val="3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D0E6-4D5B-9952-4706688D72D6}"/>
                </c:ext>
              </c:extLst>
            </c:dLbl>
            <c:dLbl>
              <c:idx val="3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D0E6-4D5B-9952-4706688D72D6}"/>
                </c:ext>
              </c:extLst>
            </c:dLbl>
            <c:dLbl>
              <c:idx val="3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D0E6-4D5B-9952-4706688D72D6}"/>
                </c:ext>
              </c:extLst>
            </c:dLbl>
            <c:dLbl>
              <c:idx val="3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D0E6-4D5B-9952-4706688D72D6}"/>
                </c:ext>
              </c:extLst>
            </c:dLbl>
            <c:dLbl>
              <c:idx val="3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D0E6-4D5B-9952-4706688D72D6}"/>
                </c:ext>
              </c:extLst>
            </c:dLbl>
            <c:spPr>
              <a:noFill/>
              <a:ln>
                <a:no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Колыванский МР</c:v>
                </c:pt>
                <c:pt idx="1">
                  <c:v>Чулымский МР</c:v>
                </c:pt>
                <c:pt idx="2">
                  <c:v>Татарский МР</c:v>
                </c:pt>
                <c:pt idx="3">
                  <c:v>Карасукский МР</c:v>
                </c:pt>
                <c:pt idx="4">
                  <c:v>Венгеровский МР</c:v>
                </c:pt>
                <c:pt idx="5">
                  <c:v>Куйбышевский МР</c:v>
                </c:pt>
                <c:pt idx="6">
                  <c:v>Ордынский МР</c:v>
                </c:pt>
                <c:pt idx="7">
                  <c:v>г. Искитим</c:v>
                </c:pt>
                <c:pt idx="8">
                  <c:v>Маслянинский МР</c:v>
                </c:pt>
                <c:pt idx="9">
                  <c:v>Барабинский МР</c:v>
                </c:pt>
                <c:pt idx="10">
                  <c:v>Черепановский МР</c:v>
                </c:pt>
                <c:pt idx="11">
                  <c:v>Сузунский МР</c:v>
                </c:pt>
                <c:pt idx="12">
                  <c:v>Доволенский МР</c:v>
                </c:pt>
                <c:pt idx="13">
                  <c:v>Убинский МР</c:v>
                </c:pt>
                <c:pt idx="14">
                  <c:v>г. Обь</c:v>
                </c:pt>
                <c:pt idx="15">
                  <c:v>Болотнинский МР</c:v>
                </c:pt>
                <c:pt idx="16">
                  <c:v>Коченевский МР</c:v>
                </c:pt>
                <c:pt idx="17">
                  <c:v>г. Новосибирск</c:v>
                </c:pt>
                <c:pt idx="18">
                  <c:v>Новосибирский МР</c:v>
                </c:pt>
                <c:pt idx="19">
                  <c:v>Чановский МР</c:v>
                </c:pt>
                <c:pt idx="20">
                  <c:v>Чистоозерный МР</c:v>
                </c:pt>
                <c:pt idx="21">
                  <c:v>Искитимский МР</c:v>
                </c:pt>
                <c:pt idx="22">
                  <c:v>Здвинский МР</c:v>
                </c:pt>
                <c:pt idx="23">
                  <c:v>Усть-Таркский МР</c:v>
                </c:pt>
                <c:pt idx="24">
                  <c:v>Баганский МР</c:v>
                </c:pt>
                <c:pt idx="25">
                  <c:v>Мошковский МР</c:v>
                </c:pt>
                <c:pt idx="26">
                  <c:v>г. Бердск</c:v>
                </c:pt>
                <c:pt idx="27">
                  <c:v>Купинский МР</c:v>
                </c:pt>
                <c:pt idx="28">
                  <c:v>Тогучинский МР</c:v>
                </c:pt>
                <c:pt idx="29">
                  <c:v>Каргатский МР</c:v>
                </c:pt>
                <c:pt idx="30">
                  <c:v>Кочковский МР</c:v>
                </c:pt>
                <c:pt idx="31">
                  <c:v>Краснозерский МР</c:v>
                </c:pt>
                <c:pt idx="32">
                  <c:v>Кыштовский МР</c:v>
                </c:pt>
                <c:pt idx="33">
                  <c:v>р. п. Кольцово</c:v>
                </c:pt>
                <c:pt idx="34">
                  <c:v>Северный МР</c:v>
                </c:pt>
              </c:strCache>
            </c:strRef>
          </c:cat>
          <c:val>
            <c:numRef>
              <c:f>Лист1!$B$2:$B$36</c:f>
              <c:numCache>
                <c:formatCode>0.0%</c:formatCode>
                <c:ptCount val="35"/>
                <c:pt idx="0">
                  <c:v>0.56499999999999995</c:v>
                </c:pt>
                <c:pt idx="1">
                  <c:v>0.53300000000000003</c:v>
                </c:pt>
                <c:pt idx="2">
                  <c:v>0.5</c:v>
                </c:pt>
                <c:pt idx="3">
                  <c:v>0.47100000000000031</c:v>
                </c:pt>
                <c:pt idx="4">
                  <c:v>0.42900000000000038</c:v>
                </c:pt>
                <c:pt idx="5">
                  <c:v>0.42300000000000032</c:v>
                </c:pt>
                <c:pt idx="6">
                  <c:v>0.42100000000000032</c:v>
                </c:pt>
                <c:pt idx="7">
                  <c:v>0.39600000000000413</c:v>
                </c:pt>
                <c:pt idx="8">
                  <c:v>0.38500000000000362</c:v>
                </c:pt>
                <c:pt idx="9">
                  <c:v>0.36800000000000038</c:v>
                </c:pt>
                <c:pt idx="10">
                  <c:v>0.33300000000000413</c:v>
                </c:pt>
                <c:pt idx="11">
                  <c:v>0.31300000000000322</c:v>
                </c:pt>
                <c:pt idx="12">
                  <c:v>0.28600000000000031</c:v>
                </c:pt>
                <c:pt idx="13">
                  <c:v>0.28600000000000031</c:v>
                </c:pt>
                <c:pt idx="14">
                  <c:v>0.25</c:v>
                </c:pt>
                <c:pt idx="15">
                  <c:v>0.23100000000000001</c:v>
                </c:pt>
                <c:pt idx="16">
                  <c:v>0.23100000000000001</c:v>
                </c:pt>
                <c:pt idx="17">
                  <c:v>0.21600000000000041</c:v>
                </c:pt>
                <c:pt idx="18">
                  <c:v>0.18200000000000024</c:v>
                </c:pt>
                <c:pt idx="19">
                  <c:v>0.18200000000000024</c:v>
                </c:pt>
                <c:pt idx="20">
                  <c:v>0.18200000000000024</c:v>
                </c:pt>
                <c:pt idx="21">
                  <c:v>0.17600000000000021</c:v>
                </c:pt>
                <c:pt idx="22">
                  <c:v>0.16700000000000001</c:v>
                </c:pt>
                <c:pt idx="23">
                  <c:v>0.16700000000000001</c:v>
                </c:pt>
                <c:pt idx="24">
                  <c:v>0.125</c:v>
                </c:pt>
                <c:pt idx="25">
                  <c:v>0.111</c:v>
                </c:pt>
                <c:pt idx="26">
                  <c:v>0.10299999999999998</c:v>
                </c:pt>
                <c:pt idx="27">
                  <c:v>6.7000000000000004E-2</c:v>
                </c:pt>
                <c:pt idx="28">
                  <c:v>4.2000000000000023E-2</c:v>
                </c:pt>
                <c:pt idx="29">
                  <c:v>0</c:v>
                </c:pt>
                <c:pt idx="30">
                  <c:v>0</c:v>
                </c:pt>
                <c:pt idx="31">
                  <c:v>0</c:v>
                </c:pt>
                <c:pt idx="32">
                  <c:v>0</c:v>
                </c:pt>
                <c:pt idx="33">
                  <c:v>0</c:v>
                </c:pt>
                <c:pt idx="34">
                  <c:v>0</c:v>
                </c:pt>
              </c:numCache>
            </c:numRef>
          </c:val>
          <c:extLst xmlns:c16r2="http://schemas.microsoft.com/office/drawing/2015/06/chart">
            <c:ext xmlns:c16="http://schemas.microsoft.com/office/drawing/2014/chart" uri="{C3380CC4-5D6E-409C-BE32-E72D297353CC}">
              <c16:uniqueId val="{00000000-CC94-4A48-A434-02BB512930AC}"/>
            </c:ext>
          </c:extLst>
        </c:ser>
        <c:ser>
          <c:idx val="1"/>
          <c:order val="1"/>
          <c:tx>
            <c:strRef>
              <c:f>Лист1!$C$1</c:f>
              <c:strCache>
                <c:ptCount val="1"/>
                <c:pt idx="0">
                  <c:v>Неудовлетворительно</c:v>
                </c:pt>
              </c:strCache>
            </c:strRef>
          </c:tx>
          <c:spPr>
            <a:solidFill>
              <a:srgbClr val="B28AB2"/>
            </a:solidFill>
            <a:ln>
              <a:noFill/>
            </a:ln>
          </c:spPr>
          <c:dLbls>
            <c:dLbl>
              <c:idx val="1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D0E6-4D5B-9952-4706688D72D6}"/>
                </c:ext>
              </c:extLst>
            </c:dLbl>
            <c:dLbl>
              <c:idx val="2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D0E6-4D5B-9952-4706688D72D6}"/>
                </c:ext>
              </c:extLst>
            </c:dLbl>
            <c:dLbl>
              <c:idx val="2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D0E6-4D5B-9952-4706688D72D6}"/>
                </c:ext>
              </c:extLst>
            </c:dLbl>
            <c:dLbl>
              <c:idx val="28"/>
              <c:layout>
                <c:manualLayout>
                  <c:x val="1.3818971473694559E-2"/>
                  <c:y val="1.5449980687525437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CC94-4A48-A434-02BB512930AC}"/>
                </c:ext>
              </c:extLst>
            </c:dLbl>
            <c:dLbl>
              <c:idx val="3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D0E6-4D5B-9952-4706688D72D6}"/>
                </c:ext>
              </c:extLst>
            </c:dLbl>
            <c:dLbl>
              <c:idx val="3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D0E6-4D5B-9952-4706688D72D6}"/>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Колыванский МР</c:v>
                </c:pt>
                <c:pt idx="1">
                  <c:v>Чулымский МР</c:v>
                </c:pt>
                <c:pt idx="2">
                  <c:v>Татарский МР</c:v>
                </c:pt>
                <c:pt idx="3">
                  <c:v>Карасукский МР</c:v>
                </c:pt>
                <c:pt idx="4">
                  <c:v>Венгеровский МР</c:v>
                </c:pt>
                <c:pt idx="5">
                  <c:v>Куйбышевский МР</c:v>
                </c:pt>
                <c:pt idx="6">
                  <c:v>Ордынский МР</c:v>
                </c:pt>
                <c:pt idx="7">
                  <c:v>г. Искитим</c:v>
                </c:pt>
                <c:pt idx="8">
                  <c:v>Маслянинский МР</c:v>
                </c:pt>
                <c:pt idx="9">
                  <c:v>Барабинский МР</c:v>
                </c:pt>
                <c:pt idx="10">
                  <c:v>Черепановский МР</c:v>
                </c:pt>
                <c:pt idx="11">
                  <c:v>Сузунский МР</c:v>
                </c:pt>
                <c:pt idx="12">
                  <c:v>Доволенский МР</c:v>
                </c:pt>
                <c:pt idx="13">
                  <c:v>Убинский МР</c:v>
                </c:pt>
                <c:pt idx="14">
                  <c:v>г. Обь</c:v>
                </c:pt>
                <c:pt idx="15">
                  <c:v>Болотнинский МР</c:v>
                </c:pt>
                <c:pt idx="16">
                  <c:v>Коченевский МР</c:v>
                </c:pt>
                <c:pt idx="17">
                  <c:v>г. Новосибирск</c:v>
                </c:pt>
                <c:pt idx="18">
                  <c:v>Новосибирский МР</c:v>
                </c:pt>
                <c:pt idx="19">
                  <c:v>Чановский МР</c:v>
                </c:pt>
                <c:pt idx="20">
                  <c:v>Чистоозерный МР</c:v>
                </c:pt>
                <c:pt idx="21">
                  <c:v>Искитимский МР</c:v>
                </c:pt>
                <c:pt idx="22">
                  <c:v>Здвинский МР</c:v>
                </c:pt>
                <c:pt idx="23">
                  <c:v>Усть-Таркский МР</c:v>
                </c:pt>
                <c:pt idx="24">
                  <c:v>Баганский МР</c:v>
                </c:pt>
                <c:pt idx="25">
                  <c:v>Мошковский МР</c:v>
                </c:pt>
                <c:pt idx="26">
                  <c:v>г. Бердск</c:v>
                </c:pt>
                <c:pt idx="27">
                  <c:v>Купинский МР</c:v>
                </c:pt>
                <c:pt idx="28">
                  <c:v>Тогучинский МР</c:v>
                </c:pt>
                <c:pt idx="29">
                  <c:v>Каргатский МР</c:v>
                </c:pt>
                <c:pt idx="30">
                  <c:v>Кочковский МР</c:v>
                </c:pt>
                <c:pt idx="31">
                  <c:v>Краснозерский МР</c:v>
                </c:pt>
                <c:pt idx="32">
                  <c:v>Кыштовский МР</c:v>
                </c:pt>
                <c:pt idx="33">
                  <c:v>р. п. Кольцово</c:v>
                </c:pt>
                <c:pt idx="34">
                  <c:v>Северный МР</c:v>
                </c:pt>
              </c:strCache>
            </c:strRef>
          </c:cat>
          <c:val>
            <c:numRef>
              <c:f>Лист1!$C$2:$C$36</c:f>
              <c:numCache>
                <c:formatCode>0.0%</c:formatCode>
                <c:ptCount val="35"/>
                <c:pt idx="0">
                  <c:v>0.34800000000000031</c:v>
                </c:pt>
                <c:pt idx="1">
                  <c:v>0.2</c:v>
                </c:pt>
                <c:pt idx="2">
                  <c:v>0.16700000000000001</c:v>
                </c:pt>
                <c:pt idx="3">
                  <c:v>0.23500000000000001</c:v>
                </c:pt>
                <c:pt idx="4">
                  <c:v>0.14300000000000004</c:v>
                </c:pt>
                <c:pt idx="5">
                  <c:v>0.42300000000000032</c:v>
                </c:pt>
                <c:pt idx="6">
                  <c:v>0.26300000000000001</c:v>
                </c:pt>
                <c:pt idx="7">
                  <c:v>0.24500000000000041</c:v>
                </c:pt>
                <c:pt idx="8">
                  <c:v>0.38500000000000362</c:v>
                </c:pt>
                <c:pt idx="9">
                  <c:v>0.42100000000000032</c:v>
                </c:pt>
                <c:pt idx="10">
                  <c:v>0.16700000000000001</c:v>
                </c:pt>
                <c:pt idx="11">
                  <c:v>0.31300000000000322</c:v>
                </c:pt>
                <c:pt idx="12">
                  <c:v>0.28600000000000031</c:v>
                </c:pt>
                <c:pt idx="13">
                  <c:v>0</c:v>
                </c:pt>
                <c:pt idx="14">
                  <c:v>0.32100000000000362</c:v>
                </c:pt>
                <c:pt idx="15">
                  <c:v>7.6999999999999999E-2</c:v>
                </c:pt>
                <c:pt idx="16">
                  <c:v>0.46200000000000002</c:v>
                </c:pt>
                <c:pt idx="17">
                  <c:v>0.14700000000000021</c:v>
                </c:pt>
                <c:pt idx="18">
                  <c:v>9.1000000000000025E-2</c:v>
                </c:pt>
                <c:pt idx="19">
                  <c:v>3.0000000000000002E-2</c:v>
                </c:pt>
                <c:pt idx="20">
                  <c:v>0.18200000000000024</c:v>
                </c:pt>
                <c:pt idx="21">
                  <c:v>0.29400000000000032</c:v>
                </c:pt>
                <c:pt idx="22">
                  <c:v>0</c:v>
                </c:pt>
                <c:pt idx="23">
                  <c:v>0.5</c:v>
                </c:pt>
                <c:pt idx="24">
                  <c:v>0</c:v>
                </c:pt>
                <c:pt idx="25">
                  <c:v>0.111</c:v>
                </c:pt>
                <c:pt idx="26">
                  <c:v>0.20500000000000004</c:v>
                </c:pt>
                <c:pt idx="27">
                  <c:v>6.7000000000000004E-2</c:v>
                </c:pt>
                <c:pt idx="28">
                  <c:v>4.2000000000000023E-2</c:v>
                </c:pt>
                <c:pt idx="29">
                  <c:v>0.33300000000000413</c:v>
                </c:pt>
                <c:pt idx="30">
                  <c:v>0.14300000000000004</c:v>
                </c:pt>
                <c:pt idx="31">
                  <c:v>0</c:v>
                </c:pt>
                <c:pt idx="32">
                  <c:v>0.33300000000000413</c:v>
                </c:pt>
                <c:pt idx="33">
                  <c:v>0</c:v>
                </c:pt>
                <c:pt idx="34">
                  <c:v>0.5</c:v>
                </c:pt>
              </c:numCache>
            </c:numRef>
          </c:val>
          <c:extLst xmlns:c16r2="http://schemas.microsoft.com/office/drawing/2015/06/chart">
            <c:ext xmlns:c16="http://schemas.microsoft.com/office/drawing/2014/chart" uri="{C3380CC4-5D6E-409C-BE32-E72D297353CC}">
              <c16:uniqueId val="{00000002-CC94-4A48-A434-02BB512930AC}"/>
            </c:ext>
          </c:extLst>
        </c:ser>
        <c:ser>
          <c:idx val="2"/>
          <c:order val="2"/>
          <c:tx>
            <c:strRef>
              <c:f>Лист1!$D$1</c:f>
              <c:strCache>
                <c:ptCount val="1"/>
                <c:pt idx="0">
                  <c:v>Затрудняюсь ответить</c:v>
                </c:pt>
              </c:strCache>
            </c:strRef>
          </c:tx>
          <c:spPr>
            <a:solidFill>
              <a:sysClr val="window" lastClr="FFFFFF">
                <a:lumMod val="85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Колыванский МР</c:v>
                </c:pt>
                <c:pt idx="1">
                  <c:v>Чулымский МР</c:v>
                </c:pt>
                <c:pt idx="2">
                  <c:v>Татарский МР</c:v>
                </c:pt>
                <c:pt idx="3">
                  <c:v>Карасукский МР</c:v>
                </c:pt>
                <c:pt idx="4">
                  <c:v>Венгеровский МР</c:v>
                </c:pt>
                <c:pt idx="5">
                  <c:v>Куйбышевский МР</c:v>
                </c:pt>
                <c:pt idx="6">
                  <c:v>Ордынский МР</c:v>
                </c:pt>
                <c:pt idx="7">
                  <c:v>г. Искитим</c:v>
                </c:pt>
                <c:pt idx="8">
                  <c:v>Маслянинский МР</c:v>
                </c:pt>
                <c:pt idx="9">
                  <c:v>Барабинский МР</c:v>
                </c:pt>
                <c:pt idx="10">
                  <c:v>Черепановский МР</c:v>
                </c:pt>
                <c:pt idx="11">
                  <c:v>Сузунский МР</c:v>
                </c:pt>
                <c:pt idx="12">
                  <c:v>Доволенский МР</c:v>
                </c:pt>
                <c:pt idx="13">
                  <c:v>Убинский МР</c:v>
                </c:pt>
                <c:pt idx="14">
                  <c:v>г. Обь</c:v>
                </c:pt>
                <c:pt idx="15">
                  <c:v>Болотнинский МР</c:v>
                </c:pt>
                <c:pt idx="16">
                  <c:v>Коченевский МР</c:v>
                </c:pt>
                <c:pt idx="17">
                  <c:v>г. Новосибирск</c:v>
                </c:pt>
                <c:pt idx="18">
                  <c:v>Новосибирский МР</c:v>
                </c:pt>
                <c:pt idx="19">
                  <c:v>Чановский МР</c:v>
                </c:pt>
                <c:pt idx="20">
                  <c:v>Чистоозерный МР</c:v>
                </c:pt>
                <c:pt idx="21">
                  <c:v>Искитимский МР</c:v>
                </c:pt>
                <c:pt idx="22">
                  <c:v>Здвинский МР</c:v>
                </c:pt>
                <c:pt idx="23">
                  <c:v>Усть-Таркский МР</c:v>
                </c:pt>
                <c:pt idx="24">
                  <c:v>Баганский МР</c:v>
                </c:pt>
                <c:pt idx="25">
                  <c:v>Мошковский МР</c:v>
                </c:pt>
                <c:pt idx="26">
                  <c:v>г. Бердск</c:v>
                </c:pt>
                <c:pt idx="27">
                  <c:v>Купинский МР</c:v>
                </c:pt>
                <c:pt idx="28">
                  <c:v>Тогучинский МР</c:v>
                </c:pt>
                <c:pt idx="29">
                  <c:v>Каргатский МР</c:v>
                </c:pt>
                <c:pt idx="30">
                  <c:v>Кочковский МР</c:v>
                </c:pt>
                <c:pt idx="31">
                  <c:v>Краснозерский МР</c:v>
                </c:pt>
                <c:pt idx="32">
                  <c:v>Кыштовский МР</c:v>
                </c:pt>
                <c:pt idx="33">
                  <c:v>р. п. Кольцово</c:v>
                </c:pt>
                <c:pt idx="34">
                  <c:v>Северный МР</c:v>
                </c:pt>
              </c:strCache>
            </c:strRef>
          </c:cat>
          <c:val>
            <c:numRef>
              <c:f>Лист1!$D$2:$D$36</c:f>
              <c:numCache>
                <c:formatCode>0.0%</c:formatCode>
                <c:ptCount val="35"/>
                <c:pt idx="0">
                  <c:v>8.7000000000000022E-2</c:v>
                </c:pt>
                <c:pt idx="1">
                  <c:v>0.26700000000000002</c:v>
                </c:pt>
                <c:pt idx="2">
                  <c:v>0.33300000000000413</c:v>
                </c:pt>
                <c:pt idx="3">
                  <c:v>0.29400000000000032</c:v>
                </c:pt>
                <c:pt idx="4">
                  <c:v>0.42900000000000038</c:v>
                </c:pt>
                <c:pt idx="5">
                  <c:v>0.15400000000000041</c:v>
                </c:pt>
                <c:pt idx="6">
                  <c:v>0.31600000000000328</c:v>
                </c:pt>
                <c:pt idx="7">
                  <c:v>0.35800000000000032</c:v>
                </c:pt>
                <c:pt idx="8">
                  <c:v>0.23100000000000001</c:v>
                </c:pt>
                <c:pt idx="9">
                  <c:v>0.21100000000000024</c:v>
                </c:pt>
                <c:pt idx="10">
                  <c:v>0.5</c:v>
                </c:pt>
                <c:pt idx="11">
                  <c:v>0.37500000000000322</c:v>
                </c:pt>
                <c:pt idx="12">
                  <c:v>0.42900000000000038</c:v>
                </c:pt>
                <c:pt idx="13">
                  <c:v>0.71400000000000063</c:v>
                </c:pt>
                <c:pt idx="14">
                  <c:v>0.42900000000000038</c:v>
                </c:pt>
                <c:pt idx="15">
                  <c:v>0.69199999999999995</c:v>
                </c:pt>
                <c:pt idx="16">
                  <c:v>0.30800000000000038</c:v>
                </c:pt>
                <c:pt idx="17">
                  <c:v>0.63700000000000723</c:v>
                </c:pt>
                <c:pt idx="18">
                  <c:v>0.72700000000000065</c:v>
                </c:pt>
                <c:pt idx="19">
                  <c:v>0.78800000000000003</c:v>
                </c:pt>
                <c:pt idx="20">
                  <c:v>0.63600000000000723</c:v>
                </c:pt>
                <c:pt idx="21">
                  <c:v>0.52900000000000003</c:v>
                </c:pt>
                <c:pt idx="22">
                  <c:v>0.83300000000000063</c:v>
                </c:pt>
                <c:pt idx="23">
                  <c:v>0.33300000000000413</c:v>
                </c:pt>
                <c:pt idx="24">
                  <c:v>0.87500000000000655</c:v>
                </c:pt>
                <c:pt idx="25">
                  <c:v>0.7780000000000078</c:v>
                </c:pt>
                <c:pt idx="26">
                  <c:v>0.69199999999999995</c:v>
                </c:pt>
                <c:pt idx="27">
                  <c:v>0.86700000000000643</c:v>
                </c:pt>
                <c:pt idx="28">
                  <c:v>0.91700000000000004</c:v>
                </c:pt>
                <c:pt idx="29">
                  <c:v>0.66700000000000825</c:v>
                </c:pt>
                <c:pt idx="30">
                  <c:v>0.85700000000000065</c:v>
                </c:pt>
                <c:pt idx="31">
                  <c:v>1</c:v>
                </c:pt>
                <c:pt idx="32">
                  <c:v>0.66700000000000825</c:v>
                </c:pt>
                <c:pt idx="33">
                  <c:v>1</c:v>
                </c:pt>
                <c:pt idx="34">
                  <c:v>0.5</c:v>
                </c:pt>
              </c:numCache>
            </c:numRef>
          </c:val>
          <c:extLst xmlns:c16r2="http://schemas.microsoft.com/office/drawing/2015/06/chart">
            <c:ext xmlns:c16="http://schemas.microsoft.com/office/drawing/2014/chart" uri="{C3380CC4-5D6E-409C-BE32-E72D297353CC}">
              <c16:uniqueId val="{00000003-CC94-4A48-A434-02BB512930AC}"/>
            </c:ext>
          </c:extLst>
        </c:ser>
        <c:overlap val="100"/>
        <c:axId val="111573248"/>
        <c:axId val="111599616"/>
      </c:barChart>
      <c:catAx>
        <c:axId val="111573248"/>
        <c:scaling>
          <c:orientation val="maxMin"/>
        </c:scaling>
        <c:axPos val="l"/>
        <c:numFmt formatCode="General" sourceLinked="1"/>
        <c:tickLblPos val="nextTo"/>
        <c:crossAx val="111599616"/>
        <c:crosses val="autoZero"/>
        <c:auto val="1"/>
        <c:lblAlgn val="ctr"/>
        <c:lblOffset val="100"/>
      </c:catAx>
      <c:valAx>
        <c:axId val="111599616"/>
        <c:scaling>
          <c:orientation val="minMax"/>
          <c:max val="1"/>
          <c:min val="0"/>
        </c:scaling>
        <c:axPos val="t"/>
        <c:majorGridlines/>
        <c:numFmt formatCode="0.0%" sourceLinked="1"/>
        <c:tickLblPos val="nextTo"/>
        <c:crossAx val="111573248"/>
        <c:crosses val="autoZero"/>
        <c:crossBetween val="between"/>
        <c:majorUnit val="0.2"/>
      </c:valAx>
      <c:spPr>
        <a:noFill/>
        <a:ln>
          <a:solidFill>
            <a:schemeClr val="accent1"/>
          </a:solidFill>
        </a:ln>
      </c:spPr>
    </c:plotArea>
    <c:legend>
      <c:legendPos val="t"/>
    </c:legend>
    <c:plotVisOnly val="1"/>
    <c:dispBlanksAs val="gap"/>
  </c:chart>
  <c:spPr>
    <a:ln>
      <a:noFill/>
    </a:ln>
  </c:spPr>
  <c:txPr>
    <a:bodyPr/>
    <a:lstStyle/>
    <a:p>
      <a:pPr>
        <a:defRPr>
          <a:latin typeface="Arial Narrow" panose="020B0606020202030204" pitchFamily="34" charset="0"/>
        </a:defRPr>
      </a:pPr>
      <a:endParaRPr lang="ru-RU"/>
    </a:p>
  </c:txPr>
  <c:externalData r:id="rId2"/>
</c:chartSpace>
</file>

<file path=word/charts/chart53.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27650257804892092"/>
          <c:y val="0.22508901319461766"/>
          <c:w val="0.68250275481088507"/>
          <c:h val="0.76969869716513351"/>
        </c:manualLayout>
      </c:layout>
      <c:barChart>
        <c:barDir val="bar"/>
        <c:grouping val="stacked"/>
        <c:ser>
          <c:idx val="0"/>
          <c:order val="0"/>
          <c:tx>
            <c:strRef>
              <c:f>Лист1!$B$1</c:f>
              <c:strCache>
                <c:ptCount val="1"/>
                <c:pt idx="0">
                  <c:v>Удовлетворительно</c:v>
                </c:pt>
              </c:strCache>
            </c:strRef>
          </c:tx>
          <c:spPr>
            <a:solidFill>
              <a:srgbClr val="ED7D31">
                <a:lumMod val="40000"/>
                <a:lumOff val="60000"/>
              </a:srgbClr>
            </a:solidFill>
          </c:spPr>
          <c:dLbls>
            <c:spPr>
              <a:noFill/>
              <a:ln>
                <a:no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Водоснабжение, водоотведение</c:v>
                </c:pt>
                <c:pt idx="1">
                  <c:v>Электроснабжение</c:v>
                </c:pt>
                <c:pt idx="2">
                  <c:v>Теплоснабжение</c:v>
                </c:pt>
                <c:pt idx="3">
                  <c:v>Газоснабжение</c:v>
                </c:pt>
              </c:strCache>
            </c:strRef>
          </c:cat>
          <c:val>
            <c:numRef>
              <c:f>Лист1!$B$2:$B$5</c:f>
              <c:numCache>
                <c:formatCode>0.0%</c:formatCode>
                <c:ptCount val="4"/>
                <c:pt idx="0">
                  <c:v>0.22300000000000003</c:v>
                </c:pt>
                <c:pt idx="1">
                  <c:v>0.21600000000000041</c:v>
                </c:pt>
                <c:pt idx="2">
                  <c:v>0.20300000000000001</c:v>
                </c:pt>
                <c:pt idx="3">
                  <c:v>0.16700000000000004</c:v>
                </c:pt>
              </c:numCache>
            </c:numRef>
          </c:val>
          <c:extLst xmlns:c16r2="http://schemas.microsoft.com/office/drawing/2015/06/chart">
            <c:ext xmlns:c16="http://schemas.microsoft.com/office/drawing/2014/chart" uri="{C3380CC4-5D6E-409C-BE32-E72D297353CC}">
              <c16:uniqueId val="{00000000-EBC6-4B9A-AE56-389273B3B73D}"/>
            </c:ext>
          </c:extLst>
        </c:ser>
        <c:ser>
          <c:idx val="1"/>
          <c:order val="1"/>
          <c:tx>
            <c:strRef>
              <c:f>Лист1!$C$1</c:f>
              <c:strCache>
                <c:ptCount val="1"/>
                <c:pt idx="0">
                  <c:v>Неудовлетворительно</c:v>
                </c:pt>
              </c:strCache>
            </c:strRef>
          </c:tx>
          <c:spPr>
            <a:solidFill>
              <a:srgbClr val="B28AB2"/>
            </a:solidFill>
            <a:ln>
              <a:noFill/>
            </a:ln>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Водоснабжение, водоотведение</c:v>
                </c:pt>
                <c:pt idx="1">
                  <c:v>Электроснабжение</c:v>
                </c:pt>
                <c:pt idx="2">
                  <c:v>Теплоснабжение</c:v>
                </c:pt>
                <c:pt idx="3">
                  <c:v>Газоснабжение</c:v>
                </c:pt>
              </c:strCache>
            </c:strRef>
          </c:cat>
          <c:val>
            <c:numRef>
              <c:f>Лист1!$C$2:$C$5</c:f>
              <c:numCache>
                <c:formatCode>0.0%</c:formatCode>
                <c:ptCount val="4"/>
                <c:pt idx="0">
                  <c:v>0.23700000000000004</c:v>
                </c:pt>
                <c:pt idx="1">
                  <c:v>0.26400000000000001</c:v>
                </c:pt>
                <c:pt idx="2">
                  <c:v>0.24500000000000041</c:v>
                </c:pt>
                <c:pt idx="3">
                  <c:v>0.24800000000000041</c:v>
                </c:pt>
              </c:numCache>
            </c:numRef>
          </c:val>
          <c:extLst xmlns:c16r2="http://schemas.microsoft.com/office/drawing/2015/06/chart">
            <c:ext xmlns:c16="http://schemas.microsoft.com/office/drawing/2014/chart" uri="{C3380CC4-5D6E-409C-BE32-E72D297353CC}">
              <c16:uniqueId val="{00000001-EBC6-4B9A-AE56-389273B3B73D}"/>
            </c:ext>
          </c:extLst>
        </c:ser>
        <c:ser>
          <c:idx val="2"/>
          <c:order val="2"/>
          <c:tx>
            <c:strRef>
              <c:f>Лист1!$D$1</c:f>
              <c:strCache>
                <c:ptCount val="1"/>
                <c:pt idx="0">
                  <c:v>Затрудняюсь ответить</c:v>
                </c:pt>
              </c:strCache>
            </c:strRef>
          </c:tx>
          <c:spPr>
            <a:solidFill>
              <a:sysClr val="window" lastClr="FFFFFF">
                <a:lumMod val="85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Водоснабжение, водоотведение</c:v>
                </c:pt>
                <c:pt idx="1">
                  <c:v>Электроснабжение</c:v>
                </c:pt>
                <c:pt idx="2">
                  <c:v>Теплоснабжение</c:v>
                </c:pt>
                <c:pt idx="3">
                  <c:v>Газоснабжение</c:v>
                </c:pt>
              </c:strCache>
            </c:strRef>
          </c:cat>
          <c:val>
            <c:numRef>
              <c:f>Лист1!$D$2:$D$5</c:f>
              <c:numCache>
                <c:formatCode>0.0%</c:formatCode>
                <c:ptCount val="4"/>
                <c:pt idx="0">
                  <c:v>0.54</c:v>
                </c:pt>
                <c:pt idx="1">
                  <c:v>0.52</c:v>
                </c:pt>
                <c:pt idx="2">
                  <c:v>0.55200000000000005</c:v>
                </c:pt>
                <c:pt idx="3">
                  <c:v>0.58500000000000008</c:v>
                </c:pt>
              </c:numCache>
            </c:numRef>
          </c:val>
          <c:extLst xmlns:c16r2="http://schemas.microsoft.com/office/drawing/2015/06/chart">
            <c:ext xmlns:c16="http://schemas.microsoft.com/office/drawing/2014/chart" uri="{C3380CC4-5D6E-409C-BE32-E72D297353CC}">
              <c16:uniqueId val="{00000002-EBC6-4B9A-AE56-389273B3B73D}"/>
            </c:ext>
          </c:extLst>
        </c:ser>
        <c:overlap val="100"/>
        <c:axId val="111803392"/>
        <c:axId val="131465984"/>
      </c:barChart>
      <c:catAx>
        <c:axId val="111803392"/>
        <c:scaling>
          <c:orientation val="maxMin"/>
        </c:scaling>
        <c:axPos val="l"/>
        <c:numFmt formatCode="General" sourceLinked="1"/>
        <c:tickLblPos val="nextTo"/>
        <c:crossAx val="131465984"/>
        <c:crosses val="autoZero"/>
        <c:auto val="1"/>
        <c:lblAlgn val="ctr"/>
        <c:lblOffset val="100"/>
      </c:catAx>
      <c:valAx>
        <c:axId val="131465984"/>
        <c:scaling>
          <c:orientation val="minMax"/>
          <c:max val="1"/>
          <c:min val="0"/>
        </c:scaling>
        <c:axPos val="t"/>
        <c:majorGridlines/>
        <c:numFmt formatCode="0.0%" sourceLinked="1"/>
        <c:tickLblPos val="nextTo"/>
        <c:txPr>
          <a:bodyPr/>
          <a:lstStyle/>
          <a:p>
            <a:pPr>
              <a:defRPr sz="800"/>
            </a:pPr>
            <a:endParaRPr lang="ru-RU"/>
          </a:p>
        </c:txPr>
        <c:crossAx val="111803392"/>
        <c:crosses val="autoZero"/>
        <c:crossBetween val="between"/>
        <c:majorUnit val="0.2"/>
      </c:valAx>
      <c:spPr>
        <a:noFill/>
        <a:ln>
          <a:solidFill>
            <a:schemeClr val="accent1"/>
          </a:solidFill>
        </a:ln>
      </c:spPr>
    </c:plotArea>
    <c:legend>
      <c:legendPos val="t"/>
      <c:layout>
        <c:manualLayout>
          <c:xMode val="edge"/>
          <c:yMode val="edge"/>
          <c:x val="0.14746975326757591"/>
          <c:y val="0"/>
          <c:w val="0.70506032766119064"/>
          <c:h val="0.10384152207218462"/>
        </c:manualLayout>
      </c:layout>
    </c:legend>
    <c:plotVisOnly val="1"/>
    <c:dispBlanksAs val="gap"/>
  </c:chart>
  <c:spPr>
    <a:ln>
      <a:noFill/>
    </a:ln>
  </c:spPr>
  <c:txPr>
    <a:bodyPr/>
    <a:lstStyle/>
    <a:p>
      <a:pPr>
        <a:defRPr>
          <a:latin typeface="Arial Narrow" panose="020B0606020202030204" pitchFamily="34" charset="0"/>
        </a:defRPr>
      </a:pPr>
      <a:endParaRPr lang="ru-RU"/>
    </a:p>
  </c:txPr>
</c:chartSpace>
</file>

<file path=word/charts/chart54.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52363851879218914"/>
          <c:y val="7.6190911549699314E-2"/>
          <c:w val="0.51436980934567933"/>
          <c:h val="0.91005535048322161"/>
        </c:manualLayout>
      </c:layout>
      <c:barChart>
        <c:barDir val="bar"/>
        <c:grouping val="stacked"/>
        <c:ser>
          <c:idx val="0"/>
          <c:order val="0"/>
          <c:tx>
            <c:strRef>
              <c:f>Лист1!$B$1</c:f>
              <c:strCache>
                <c:ptCount val="1"/>
                <c:pt idx="0">
                  <c:v>Удовлетворительно</c:v>
                </c:pt>
              </c:strCache>
            </c:strRef>
          </c:tx>
          <c:spPr>
            <a:solidFill>
              <a:srgbClr val="ED7D31">
                <a:lumMod val="40000"/>
                <a:lumOff val="60000"/>
              </a:srgbClr>
            </a:solidFill>
          </c:spPr>
          <c:dLbls>
            <c:dLbl>
              <c:idx val="10"/>
              <c:layout>
                <c:manualLayout>
                  <c:x val="1.419878296146037E-2"/>
                  <c:y val="4.7534165181224008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575-407B-A4EB-FA239D90858A}"/>
                </c:ext>
              </c:extLst>
            </c:dLbl>
            <c:dLbl>
              <c:idx val="1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F1E6-4CBD-B80F-F3EAE5AB47AD}"/>
                </c:ext>
              </c:extLst>
            </c:dLbl>
            <c:dLbl>
              <c:idx val="1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F1E6-4CBD-B80F-F3EAE5AB47AD}"/>
                </c:ext>
              </c:extLst>
            </c:dLbl>
            <c:spPr>
              <a:noFill/>
              <a:ln>
                <a:no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развития, производства, переработки и хранения с‎\х продукции</c:v>
                </c:pt>
                <c:pt idx="1">
                  <c:v>Рынок медицинских услуг</c:v>
                </c:pt>
                <c:pt idx="2">
                  <c:v>Рынок услуг ЖКХ</c:v>
                </c:pt>
                <c:pt idx="3">
                  <c:v>Розничная торговля</c:v>
                </c:pt>
                <c:pt idx="4">
                  <c:v>Рынок услуг дополнительного образования детей</c:v>
                </c:pt>
                <c:pt idx="5">
                  <c:v>Рынок услуг связи</c:v>
                </c:pt>
                <c:pt idx="6">
                  <c:v>Рынок услуг психолого-педагогического сопровождения детей с ограниченными возможностями здоровья</c:v>
                </c:pt>
                <c:pt idx="7">
                  <c:v>Рынок услуг в сфере культуры</c:v>
                </c:pt>
                <c:pt idx="8">
                  <c:v>Рынок услуг социального обслуживания населения</c:v>
                </c:pt>
                <c:pt idx="9">
                  <c:v>Рынок услуг по сбору, сортировке и переработке твердых коммунальных (бытовых) отходов</c:v>
                </c:pt>
                <c:pt idx="10">
                  <c:v>Рынок услуг перевозок пассажиров наземным транспортом</c:v>
                </c:pt>
                <c:pt idx="11">
                  <c:v>Рынок услуг дошкольного образования</c:v>
                </c:pt>
                <c:pt idx="12">
                  <c:v>Рынок услуг детского отдыха и оздоровления</c:v>
                </c:pt>
              </c:strCache>
            </c:strRef>
          </c:cat>
          <c:val>
            <c:numRef>
              <c:f>Лист1!$B$2:$B$14</c:f>
              <c:numCache>
                <c:formatCode>0.0%</c:formatCode>
                <c:ptCount val="13"/>
                <c:pt idx="0">
                  <c:v>0.29000000000000031</c:v>
                </c:pt>
                <c:pt idx="1">
                  <c:v>0.24300000000000024</c:v>
                </c:pt>
                <c:pt idx="2">
                  <c:v>0.22900000000000001</c:v>
                </c:pt>
                <c:pt idx="3">
                  <c:v>0.18900000000000144</c:v>
                </c:pt>
                <c:pt idx="4">
                  <c:v>0.16</c:v>
                </c:pt>
                <c:pt idx="5">
                  <c:v>0.16</c:v>
                </c:pt>
                <c:pt idx="6">
                  <c:v>0.12000000000000002</c:v>
                </c:pt>
                <c:pt idx="7">
                  <c:v>0.12000000000000002</c:v>
                </c:pt>
                <c:pt idx="8">
                  <c:v>0.12000000000000002</c:v>
                </c:pt>
                <c:pt idx="9">
                  <c:v>0.1</c:v>
                </c:pt>
                <c:pt idx="10">
                  <c:v>0.05</c:v>
                </c:pt>
                <c:pt idx="11">
                  <c:v>0</c:v>
                </c:pt>
                <c:pt idx="12">
                  <c:v>0</c:v>
                </c:pt>
              </c:numCache>
            </c:numRef>
          </c:val>
          <c:extLst xmlns:c16r2="http://schemas.microsoft.com/office/drawing/2015/06/chart">
            <c:ext xmlns:c16="http://schemas.microsoft.com/office/drawing/2014/chart" uri="{C3380CC4-5D6E-409C-BE32-E72D297353CC}">
              <c16:uniqueId val="{00000002-F1E6-4CBD-B80F-F3EAE5AB47AD}"/>
            </c:ext>
          </c:extLst>
        </c:ser>
        <c:ser>
          <c:idx val="1"/>
          <c:order val="1"/>
          <c:tx>
            <c:strRef>
              <c:f>Лист1!$C$1</c:f>
              <c:strCache>
                <c:ptCount val="1"/>
                <c:pt idx="0">
                  <c:v>Неудовлетворительно</c:v>
                </c:pt>
              </c:strCache>
            </c:strRef>
          </c:tx>
          <c:spPr>
            <a:solidFill>
              <a:srgbClr val="B28AB2"/>
            </a:solidFill>
            <a:ln>
              <a:noFill/>
            </a:ln>
          </c:spPr>
          <c:dLbls>
            <c:dLbl>
              <c:idx val="6"/>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2575-407B-A4EB-FA239D90858A}"/>
                </c:ext>
              </c:extLst>
            </c:dLbl>
            <c:dLbl>
              <c:idx val="10"/>
              <c:layout>
                <c:manualLayout>
                  <c:x val="2.6369168356997971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2575-407B-A4EB-FA239D90858A}"/>
                </c:ext>
              </c:extLst>
            </c:dLbl>
            <c:dLbl>
              <c:idx val="1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F1E6-4CBD-B80F-F3EAE5AB47AD}"/>
                </c:ext>
              </c:extLst>
            </c:dLbl>
            <c:dLbl>
              <c:idx val="1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F1E6-4CBD-B80F-F3EAE5AB47AD}"/>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развития, производства, переработки и хранения с‎\х продукции</c:v>
                </c:pt>
                <c:pt idx="1">
                  <c:v>Рынок медицинских услуг</c:v>
                </c:pt>
                <c:pt idx="2">
                  <c:v>Рынок услуг ЖКХ</c:v>
                </c:pt>
                <c:pt idx="3">
                  <c:v>Розничная торговля</c:v>
                </c:pt>
                <c:pt idx="4">
                  <c:v>Рынок услуг дополнительного образования детей</c:v>
                </c:pt>
                <c:pt idx="5">
                  <c:v>Рынок услуг связи</c:v>
                </c:pt>
                <c:pt idx="6">
                  <c:v>Рынок услуг психолого-педагогического сопровождения детей с ограниченными возможностями здоровья</c:v>
                </c:pt>
                <c:pt idx="7">
                  <c:v>Рынок услуг в сфере культуры</c:v>
                </c:pt>
                <c:pt idx="8">
                  <c:v>Рынок услуг социального обслуживания населения</c:v>
                </c:pt>
                <c:pt idx="9">
                  <c:v>Рынок услуг по сбору, сортировке и переработке твердых коммунальных (бытовых) отходов</c:v>
                </c:pt>
                <c:pt idx="10">
                  <c:v>Рынок услуг перевозок пассажиров наземным транспортом</c:v>
                </c:pt>
                <c:pt idx="11">
                  <c:v>Рынок услуг дошкольного образования</c:v>
                </c:pt>
                <c:pt idx="12">
                  <c:v>Рынок услуг детского отдыха и оздоровления</c:v>
                </c:pt>
              </c:strCache>
            </c:strRef>
          </c:cat>
          <c:val>
            <c:numRef>
              <c:f>Лист1!$C$2:$C$14</c:f>
              <c:numCache>
                <c:formatCode>0.0%</c:formatCode>
                <c:ptCount val="13"/>
                <c:pt idx="0">
                  <c:v>0.26</c:v>
                </c:pt>
                <c:pt idx="1">
                  <c:v>0.15700000000000044</c:v>
                </c:pt>
                <c:pt idx="2">
                  <c:v>0.27100000000000002</c:v>
                </c:pt>
                <c:pt idx="3">
                  <c:v>0.36700000000000038</c:v>
                </c:pt>
                <c:pt idx="4">
                  <c:v>0.16</c:v>
                </c:pt>
                <c:pt idx="5">
                  <c:v>0.16</c:v>
                </c:pt>
                <c:pt idx="6">
                  <c:v>0</c:v>
                </c:pt>
                <c:pt idx="7">
                  <c:v>0.2</c:v>
                </c:pt>
                <c:pt idx="8">
                  <c:v>0.12000000000000002</c:v>
                </c:pt>
                <c:pt idx="9">
                  <c:v>0.4</c:v>
                </c:pt>
                <c:pt idx="10">
                  <c:v>0.1</c:v>
                </c:pt>
                <c:pt idx="11">
                  <c:v>0</c:v>
                </c:pt>
                <c:pt idx="12">
                  <c:v>0</c:v>
                </c:pt>
              </c:numCache>
            </c:numRef>
          </c:val>
          <c:extLst xmlns:c16r2="http://schemas.microsoft.com/office/drawing/2015/06/chart">
            <c:ext xmlns:c16="http://schemas.microsoft.com/office/drawing/2014/chart" uri="{C3380CC4-5D6E-409C-BE32-E72D297353CC}">
              <c16:uniqueId val="{00000005-F1E6-4CBD-B80F-F3EAE5AB47AD}"/>
            </c:ext>
          </c:extLst>
        </c:ser>
        <c:ser>
          <c:idx val="2"/>
          <c:order val="2"/>
          <c:tx>
            <c:strRef>
              <c:f>Лист1!$D$1</c:f>
              <c:strCache>
                <c:ptCount val="1"/>
                <c:pt idx="0">
                  <c:v>Затрудняюсь ответить</c:v>
                </c:pt>
              </c:strCache>
            </c:strRef>
          </c:tx>
          <c:spPr>
            <a:solidFill>
              <a:sysClr val="window" lastClr="FFFFFF">
                <a:lumMod val="85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развития, производства, переработки и хранения с‎\х продукции</c:v>
                </c:pt>
                <c:pt idx="1">
                  <c:v>Рынок медицинских услуг</c:v>
                </c:pt>
                <c:pt idx="2">
                  <c:v>Рынок услуг ЖКХ</c:v>
                </c:pt>
                <c:pt idx="3">
                  <c:v>Розничная торговля</c:v>
                </c:pt>
                <c:pt idx="4">
                  <c:v>Рынок услуг дополнительного образования детей</c:v>
                </c:pt>
                <c:pt idx="5">
                  <c:v>Рынок услуг связи</c:v>
                </c:pt>
                <c:pt idx="6">
                  <c:v>Рынок услуг психолого-педагогического сопровождения детей с ограниченными возможностями здоровья</c:v>
                </c:pt>
                <c:pt idx="7">
                  <c:v>Рынок услуг в сфере культуры</c:v>
                </c:pt>
                <c:pt idx="8">
                  <c:v>Рынок услуг социального обслуживания населения</c:v>
                </c:pt>
                <c:pt idx="9">
                  <c:v>Рынок услуг по сбору, сортировке и переработке твердых коммунальных (бытовых) отходов</c:v>
                </c:pt>
                <c:pt idx="10">
                  <c:v>Рынок услуг перевозок пассажиров наземным транспортом</c:v>
                </c:pt>
                <c:pt idx="11">
                  <c:v>Рынок услуг дошкольного образования</c:v>
                </c:pt>
                <c:pt idx="12">
                  <c:v>Рынок услуг детского отдыха и оздоровления</c:v>
                </c:pt>
              </c:strCache>
            </c:strRef>
          </c:cat>
          <c:val>
            <c:numRef>
              <c:f>Лист1!$D$2:$D$14</c:f>
              <c:numCache>
                <c:formatCode>0.0%</c:formatCode>
                <c:ptCount val="13"/>
                <c:pt idx="0">
                  <c:v>0.45</c:v>
                </c:pt>
                <c:pt idx="1">
                  <c:v>0.60000000000000064</c:v>
                </c:pt>
                <c:pt idx="2">
                  <c:v>0.5</c:v>
                </c:pt>
                <c:pt idx="3">
                  <c:v>0.44400000000000001</c:v>
                </c:pt>
                <c:pt idx="4">
                  <c:v>0.68</c:v>
                </c:pt>
                <c:pt idx="5">
                  <c:v>0.68</c:v>
                </c:pt>
                <c:pt idx="6">
                  <c:v>0.88</c:v>
                </c:pt>
                <c:pt idx="7">
                  <c:v>0.68</c:v>
                </c:pt>
                <c:pt idx="8">
                  <c:v>0.76000000000000723</c:v>
                </c:pt>
                <c:pt idx="9">
                  <c:v>0.5</c:v>
                </c:pt>
                <c:pt idx="10">
                  <c:v>0.85000000000000064</c:v>
                </c:pt>
                <c:pt idx="11">
                  <c:v>1</c:v>
                </c:pt>
                <c:pt idx="12">
                  <c:v>1</c:v>
                </c:pt>
              </c:numCache>
            </c:numRef>
          </c:val>
          <c:extLst xmlns:c16r2="http://schemas.microsoft.com/office/drawing/2015/06/chart">
            <c:ext xmlns:c16="http://schemas.microsoft.com/office/drawing/2014/chart" uri="{C3380CC4-5D6E-409C-BE32-E72D297353CC}">
              <c16:uniqueId val="{00000006-F1E6-4CBD-B80F-F3EAE5AB47AD}"/>
            </c:ext>
          </c:extLst>
        </c:ser>
        <c:overlap val="100"/>
        <c:axId val="111721088"/>
        <c:axId val="131527040"/>
      </c:barChart>
      <c:catAx>
        <c:axId val="111721088"/>
        <c:scaling>
          <c:orientation val="maxMin"/>
        </c:scaling>
        <c:axPos val="l"/>
        <c:numFmt formatCode="General" sourceLinked="1"/>
        <c:tickLblPos val="nextTo"/>
        <c:crossAx val="131527040"/>
        <c:crosses val="autoZero"/>
        <c:auto val="1"/>
        <c:lblAlgn val="ctr"/>
        <c:lblOffset val="100"/>
      </c:catAx>
      <c:valAx>
        <c:axId val="131527040"/>
        <c:scaling>
          <c:orientation val="minMax"/>
          <c:max val="1"/>
          <c:min val="0"/>
        </c:scaling>
        <c:axPos val="t"/>
        <c:majorGridlines/>
        <c:numFmt formatCode="0.0%" sourceLinked="1"/>
        <c:tickLblPos val="nextTo"/>
        <c:txPr>
          <a:bodyPr/>
          <a:lstStyle/>
          <a:p>
            <a:pPr>
              <a:defRPr sz="600"/>
            </a:pPr>
            <a:endParaRPr lang="ru-RU"/>
          </a:p>
        </c:txPr>
        <c:crossAx val="111721088"/>
        <c:crosses val="autoZero"/>
        <c:crossBetween val="between"/>
        <c:majorUnit val="0.2"/>
      </c:valAx>
      <c:spPr>
        <a:noFill/>
        <a:ln>
          <a:solidFill>
            <a:schemeClr val="accent1"/>
          </a:solidFill>
        </a:ln>
      </c:spPr>
    </c:plotArea>
    <c:legend>
      <c:legendPos val="t"/>
    </c:legend>
    <c:plotVisOnly val="1"/>
    <c:dispBlanksAs val="gap"/>
  </c:chart>
  <c:spPr>
    <a:ln>
      <a:noFill/>
    </a:ln>
  </c:spPr>
  <c:txPr>
    <a:bodyPr/>
    <a:lstStyle/>
    <a:p>
      <a:pPr>
        <a:defRPr>
          <a:latin typeface="Arial Narrow" panose="020B0606020202030204" pitchFamily="34" charset="0"/>
        </a:defRPr>
      </a:pPr>
      <a:endParaRPr lang="ru-RU"/>
    </a:p>
  </c:txPr>
  <c:externalData r:id="rId2"/>
</c:chartSpace>
</file>

<file path=word/charts/chart55.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27650257804892092"/>
          <c:y val="0.16242618926365537"/>
          <c:w val="0.68250275481088496"/>
          <c:h val="0.82382000757369456"/>
        </c:manualLayout>
      </c:layout>
      <c:barChart>
        <c:barDir val="bar"/>
        <c:grouping val="stacked"/>
        <c:ser>
          <c:idx val="0"/>
          <c:order val="0"/>
          <c:tx>
            <c:strRef>
              <c:f>Лист1!$B$1</c:f>
              <c:strCache>
                <c:ptCount val="1"/>
                <c:pt idx="0">
                  <c:v>Удовлетворительно</c:v>
                </c:pt>
              </c:strCache>
            </c:strRef>
          </c:tx>
          <c:spPr>
            <a:solidFill>
              <a:srgbClr val="ED7D31">
                <a:lumMod val="40000"/>
                <a:lumOff val="60000"/>
              </a:srgbClr>
            </a:solidFill>
          </c:spPr>
          <c:dLbls>
            <c:spPr>
              <a:noFill/>
              <a:ln>
                <a:no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среднее предприятие</c:v>
                </c:pt>
                <c:pt idx="1">
                  <c:v>малое предприятие</c:v>
                </c:pt>
              </c:strCache>
            </c:strRef>
          </c:cat>
          <c:val>
            <c:numRef>
              <c:f>Лист1!$B$2:$B$3</c:f>
              <c:numCache>
                <c:formatCode>0.0%</c:formatCode>
                <c:ptCount val="2"/>
                <c:pt idx="0">
                  <c:v>0.27300000000000002</c:v>
                </c:pt>
                <c:pt idx="1">
                  <c:v>0.21600000000000041</c:v>
                </c:pt>
              </c:numCache>
            </c:numRef>
          </c:val>
          <c:extLst xmlns:c16r2="http://schemas.microsoft.com/office/drawing/2015/06/chart">
            <c:ext xmlns:c16="http://schemas.microsoft.com/office/drawing/2014/chart" uri="{C3380CC4-5D6E-409C-BE32-E72D297353CC}">
              <c16:uniqueId val="{00000000-66EE-4F2C-9914-95E0E68D7CF6}"/>
            </c:ext>
          </c:extLst>
        </c:ser>
        <c:ser>
          <c:idx val="1"/>
          <c:order val="1"/>
          <c:tx>
            <c:strRef>
              <c:f>Лист1!$C$1</c:f>
              <c:strCache>
                <c:ptCount val="1"/>
                <c:pt idx="0">
                  <c:v>Неудовлетворительно</c:v>
                </c:pt>
              </c:strCache>
            </c:strRef>
          </c:tx>
          <c:spPr>
            <a:solidFill>
              <a:srgbClr val="B28AB2"/>
            </a:solidFill>
            <a:ln>
              <a:noFill/>
            </a:ln>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среднее предприятие</c:v>
                </c:pt>
                <c:pt idx="1">
                  <c:v>малое предприятие</c:v>
                </c:pt>
              </c:strCache>
            </c:strRef>
          </c:cat>
          <c:val>
            <c:numRef>
              <c:f>Лист1!$C$2:$C$3</c:f>
              <c:numCache>
                <c:formatCode>0.0%</c:formatCode>
                <c:ptCount val="2"/>
                <c:pt idx="0">
                  <c:v>0.36400000000000032</c:v>
                </c:pt>
                <c:pt idx="1">
                  <c:v>0.26300000000000001</c:v>
                </c:pt>
              </c:numCache>
            </c:numRef>
          </c:val>
          <c:extLst xmlns:c16r2="http://schemas.microsoft.com/office/drawing/2015/06/chart">
            <c:ext xmlns:c16="http://schemas.microsoft.com/office/drawing/2014/chart" uri="{C3380CC4-5D6E-409C-BE32-E72D297353CC}">
              <c16:uniqueId val="{00000001-66EE-4F2C-9914-95E0E68D7CF6}"/>
            </c:ext>
          </c:extLst>
        </c:ser>
        <c:ser>
          <c:idx val="2"/>
          <c:order val="2"/>
          <c:tx>
            <c:strRef>
              <c:f>Лист1!$D$1</c:f>
              <c:strCache>
                <c:ptCount val="1"/>
                <c:pt idx="0">
                  <c:v>Затрудняюсь ответить</c:v>
                </c:pt>
              </c:strCache>
            </c:strRef>
          </c:tx>
          <c:spPr>
            <a:solidFill>
              <a:sysClr val="window" lastClr="FFFFFF">
                <a:lumMod val="85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среднее предприятие</c:v>
                </c:pt>
                <c:pt idx="1">
                  <c:v>малое предприятие</c:v>
                </c:pt>
              </c:strCache>
            </c:strRef>
          </c:cat>
          <c:val>
            <c:numRef>
              <c:f>Лист1!$D$2:$D$3</c:f>
              <c:numCache>
                <c:formatCode>0.0%</c:formatCode>
                <c:ptCount val="2"/>
                <c:pt idx="0">
                  <c:v>0.36400000000000032</c:v>
                </c:pt>
                <c:pt idx="1">
                  <c:v>0.52100000000000002</c:v>
                </c:pt>
              </c:numCache>
            </c:numRef>
          </c:val>
          <c:extLst xmlns:c16r2="http://schemas.microsoft.com/office/drawing/2015/06/chart">
            <c:ext xmlns:c16="http://schemas.microsoft.com/office/drawing/2014/chart" uri="{C3380CC4-5D6E-409C-BE32-E72D297353CC}">
              <c16:uniqueId val="{00000002-66EE-4F2C-9914-95E0E68D7CF6}"/>
            </c:ext>
          </c:extLst>
        </c:ser>
        <c:overlap val="100"/>
        <c:axId val="111615360"/>
        <c:axId val="111637632"/>
      </c:barChart>
      <c:catAx>
        <c:axId val="111615360"/>
        <c:scaling>
          <c:orientation val="maxMin"/>
        </c:scaling>
        <c:axPos val="l"/>
        <c:numFmt formatCode="General" sourceLinked="1"/>
        <c:tickLblPos val="nextTo"/>
        <c:crossAx val="111637632"/>
        <c:crosses val="autoZero"/>
        <c:auto val="1"/>
        <c:lblAlgn val="ctr"/>
        <c:lblOffset val="100"/>
      </c:catAx>
      <c:valAx>
        <c:axId val="111637632"/>
        <c:scaling>
          <c:orientation val="minMax"/>
          <c:max val="1"/>
          <c:min val="0"/>
        </c:scaling>
        <c:delete val="1"/>
        <c:axPos val="t"/>
        <c:majorGridlines/>
        <c:numFmt formatCode="0.0%" sourceLinked="1"/>
        <c:tickLblPos val="none"/>
        <c:crossAx val="111615360"/>
        <c:crosses val="autoZero"/>
        <c:crossBetween val="between"/>
        <c:majorUnit val="0.2"/>
      </c:valAx>
      <c:spPr>
        <a:noFill/>
        <a:ln>
          <a:solidFill>
            <a:schemeClr val="accent1"/>
          </a:solidFill>
        </a:ln>
      </c:spPr>
    </c:plotArea>
    <c:legend>
      <c:legendPos val="t"/>
      <c:layout>
        <c:manualLayout>
          <c:xMode val="edge"/>
          <c:yMode val="edge"/>
          <c:x val="0.14746975326757591"/>
          <c:y val="0"/>
          <c:w val="0.70506032766119064"/>
          <c:h val="0.11417401183061072"/>
        </c:manualLayout>
      </c:layout>
    </c:legend>
    <c:plotVisOnly val="1"/>
    <c:dispBlanksAs val="gap"/>
  </c:chart>
  <c:spPr>
    <a:ln>
      <a:noFill/>
    </a:ln>
  </c:spPr>
  <c:txPr>
    <a:bodyPr/>
    <a:lstStyle/>
    <a:p>
      <a:pPr>
        <a:defRPr>
          <a:latin typeface="Arial Narrow" panose="020B0606020202030204" pitchFamily="34" charset="0"/>
        </a:defRPr>
      </a:pPr>
      <a:endParaRPr lang="ru-RU"/>
    </a:p>
  </c:txPr>
</c:chartSpace>
</file>

<file path=word/charts/chart56.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28071405003622779"/>
          <c:y val="7.6190844791926129E-2"/>
          <c:w val="0.68250275481088496"/>
          <c:h val="0.91005535048322161"/>
        </c:manualLayout>
      </c:layout>
      <c:barChart>
        <c:barDir val="bar"/>
        <c:grouping val="stacked"/>
        <c:ser>
          <c:idx val="0"/>
          <c:order val="0"/>
          <c:tx>
            <c:strRef>
              <c:f>Лист1!$B$1</c:f>
              <c:strCache>
                <c:ptCount val="1"/>
                <c:pt idx="0">
                  <c:v>Удовлетворительно</c:v>
                </c:pt>
              </c:strCache>
            </c:strRef>
          </c:tx>
          <c:spPr>
            <a:solidFill>
              <a:srgbClr val="ED7D31">
                <a:lumMod val="40000"/>
                <a:lumOff val="60000"/>
              </a:srgbClr>
            </a:solidFill>
          </c:spPr>
          <c:dLbls>
            <c:dLbl>
              <c:idx val="3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7A40-48F7-9A28-F0189A14F50F}"/>
                </c:ext>
              </c:extLst>
            </c:dLbl>
            <c:dLbl>
              <c:idx val="3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7A40-48F7-9A28-F0189A14F50F}"/>
                </c:ext>
              </c:extLst>
            </c:dLbl>
            <c:dLbl>
              <c:idx val="3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7A40-48F7-9A28-F0189A14F50F}"/>
                </c:ext>
              </c:extLst>
            </c:dLbl>
            <c:dLbl>
              <c:idx val="3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7A40-48F7-9A28-F0189A14F50F}"/>
                </c:ext>
              </c:extLst>
            </c:dLbl>
            <c:dLbl>
              <c:idx val="3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7A40-48F7-9A28-F0189A14F50F}"/>
                </c:ext>
              </c:extLst>
            </c:dLbl>
            <c:spPr>
              <a:noFill/>
              <a:ln>
                <a:no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Каргатский МР</c:v>
                </c:pt>
                <c:pt idx="1">
                  <c:v>Усть-Таркский МР</c:v>
                </c:pt>
                <c:pt idx="2">
                  <c:v>Колыванский МР</c:v>
                </c:pt>
                <c:pt idx="3">
                  <c:v>Баганский МР</c:v>
                </c:pt>
                <c:pt idx="4">
                  <c:v>Ордынский МР</c:v>
                </c:pt>
                <c:pt idx="5">
                  <c:v>Коченевский МР</c:v>
                </c:pt>
                <c:pt idx="6">
                  <c:v>Татарский МР</c:v>
                </c:pt>
                <c:pt idx="7">
                  <c:v>Куйбышевский МР</c:v>
                </c:pt>
                <c:pt idx="8">
                  <c:v>Карасукский МР</c:v>
                </c:pt>
                <c:pt idx="9">
                  <c:v>Чулымский МР</c:v>
                </c:pt>
                <c:pt idx="10">
                  <c:v>Маслянинский МР</c:v>
                </c:pt>
                <c:pt idx="11">
                  <c:v>г. Искитим</c:v>
                </c:pt>
                <c:pt idx="12">
                  <c:v>Черепановский МР</c:v>
                </c:pt>
                <c:pt idx="13">
                  <c:v>Купинский МР</c:v>
                </c:pt>
                <c:pt idx="14">
                  <c:v>Мошковский МР</c:v>
                </c:pt>
                <c:pt idx="15">
                  <c:v>Барабинский МР</c:v>
                </c:pt>
                <c:pt idx="16">
                  <c:v>Краснозерский МР</c:v>
                </c:pt>
                <c:pt idx="17">
                  <c:v>Тогучинский МР</c:v>
                </c:pt>
                <c:pt idx="18">
                  <c:v>г. Обь</c:v>
                </c:pt>
                <c:pt idx="19">
                  <c:v>г. Бердск</c:v>
                </c:pt>
                <c:pt idx="20">
                  <c:v>Новосибирский МР</c:v>
                </c:pt>
                <c:pt idx="21">
                  <c:v>г. Новосибирск</c:v>
                </c:pt>
                <c:pt idx="22">
                  <c:v>Искитимский МР</c:v>
                </c:pt>
                <c:pt idx="23">
                  <c:v>Здвинский МР</c:v>
                </c:pt>
                <c:pt idx="24">
                  <c:v>Кыштовский МР</c:v>
                </c:pt>
                <c:pt idx="25">
                  <c:v>Болотнинский МР</c:v>
                </c:pt>
                <c:pt idx="26">
                  <c:v>Доволенский МР</c:v>
                </c:pt>
                <c:pt idx="27">
                  <c:v>Сузунский МР</c:v>
                </c:pt>
                <c:pt idx="28">
                  <c:v>Чановский МР</c:v>
                </c:pt>
                <c:pt idx="29">
                  <c:v>Чистоозерный МР</c:v>
                </c:pt>
                <c:pt idx="30">
                  <c:v>Венгеровский МР</c:v>
                </c:pt>
                <c:pt idx="31">
                  <c:v>Кочковский МР</c:v>
                </c:pt>
                <c:pt idx="32">
                  <c:v>р. п. Кольцово</c:v>
                </c:pt>
                <c:pt idx="33">
                  <c:v>Северный МР</c:v>
                </c:pt>
                <c:pt idx="34">
                  <c:v>Убинский МР</c:v>
                </c:pt>
              </c:strCache>
            </c:strRef>
          </c:cat>
          <c:val>
            <c:numRef>
              <c:f>Лист1!$B$2:$B$36</c:f>
              <c:numCache>
                <c:formatCode>0.0%</c:formatCode>
                <c:ptCount val="35"/>
                <c:pt idx="0">
                  <c:v>0.66700000000000803</c:v>
                </c:pt>
                <c:pt idx="1">
                  <c:v>0.66700000000000803</c:v>
                </c:pt>
                <c:pt idx="2">
                  <c:v>0.52200000000000002</c:v>
                </c:pt>
                <c:pt idx="3">
                  <c:v>0.5</c:v>
                </c:pt>
                <c:pt idx="4">
                  <c:v>0.47400000000000031</c:v>
                </c:pt>
                <c:pt idx="5">
                  <c:v>0.46200000000000002</c:v>
                </c:pt>
                <c:pt idx="6">
                  <c:v>0.44400000000000001</c:v>
                </c:pt>
                <c:pt idx="7">
                  <c:v>0.42300000000000032</c:v>
                </c:pt>
                <c:pt idx="8">
                  <c:v>0.41200000000000031</c:v>
                </c:pt>
                <c:pt idx="9">
                  <c:v>0.4</c:v>
                </c:pt>
                <c:pt idx="10">
                  <c:v>0.38500000000000351</c:v>
                </c:pt>
                <c:pt idx="11">
                  <c:v>0.37700000000000311</c:v>
                </c:pt>
                <c:pt idx="12">
                  <c:v>0.36100000000000032</c:v>
                </c:pt>
                <c:pt idx="13">
                  <c:v>0.33300000000000402</c:v>
                </c:pt>
                <c:pt idx="14">
                  <c:v>0.33300000000000402</c:v>
                </c:pt>
                <c:pt idx="15">
                  <c:v>0.26300000000000001</c:v>
                </c:pt>
                <c:pt idx="16">
                  <c:v>0.25</c:v>
                </c:pt>
                <c:pt idx="17">
                  <c:v>0.25</c:v>
                </c:pt>
                <c:pt idx="18">
                  <c:v>0.21400000000000041</c:v>
                </c:pt>
                <c:pt idx="19">
                  <c:v>0.20500000000000004</c:v>
                </c:pt>
                <c:pt idx="20">
                  <c:v>0.18200000000000024</c:v>
                </c:pt>
                <c:pt idx="21">
                  <c:v>0.18100000000000024</c:v>
                </c:pt>
                <c:pt idx="22">
                  <c:v>0.17600000000000021</c:v>
                </c:pt>
                <c:pt idx="23">
                  <c:v>0.16700000000000001</c:v>
                </c:pt>
                <c:pt idx="24">
                  <c:v>0.16700000000000001</c:v>
                </c:pt>
                <c:pt idx="25">
                  <c:v>0.15400000000000041</c:v>
                </c:pt>
                <c:pt idx="26">
                  <c:v>0.14300000000000004</c:v>
                </c:pt>
                <c:pt idx="27">
                  <c:v>0.125</c:v>
                </c:pt>
                <c:pt idx="28">
                  <c:v>0.12100000000000002</c:v>
                </c:pt>
                <c:pt idx="29">
                  <c:v>9.1000000000000025E-2</c:v>
                </c:pt>
                <c:pt idx="30">
                  <c:v>0</c:v>
                </c:pt>
                <c:pt idx="31">
                  <c:v>0</c:v>
                </c:pt>
                <c:pt idx="32">
                  <c:v>0</c:v>
                </c:pt>
                <c:pt idx="33">
                  <c:v>0</c:v>
                </c:pt>
                <c:pt idx="34">
                  <c:v>0</c:v>
                </c:pt>
              </c:numCache>
            </c:numRef>
          </c:val>
          <c:extLst xmlns:c16r2="http://schemas.microsoft.com/office/drawing/2015/06/chart">
            <c:ext xmlns:c16="http://schemas.microsoft.com/office/drawing/2014/chart" uri="{C3380CC4-5D6E-409C-BE32-E72D297353CC}">
              <c16:uniqueId val="{00000000-834E-4465-8753-3EA41F99E598}"/>
            </c:ext>
          </c:extLst>
        </c:ser>
        <c:ser>
          <c:idx val="1"/>
          <c:order val="1"/>
          <c:tx>
            <c:strRef>
              <c:f>Лист1!$C$1</c:f>
              <c:strCache>
                <c:ptCount val="1"/>
                <c:pt idx="0">
                  <c:v>Неудовлетворительно</c:v>
                </c:pt>
              </c:strCache>
            </c:strRef>
          </c:tx>
          <c:spPr>
            <a:solidFill>
              <a:srgbClr val="B28AB2"/>
            </a:solidFill>
            <a:ln>
              <a:noFill/>
            </a:ln>
          </c:spPr>
          <c:dLbls>
            <c:dLbl>
              <c:idx val="3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7A40-48F7-9A28-F0189A14F50F}"/>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Каргатский МР</c:v>
                </c:pt>
                <c:pt idx="1">
                  <c:v>Усть-Таркский МР</c:v>
                </c:pt>
                <c:pt idx="2">
                  <c:v>Колыванский МР</c:v>
                </c:pt>
                <c:pt idx="3">
                  <c:v>Баганский МР</c:v>
                </c:pt>
                <c:pt idx="4">
                  <c:v>Ордынский МР</c:v>
                </c:pt>
                <c:pt idx="5">
                  <c:v>Коченевский МР</c:v>
                </c:pt>
                <c:pt idx="6">
                  <c:v>Татарский МР</c:v>
                </c:pt>
                <c:pt idx="7">
                  <c:v>Куйбышевский МР</c:v>
                </c:pt>
                <c:pt idx="8">
                  <c:v>Карасукский МР</c:v>
                </c:pt>
                <c:pt idx="9">
                  <c:v>Чулымский МР</c:v>
                </c:pt>
                <c:pt idx="10">
                  <c:v>Маслянинский МР</c:v>
                </c:pt>
                <c:pt idx="11">
                  <c:v>г. Искитим</c:v>
                </c:pt>
                <c:pt idx="12">
                  <c:v>Черепановский МР</c:v>
                </c:pt>
                <c:pt idx="13">
                  <c:v>Купинский МР</c:v>
                </c:pt>
                <c:pt idx="14">
                  <c:v>Мошковский МР</c:v>
                </c:pt>
                <c:pt idx="15">
                  <c:v>Барабинский МР</c:v>
                </c:pt>
                <c:pt idx="16">
                  <c:v>Краснозерский МР</c:v>
                </c:pt>
                <c:pt idx="17">
                  <c:v>Тогучинский МР</c:v>
                </c:pt>
                <c:pt idx="18">
                  <c:v>г. Обь</c:v>
                </c:pt>
                <c:pt idx="19">
                  <c:v>г. Бердск</c:v>
                </c:pt>
                <c:pt idx="20">
                  <c:v>Новосибирский МР</c:v>
                </c:pt>
                <c:pt idx="21">
                  <c:v>г. Новосибирск</c:v>
                </c:pt>
                <c:pt idx="22">
                  <c:v>Искитимский МР</c:v>
                </c:pt>
                <c:pt idx="23">
                  <c:v>Здвинский МР</c:v>
                </c:pt>
                <c:pt idx="24">
                  <c:v>Кыштовский МР</c:v>
                </c:pt>
                <c:pt idx="25">
                  <c:v>Болотнинский МР</c:v>
                </c:pt>
                <c:pt idx="26">
                  <c:v>Доволенский МР</c:v>
                </c:pt>
                <c:pt idx="27">
                  <c:v>Сузунский МР</c:v>
                </c:pt>
                <c:pt idx="28">
                  <c:v>Чановский МР</c:v>
                </c:pt>
                <c:pt idx="29">
                  <c:v>Чистоозерный МР</c:v>
                </c:pt>
                <c:pt idx="30">
                  <c:v>Венгеровский МР</c:v>
                </c:pt>
                <c:pt idx="31">
                  <c:v>Кочковский МР</c:v>
                </c:pt>
                <c:pt idx="32">
                  <c:v>р. п. Кольцово</c:v>
                </c:pt>
                <c:pt idx="33">
                  <c:v>Северный МР</c:v>
                </c:pt>
                <c:pt idx="34">
                  <c:v>Убинский МР</c:v>
                </c:pt>
              </c:strCache>
            </c:strRef>
          </c:cat>
          <c:val>
            <c:numRef>
              <c:f>Лист1!$C$2:$C$36</c:f>
              <c:numCache>
                <c:formatCode>0.0%</c:formatCode>
                <c:ptCount val="35"/>
                <c:pt idx="0">
                  <c:v>0.16700000000000001</c:v>
                </c:pt>
                <c:pt idx="1">
                  <c:v>0.16700000000000001</c:v>
                </c:pt>
                <c:pt idx="2">
                  <c:v>0.39100000000000357</c:v>
                </c:pt>
                <c:pt idx="3">
                  <c:v>0.125</c:v>
                </c:pt>
                <c:pt idx="4">
                  <c:v>0.31600000000000317</c:v>
                </c:pt>
                <c:pt idx="5">
                  <c:v>0.46200000000000002</c:v>
                </c:pt>
                <c:pt idx="6">
                  <c:v>0.27800000000000002</c:v>
                </c:pt>
                <c:pt idx="7">
                  <c:v>0.42300000000000032</c:v>
                </c:pt>
                <c:pt idx="8">
                  <c:v>0.41200000000000031</c:v>
                </c:pt>
                <c:pt idx="9">
                  <c:v>0.46700000000000008</c:v>
                </c:pt>
                <c:pt idx="10">
                  <c:v>0.38500000000000351</c:v>
                </c:pt>
                <c:pt idx="11">
                  <c:v>0.34</c:v>
                </c:pt>
                <c:pt idx="12">
                  <c:v>0.25</c:v>
                </c:pt>
                <c:pt idx="13">
                  <c:v>0.4</c:v>
                </c:pt>
                <c:pt idx="14">
                  <c:v>0.222</c:v>
                </c:pt>
                <c:pt idx="15">
                  <c:v>0.47400000000000031</c:v>
                </c:pt>
                <c:pt idx="16">
                  <c:v>0.37500000000000311</c:v>
                </c:pt>
                <c:pt idx="17">
                  <c:v>0.45800000000000002</c:v>
                </c:pt>
                <c:pt idx="18">
                  <c:v>0.42900000000000038</c:v>
                </c:pt>
                <c:pt idx="19">
                  <c:v>0.17900000000000021</c:v>
                </c:pt>
                <c:pt idx="20">
                  <c:v>0.27300000000000002</c:v>
                </c:pt>
                <c:pt idx="21">
                  <c:v>0.223</c:v>
                </c:pt>
                <c:pt idx="22">
                  <c:v>0.47100000000000031</c:v>
                </c:pt>
                <c:pt idx="23">
                  <c:v>0.16700000000000001</c:v>
                </c:pt>
                <c:pt idx="24">
                  <c:v>0.66700000000000803</c:v>
                </c:pt>
                <c:pt idx="25">
                  <c:v>0.38500000000000351</c:v>
                </c:pt>
                <c:pt idx="26">
                  <c:v>0.57099999999999995</c:v>
                </c:pt>
                <c:pt idx="27">
                  <c:v>0.5</c:v>
                </c:pt>
                <c:pt idx="28">
                  <c:v>0.21200000000000024</c:v>
                </c:pt>
                <c:pt idx="29">
                  <c:v>0.45500000000000002</c:v>
                </c:pt>
                <c:pt idx="30">
                  <c:v>0.57099999999999995</c:v>
                </c:pt>
                <c:pt idx="31">
                  <c:v>0.28600000000000031</c:v>
                </c:pt>
                <c:pt idx="32">
                  <c:v>0</c:v>
                </c:pt>
                <c:pt idx="33">
                  <c:v>0.83300000000000063</c:v>
                </c:pt>
                <c:pt idx="34">
                  <c:v>0.14300000000000004</c:v>
                </c:pt>
              </c:numCache>
            </c:numRef>
          </c:val>
          <c:extLst xmlns:c16r2="http://schemas.microsoft.com/office/drawing/2015/06/chart">
            <c:ext xmlns:c16="http://schemas.microsoft.com/office/drawing/2014/chart" uri="{C3380CC4-5D6E-409C-BE32-E72D297353CC}">
              <c16:uniqueId val="{00000001-834E-4465-8753-3EA41F99E598}"/>
            </c:ext>
          </c:extLst>
        </c:ser>
        <c:ser>
          <c:idx val="2"/>
          <c:order val="2"/>
          <c:tx>
            <c:strRef>
              <c:f>Лист1!$D$1</c:f>
              <c:strCache>
                <c:ptCount val="1"/>
                <c:pt idx="0">
                  <c:v>Затрудняюсь ответить</c:v>
                </c:pt>
              </c:strCache>
            </c:strRef>
          </c:tx>
          <c:spPr>
            <a:solidFill>
              <a:sysClr val="window" lastClr="FFFFFF">
                <a:lumMod val="85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Каргатский МР</c:v>
                </c:pt>
                <c:pt idx="1">
                  <c:v>Усть-Таркский МР</c:v>
                </c:pt>
                <c:pt idx="2">
                  <c:v>Колыванский МР</c:v>
                </c:pt>
                <c:pt idx="3">
                  <c:v>Баганский МР</c:v>
                </c:pt>
                <c:pt idx="4">
                  <c:v>Ордынский МР</c:v>
                </c:pt>
                <c:pt idx="5">
                  <c:v>Коченевский МР</c:v>
                </c:pt>
                <c:pt idx="6">
                  <c:v>Татарский МР</c:v>
                </c:pt>
                <c:pt idx="7">
                  <c:v>Куйбышевский МР</c:v>
                </c:pt>
                <c:pt idx="8">
                  <c:v>Карасукский МР</c:v>
                </c:pt>
                <c:pt idx="9">
                  <c:v>Чулымский МР</c:v>
                </c:pt>
                <c:pt idx="10">
                  <c:v>Маслянинский МР</c:v>
                </c:pt>
                <c:pt idx="11">
                  <c:v>г. Искитим</c:v>
                </c:pt>
                <c:pt idx="12">
                  <c:v>Черепановский МР</c:v>
                </c:pt>
                <c:pt idx="13">
                  <c:v>Купинский МР</c:v>
                </c:pt>
                <c:pt idx="14">
                  <c:v>Мошковский МР</c:v>
                </c:pt>
                <c:pt idx="15">
                  <c:v>Барабинский МР</c:v>
                </c:pt>
                <c:pt idx="16">
                  <c:v>Краснозерский МР</c:v>
                </c:pt>
                <c:pt idx="17">
                  <c:v>Тогучинский МР</c:v>
                </c:pt>
                <c:pt idx="18">
                  <c:v>г. Обь</c:v>
                </c:pt>
                <c:pt idx="19">
                  <c:v>г. Бердск</c:v>
                </c:pt>
                <c:pt idx="20">
                  <c:v>Новосибирский МР</c:v>
                </c:pt>
                <c:pt idx="21">
                  <c:v>г. Новосибирск</c:v>
                </c:pt>
                <c:pt idx="22">
                  <c:v>Искитимский МР</c:v>
                </c:pt>
                <c:pt idx="23">
                  <c:v>Здвинский МР</c:v>
                </c:pt>
                <c:pt idx="24">
                  <c:v>Кыштовский МР</c:v>
                </c:pt>
                <c:pt idx="25">
                  <c:v>Болотнинский МР</c:v>
                </c:pt>
                <c:pt idx="26">
                  <c:v>Доволенский МР</c:v>
                </c:pt>
                <c:pt idx="27">
                  <c:v>Сузунский МР</c:v>
                </c:pt>
                <c:pt idx="28">
                  <c:v>Чановский МР</c:v>
                </c:pt>
                <c:pt idx="29">
                  <c:v>Чистоозерный МР</c:v>
                </c:pt>
                <c:pt idx="30">
                  <c:v>Венгеровский МР</c:v>
                </c:pt>
                <c:pt idx="31">
                  <c:v>Кочковский МР</c:v>
                </c:pt>
                <c:pt idx="32">
                  <c:v>р. п. Кольцово</c:v>
                </c:pt>
                <c:pt idx="33">
                  <c:v>Северный МР</c:v>
                </c:pt>
                <c:pt idx="34">
                  <c:v>Убинский МР</c:v>
                </c:pt>
              </c:strCache>
            </c:strRef>
          </c:cat>
          <c:val>
            <c:numRef>
              <c:f>Лист1!$D$2:$D$36</c:f>
              <c:numCache>
                <c:formatCode>0.0%</c:formatCode>
                <c:ptCount val="35"/>
                <c:pt idx="0">
                  <c:v>0.16700000000000001</c:v>
                </c:pt>
                <c:pt idx="1">
                  <c:v>0.16700000000000001</c:v>
                </c:pt>
                <c:pt idx="2">
                  <c:v>8.7000000000000022E-2</c:v>
                </c:pt>
                <c:pt idx="3">
                  <c:v>0.37500000000000311</c:v>
                </c:pt>
                <c:pt idx="4">
                  <c:v>0.21100000000000024</c:v>
                </c:pt>
                <c:pt idx="5">
                  <c:v>7.6999999999999999E-2</c:v>
                </c:pt>
                <c:pt idx="6">
                  <c:v>0.27800000000000002</c:v>
                </c:pt>
                <c:pt idx="7">
                  <c:v>0.15400000000000041</c:v>
                </c:pt>
                <c:pt idx="8">
                  <c:v>0.17600000000000021</c:v>
                </c:pt>
                <c:pt idx="9">
                  <c:v>0.13300000000000001</c:v>
                </c:pt>
                <c:pt idx="10">
                  <c:v>0.23100000000000001</c:v>
                </c:pt>
                <c:pt idx="11">
                  <c:v>0.28300000000000008</c:v>
                </c:pt>
                <c:pt idx="12">
                  <c:v>0.38900000000000351</c:v>
                </c:pt>
                <c:pt idx="13">
                  <c:v>0.26700000000000002</c:v>
                </c:pt>
                <c:pt idx="14">
                  <c:v>0.44400000000000001</c:v>
                </c:pt>
                <c:pt idx="15">
                  <c:v>0.26300000000000001</c:v>
                </c:pt>
                <c:pt idx="16">
                  <c:v>0.37500000000000311</c:v>
                </c:pt>
                <c:pt idx="17">
                  <c:v>0.29200000000000031</c:v>
                </c:pt>
                <c:pt idx="18">
                  <c:v>0.35700000000000032</c:v>
                </c:pt>
                <c:pt idx="19">
                  <c:v>0.61500000000000365</c:v>
                </c:pt>
                <c:pt idx="20">
                  <c:v>0.54500000000000004</c:v>
                </c:pt>
                <c:pt idx="21">
                  <c:v>0.59599999999999997</c:v>
                </c:pt>
                <c:pt idx="22">
                  <c:v>0.35300000000000031</c:v>
                </c:pt>
                <c:pt idx="23">
                  <c:v>0.66700000000000803</c:v>
                </c:pt>
                <c:pt idx="24">
                  <c:v>0.16700000000000001</c:v>
                </c:pt>
                <c:pt idx="25">
                  <c:v>0.46200000000000002</c:v>
                </c:pt>
                <c:pt idx="26">
                  <c:v>0.28600000000000031</c:v>
                </c:pt>
                <c:pt idx="27">
                  <c:v>0.37500000000000311</c:v>
                </c:pt>
                <c:pt idx="28">
                  <c:v>0.66700000000000803</c:v>
                </c:pt>
                <c:pt idx="29">
                  <c:v>0.45500000000000002</c:v>
                </c:pt>
                <c:pt idx="30">
                  <c:v>0.42900000000000038</c:v>
                </c:pt>
                <c:pt idx="31">
                  <c:v>0.71400000000000063</c:v>
                </c:pt>
                <c:pt idx="32">
                  <c:v>1</c:v>
                </c:pt>
                <c:pt idx="33">
                  <c:v>0.16700000000000001</c:v>
                </c:pt>
                <c:pt idx="34">
                  <c:v>0.85700000000000065</c:v>
                </c:pt>
              </c:numCache>
            </c:numRef>
          </c:val>
          <c:extLst xmlns:c16r2="http://schemas.microsoft.com/office/drawing/2015/06/chart">
            <c:ext xmlns:c16="http://schemas.microsoft.com/office/drawing/2014/chart" uri="{C3380CC4-5D6E-409C-BE32-E72D297353CC}">
              <c16:uniqueId val="{00000002-834E-4465-8753-3EA41F99E598}"/>
            </c:ext>
          </c:extLst>
        </c:ser>
        <c:overlap val="100"/>
        <c:axId val="132221568"/>
        <c:axId val="132268416"/>
      </c:barChart>
      <c:catAx>
        <c:axId val="132221568"/>
        <c:scaling>
          <c:orientation val="maxMin"/>
        </c:scaling>
        <c:axPos val="l"/>
        <c:numFmt formatCode="General" sourceLinked="1"/>
        <c:tickLblPos val="nextTo"/>
        <c:crossAx val="132268416"/>
        <c:crosses val="autoZero"/>
        <c:auto val="1"/>
        <c:lblAlgn val="ctr"/>
        <c:lblOffset val="100"/>
      </c:catAx>
      <c:valAx>
        <c:axId val="132268416"/>
        <c:scaling>
          <c:orientation val="minMax"/>
          <c:max val="1"/>
          <c:min val="0"/>
        </c:scaling>
        <c:axPos val="t"/>
        <c:majorGridlines/>
        <c:numFmt formatCode="0.0%" sourceLinked="1"/>
        <c:tickLblPos val="nextTo"/>
        <c:txPr>
          <a:bodyPr/>
          <a:lstStyle/>
          <a:p>
            <a:pPr>
              <a:defRPr sz="600"/>
            </a:pPr>
            <a:endParaRPr lang="ru-RU"/>
          </a:p>
        </c:txPr>
        <c:crossAx val="132221568"/>
        <c:crosses val="autoZero"/>
        <c:crossBetween val="between"/>
        <c:majorUnit val="0.2"/>
      </c:valAx>
      <c:spPr>
        <a:noFill/>
        <a:ln>
          <a:solidFill>
            <a:schemeClr val="accent1"/>
          </a:solidFill>
        </a:ln>
      </c:spPr>
    </c:plotArea>
    <c:legend>
      <c:legendPos val="t"/>
    </c:legend>
    <c:plotVisOnly val="1"/>
    <c:dispBlanksAs val="gap"/>
  </c:chart>
  <c:spPr>
    <a:ln>
      <a:noFill/>
    </a:ln>
  </c:spPr>
  <c:txPr>
    <a:bodyPr/>
    <a:lstStyle/>
    <a:p>
      <a:pPr>
        <a:defRPr>
          <a:latin typeface="Arial Narrow" panose="020B0606020202030204" pitchFamily="34" charset="0"/>
        </a:defRPr>
      </a:pPr>
      <a:endParaRPr lang="ru-RU"/>
    </a:p>
  </c:txPr>
  <c:externalData r:id="rId2"/>
</c:chartSpace>
</file>

<file path=word/charts/chart57.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53265260702061368"/>
          <c:y val="0.10084068903151812"/>
          <c:w val="0.50511488695491957"/>
          <c:h val="0.88937453406559475"/>
        </c:manualLayout>
      </c:layout>
      <c:barChart>
        <c:barDir val="bar"/>
        <c:grouping val="stacked"/>
        <c:ser>
          <c:idx val="0"/>
          <c:order val="0"/>
          <c:tx>
            <c:strRef>
              <c:f>Лист1!$B$1</c:f>
              <c:strCache>
                <c:ptCount val="1"/>
                <c:pt idx="0">
                  <c:v>Удовлетворительно</c:v>
                </c:pt>
              </c:strCache>
            </c:strRef>
          </c:tx>
          <c:spPr>
            <a:solidFill>
              <a:srgbClr val="ED7D31">
                <a:lumMod val="40000"/>
                <a:lumOff val="60000"/>
              </a:srgbClr>
            </a:solidFill>
          </c:spPr>
          <c:dLbls>
            <c:dLbl>
              <c:idx val="1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147C-45AC-83B1-C16A7B90A0FD}"/>
                </c:ext>
              </c:extLst>
            </c:dLbl>
            <c:dLbl>
              <c:idx val="1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147C-45AC-83B1-C16A7B90A0FD}"/>
                </c:ext>
              </c:extLst>
            </c:dLbl>
            <c:dLbl>
              <c:idx val="1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147C-45AC-83B1-C16A7B90A0FD}"/>
                </c:ext>
              </c:extLst>
            </c:dLbl>
            <c:spPr>
              <a:noFill/>
              <a:ln>
                <a:no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развития, производства, переработки и хранения с‎\х продукции</c:v>
                </c:pt>
                <c:pt idx="1">
                  <c:v>Рынок услуг ЖКХ</c:v>
                </c:pt>
                <c:pt idx="2">
                  <c:v>Розничная торговля</c:v>
                </c:pt>
                <c:pt idx="3">
                  <c:v>Рынок медицинских услуг</c:v>
                </c:pt>
                <c:pt idx="4">
                  <c:v>Рынок услуг дополнительного образования детей</c:v>
                </c:pt>
                <c:pt idx="5">
                  <c:v>Рынок услуг психолого-педагогического сопровождения детей с ограниченными возможностями здоровья</c:v>
                </c:pt>
                <c:pt idx="6">
                  <c:v>Рынок услуг в сфере культуры</c:v>
                </c:pt>
                <c:pt idx="7">
                  <c:v>Рынок услуг социального обслуживания населения</c:v>
                </c:pt>
                <c:pt idx="8">
                  <c:v>Рынок услуг по сбору, сортировке и переработке твердых коммунальных отходов</c:v>
                </c:pt>
                <c:pt idx="9">
                  <c:v>Рынок услуг связи</c:v>
                </c:pt>
                <c:pt idx="10">
                  <c:v>Рынок услуг дошкольного образования</c:v>
                </c:pt>
                <c:pt idx="11">
                  <c:v>Рынок услуг детского отдыха и оздоровления</c:v>
                </c:pt>
                <c:pt idx="12">
                  <c:v>Рынок услуг перевозок пассажиров наземным транспортом</c:v>
                </c:pt>
              </c:strCache>
            </c:strRef>
          </c:cat>
          <c:val>
            <c:numRef>
              <c:f>Лист1!$B$2:$B$14</c:f>
              <c:numCache>
                <c:formatCode>0.0%</c:formatCode>
                <c:ptCount val="13"/>
                <c:pt idx="0">
                  <c:v>0.31000000000000238</c:v>
                </c:pt>
                <c:pt idx="1">
                  <c:v>0.25700000000000001</c:v>
                </c:pt>
                <c:pt idx="2">
                  <c:v>0.23300000000000001</c:v>
                </c:pt>
                <c:pt idx="3">
                  <c:v>0.22900000000000001</c:v>
                </c:pt>
                <c:pt idx="4">
                  <c:v>0.16</c:v>
                </c:pt>
                <c:pt idx="5">
                  <c:v>0.12000000000000002</c:v>
                </c:pt>
                <c:pt idx="6">
                  <c:v>0.12000000000000002</c:v>
                </c:pt>
                <c:pt idx="7">
                  <c:v>0.12000000000000002</c:v>
                </c:pt>
                <c:pt idx="8">
                  <c:v>0.1</c:v>
                </c:pt>
                <c:pt idx="9">
                  <c:v>8.0000000000000043E-2</c:v>
                </c:pt>
                <c:pt idx="10">
                  <c:v>0</c:v>
                </c:pt>
                <c:pt idx="11">
                  <c:v>0</c:v>
                </c:pt>
                <c:pt idx="12">
                  <c:v>0</c:v>
                </c:pt>
              </c:numCache>
            </c:numRef>
          </c:val>
          <c:extLst xmlns:c16r2="http://schemas.microsoft.com/office/drawing/2015/06/chart">
            <c:ext xmlns:c16="http://schemas.microsoft.com/office/drawing/2014/chart" uri="{C3380CC4-5D6E-409C-BE32-E72D297353CC}">
              <c16:uniqueId val="{00000003-147C-45AC-83B1-C16A7B90A0FD}"/>
            </c:ext>
          </c:extLst>
        </c:ser>
        <c:ser>
          <c:idx val="1"/>
          <c:order val="1"/>
          <c:tx>
            <c:strRef>
              <c:f>Лист1!$C$1</c:f>
              <c:strCache>
                <c:ptCount val="1"/>
                <c:pt idx="0">
                  <c:v>Неудовлетворительно</c:v>
                </c:pt>
              </c:strCache>
            </c:strRef>
          </c:tx>
          <c:spPr>
            <a:solidFill>
              <a:srgbClr val="B28AB2"/>
            </a:solidFill>
            <a:ln>
              <a:noFill/>
            </a:ln>
          </c:spPr>
          <c:dLbls>
            <c:dLbl>
              <c:idx val="5"/>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64F8-45F3-AAE9-03B16763C86E}"/>
                </c:ext>
              </c:extLst>
            </c:dLbl>
            <c:dLbl>
              <c:idx val="9"/>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4F8-45F3-AAE9-03B16763C86E}"/>
                </c:ext>
              </c:extLst>
            </c:dLbl>
            <c:dLbl>
              <c:idx val="1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147C-45AC-83B1-C16A7B90A0FD}"/>
                </c:ext>
              </c:extLst>
            </c:dLbl>
            <c:dLbl>
              <c:idx val="1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147C-45AC-83B1-C16A7B90A0FD}"/>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развития, производства, переработки и хранения с‎\х продукции</c:v>
                </c:pt>
                <c:pt idx="1">
                  <c:v>Рынок услуг ЖКХ</c:v>
                </c:pt>
                <c:pt idx="2">
                  <c:v>Розничная торговля</c:v>
                </c:pt>
                <c:pt idx="3">
                  <c:v>Рынок медицинских услуг</c:v>
                </c:pt>
                <c:pt idx="4">
                  <c:v>Рынок услуг дополнительного образования детей</c:v>
                </c:pt>
                <c:pt idx="5">
                  <c:v>Рынок услуг психолого-педагогического сопровождения детей с ограниченными возможностями здоровья</c:v>
                </c:pt>
                <c:pt idx="6">
                  <c:v>Рынок услуг в сфере культуры</c:v>
                </c:pt>
                <c:pt idx="7">
                  <c:v>Рынок услуг социального обслуживания населения</c:v>
                </c:pt>
                <c:pt idx="8">
                  <c:v>Рынок услуг по сбору, сортировке и переработке твердых коммунальных отходов</c:v>
                </c:pt>
                <c:pt idx="9">
                  <c:v>Рынок услуг связи</c:v>
                </c:pt>
                <c:pt idx="10">
                  <c:v>Рынок услуг дошкольного образования</c:v>
                </c:pt>
                <c:pt idx="11">
                  <c:v>Рынок услуг детского отдыха и оздоровления</c:v>
                </c:pt>
                <c:pt idx="12">
                  <c:v>Рынок услуг перевозок пассажиров наземным транспортом</c:v>
                </c:pt>
              </c:strCache>
            </c:strRef>
          </c:cat>
          <c:val>
            <c:numRef>
              <c:f>Лист1!$C$2:$C$14</c:f>
              <c:numCache>
                <c:formatCode>0.0%</c:formatCode>
                <c:ptCount val="13"/>
                <c:pt idx="0">
                  <c:v>0.17</c:v>
                </c:pt>
                <c:pt idx="1">
                  <c:v>0.24300000000000024</c:v>
                </c:pt>
                <c:pt idx="2">
                  <c:v>0.31100000000000322</c:v>
                </c:pt>
                <c:pt idx="3">
                  <c:v>0.15700000000000044</c:v>
                </c:pt>
                <c:pt idx="4">
                  <c:v>0.2</c:v>
                </c:pt>
                <c:pt idx="5">
                  <c:v>0</c:v>
                </c:pt>
                <c:pt idx="6">
                  <c:v>0.2</c:v>
                </c:pt>
                <c:pt idx="7">
                  <c:v>0.12000000000000002</c:v>
                </c:pt>
                <c:pt idx="8">
                  <c:v>0.4</c:v>
                </c:pt>
                <c:pt idx="9">
                  <c:v>0</c:v>
                </c:pt>
                <c:pt idx="10">
                  <c:v>0</c:v>
                </c:pt>
                <c:pt idx="11">
                  <c:v>0</c:v>
                </c:pt>
                <c:pt idx="12">
                  <c:v>6.7000000000000004E-2</c:v>
                </c:pt>
              </c:numCache>
            </c:numRef>
          </c:val>
          <c:extLst xmlns:c16r2="http://schemas.microsoft.com/office/drawing/2015/06/chart">
            <c:ext xmlns:c16="http://schemas.microsoft.com/office/drawing/2014/chart" uri="{C3380CC4-5D6E-409C-BE32-E72D297353CC}">
              <c16:uniqueId val="{00000006-147C-45AC-83B1-C16A7B90A0FD}"/>
            </c:ext>
          </c:extLst>
        </c:ser>
        <c:ser>
          <c:idx val="2"/>
          <c:order val="2"/>
          <c:tx>
            <c:strRef>
              <c:f>Лист1!$D$1</c:f>
              <c:strCache>
                <c:ptCount val="1"/>
                <c:pt idx="0">
                  <c:v>Затрудняюсь ответить</c:v>
                </c:pt>
              </c:strCache>
            </c:strRef>
          </c:tx>
          <c:spPr>
            <a:solidFill>
              <a:sysClr val="window" lastClr="FFFFFF">
                <a:lumMod val="85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развития, производства, переработки и хранения с‎\х продукции</c:v>
                </c:pt>
                <c:pt idx="1">
                  <c:v>Рынок услуг ЖКХ</c:v>
                </c:pt>
                <c:pt idx="2">
                  <c:v>Розничная торговля</c:v>
                </c:pt>
                <c:pt idx="3">
                  <c:v>Рынок медицинских услуг</c:v>
                </c:pt>
                <c:pt idx="4">
                  <c:v>Рынок услуг дополнительного образования детей</c:v>
                </c:pt>
                <c:pt idx="5">
                  <c:v>Рынок услуг психолого-педагогического сопровождения детей с ограниченными возможностями здоровья</c:v>
                </c:pt>
                <c:pt idx="6">
                  <c:v>Рынок услуг в сфере культуры</c:v>
                </c:pt>
                <c:pt idx="7">
                  <c:v>Рынок услуг социального обслуживания населения</c:v>
                </c:pt>
                <c:pt idx="8">
                  <c:v>Рынок услуг по сбору, сортировке и переработке твердых коммунальных отходов</c:v>
                </c:pt>
                <c:pt idx="9">
                  <c:v>Рынок услуг связи</c:v>
                </c:pt>
                <c:pt idx="10">
                  <c:v>Рынок услуг дошкольного образования</c:v>
                </c:pt>
                <c:pt idx="11">
                  <c:v>Рынок услуг детского отдыха и оздоровления</c:v>
                </c:pt>
                <c:pt idx="12">
                  <c:v>Рынок услуг перевозок пассажиров наземным транспортом</c:v>
                </c:pt>
              </c:strCache>
            </c:strRef>
          </c:cat>
          <c:val>
            <c:numRef>
              <c:f>Лист1!$D$2:$D$14</c:f>
              <c:numCache>
                <c:formatCode>0.0%</c:formatCode>
                <c:ptCount val="13"/>
                <c:pt idx="0">
                  <c:v>0.52</c:v>
                </c:pt>
                <c:pt idx="1">
                  <c:v>0.5</c:v>
                </c:pt>
                <c:pt idx="2">
                  <c:v>0.45600000000000002</c:v>
                </c:pt>
                <c:pt idx="3">
                  <c:v>0.61400000000000265</c:v>
                </c:pt>
                <c:pt idx="4">
                  <c:v>0.64000000000000723</c:v>
                </c:pt>
                <c:pt idx="5">
                  <c:v>0.88</c:v>
                </c:pt>
                <c:pt idx="6">
                  <c:v>0.68</c:v>
                </c:pt>
                <c:pt idx="7">
                  <c:v>0.76000000000000723</c:v>
                </c:pt>
                <c:pt idx="8">
                  <c:v>0.5</c:v>
                </c:pt>
                <c:pt idx="9">
                  <c:v>0.92</c:v>
                </c:pt>
                <c:pt idx="10">
                  <c:v>1</c:v>
                </c:pt>
                <c:pt idx="11">
                  <c:v>1</c:v>
                </c:pt>
                <c:pt idx="12">
                  <c:v>0.93300000000000005</c:v>
                </c:pt>
              </c:numCache>
            </c:numRef>
          </c:val>
          <c:extLst xmlns:c16r2="http://schemas.microsoft.com/office/drawing/2015/06/chart">
            <c:ext xmlns:c16="http://schemas.microsoft.com/office/drawing/2014/chart" uri="{C3380CC4-5D6E-409C-BE32-E72D297353CC}">
              <c16:uniqueId val="{00000007-147C-45AC-83B1-C16A7B90A0FD}"/>
            </c:ext>
          </c:extLst>
        </c:ser>
        <c:overlap val="100"/>
        <c:axId val="140679424"/>
        <c:axId val="140697600"/>
      </c:barChart>
      <c:catAx>
        <c:axId val="140679424"/>
        <c:scaling>
          <c:orientation val="maxMin"/>
        </c:scaling>
        <c:axPos val="l"/>
        <c:numFmt formatCode="General" sourceLinked="1"/>
        <c:tickLblPos val="nextTo"/>
        <c:crossAx val="140697600"/>
        <c:crosses val="autoZero"/>
        <c:auto val="1"/>
        <c:lblAlgn val="ctr"/>
        <c:lblOffset val="100"/>
      </c:catAx>
      <c:valAx>
        <c:axId val="140697600"/>
        <c:scaling>
          <c:orientation val="minMax"/>
          <c:max val="1"/>
          <c:min val="0"/>
        </c:scaling>
        <c:axPos val="t"/>
        <c:majorGridlines/>
        <c:numFmt formatCode="0.0%" sourceLinked="1"/>
        <c:tickLblPos val="nextTo"/>
        <c:txPr>
          <a:bodyPr/>
          <a:lstStyle/>
          <a:p>
            <a:pPr>
              <a:defRPr sz="600"/>
            </a:pPr>
            <a:endParaRPr lang="ru-RU"/>
          </a:p>
        </c:txPr>
        <c:crossAx val="140679424"/>
        <c:crosses val="autoZero"/>
        <c:crossBetween val="between"/>
        <c:majorUnit val="0.2"/>
      </c:valAx>
      <c:spPr>
        <a:noFill/>
        <a:ln>
          <a:solidFill>
            <a:schemeClr val="accent1"/>
          </a:solidFill>
        </a:ln>
      </c:spPr>
    </c:plotArea>
    <c:legend>
      <c:legendPos val="t"/>
    </c:legend>
    <c:plotVisOnly val="1"/>
    <c:dispBlanksAs val="gap"/>
  </c:chart>
  <c:spPr>
    <a:ln>
      <a:noFill/>
    </a:ln>
  </c:spPr>
  <c:txPr>
    <a:bodyPr/>
    <a:lstStyle/>
    <a:p>
      <a:pPr>
        <a:defRPr>
          <a:latin typeface="Arial Narrow" panose="020B0606020202030204" pitchFamily="34" charset="0"/>
        </a:defRPr>
      </a:pPr>
      <a:endParaRPr lang="ru-RU"/>
    </a:p>
  </c:txPr>
  <c:externalData r:id="rId2"/>
</c:chartSpace>
</file>

<file path=word/charts/chart58.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27650257804892092"/>
          <c:y val="0.14570138448334058"/>
          <c:w val="0.68250275481088496"/>
          <c:h val="0.84054483710863992"/>
        </c:manualLayout>
      </c:layout>
      <c:barChart>
        <c:barDir val="bar"/>
        <c:grouping val="stacked"/>
        <c:ser>
          <c:idx val="0"/>
          <c:order val="0"/>
          <c:tx>
            <c:strRef>
              <c:f>Лист1!$B$1</c:f>
              <c:strCache>
                <c:ptCount val="1"/>
                <c:pt idx="0">
                  <c:v>Удовлетворительно</c:v>
                </c:pt>
              </c:strCache>
            </c:strRef>
          </c:tx>
          <c:spPr>
            <a:solidFill>
              <a:srgbClr val="ED7D31">
                <a:lumMod val="40000"/>
                <a:lumOff val="60000"/>
              </a:srgbClr>
            </a:solidFill>
          </c:spPr>
          <c:dLbls>
            <c:spPr>
              <a:noFill/>
              <a:ln>
                <a:no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среднее предприятие</c:v>
                </c:pt>
                <c:pt idx="1">
                  <c:v>малое предприятие</c:v>
                </c:pt>
              </c:strCache>
            </c:strRef>
          </c:cat>
          <c:val>
            <c:numRef>
              <c:f>Лист1!$B$2:$B$3</c:f>
              <c:numCache>
                <c:formatCode>0.0%</c:formatCode>
                <c:ptCount val="2"/>
                <c:pt idx="0">
                  <c:v>0.36400000000000032</c:v>
                </c:pt>
                <c:pt idx="1">
                  <c:v>0.222</c:v>
                </c:pt>
              </c:numCache>
            </c:numRef>
          </c:val>
          <c:extLst xmlns:c16r2="http://schemas.microsoft.com/office/drawing/2015/06/chart">
            <c:ext xmlns:c16="http://schemas.microsoft.com/office/drawing/2014/chart" uri="{C3380CC4-5D6E-409C-BE32-E72D297353CC}">
              <c16:uniqueId val="{00000000-AC28-4B0E-A6DA-5951CEC8C886}"/>
            </c:ext>
          </c:extLst>
        </c:ser>
        <c:ser>
          <c:idx val="1"/>
          <c:order val="1"/>
          <c:tx>
            <c:strRef>
              <c:f>Лист1!$C$1</c:f>
              <c:strCache>
                <c:ptCount val="1"/>
                <c:pt idx="0">
                  <c:v>Неудовлетворительно</c:v>
                </c:pt>
              </c:strCache>
            </c:strRef>
          </c:tx>
          <c:spPr>
            <a:solidFill>
              <a:srgbClr val="B28AB2"/>
            </a:solidFill>
            <a:ln>
              <a:noFill/>
            </a:ln>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среднее предприятие</c:v>
                </c:pt>
                <c:pt idx="1">
                  <c:v>малое предприятие</c:v>
                </c:pt>
              </c:strCache>
            </c:strRef>
          </c:cat>
          <c:val>
            <c:numRef>
              <c:f>Лист1!$C$2:$C$3</c:f>
              <c:numCache>
                <c:formatCode>0.0%</c:formatCode>
                <c:ptCount val="2"/>
                <c:pt idx="0">
                  <c:v>0.27300000000000002</c:v>
                </c:pt>
                <c:pt idx="1">
                  <c:v>0.23700000000000004</c:v>
                </c:pt>
              </c:numCache>
            </c:numRef>
          </c:val>
          <c:extLst xmlns:c16r2="http://schemas.microsoft.com/office/drawing/2015/06/chart">
            <c:ext xmlns:c16="http://schemas.microsoft.com/office/drawing/2014/chart" uri="{C3380CC4-5D6E-409C-BE32-E72D297353CC}">
              <c16:uniqueId val="{00000001-AC28-4B0E-A6DA-5951CEC8C886}"/>
            </c:ext>
          </c:extLst>
        </c:ser>
        <c:ser>
          <c:idx val="2"/>
          <c:order val="2"/>
          <c:tx>
            <c:strRef>
              <c:f>Лист1!$D$1</c:f>
              <c:strCache>
                <c:ptCount val="1"/>
                <c:pt idx="0">
                  <c:v>Затрудняюсь ответить</c:v>
                </c:pt>
              </c:strCache>
            </c:strRef>
          </c:tx>
          <c:spPr>
            <a:solidFill>
              <a:sysClr val="window" lastClr="FFFFFF">
                <a:lumMod val="85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среднее предприятие</c:v>
                </c:pt>
                <c:pt idx="1">
                  <c:v>малое предприятие</c:v>
                </c:pt>
              </c:strCache>
            </c:strRef>
          </c:cat>
          <c:val>
            <c:numRef>
              <c:f>Лист1!$D$2:$D$3</c:f>
              <c:numCache>
                <c:formatCode>0.0%</c:formatCode>
                <c:ptCount val="2"/>
                <c:pt idx="0">
                  <c:v>0.36400000000000032</c:v>
                </c:pt>
                <c:pt idx="1">
                  <c:v>0.54100000000000004</c:v>
                </c:pt>
              </c:numCache>
            </c:numRef>
          </c:val>
          <c:extLst xmlns:c16r2="http://schemas.microsoft.com/office/drawing/2015/06/chart">
            <c:ext xmlns:c16="http://schemas.microsoft.com/office/drawing/2014/chart" uri="{C3380CC4-5D6E-409C-BE32-E72D297353CC}">
              <c16:uniqueId val="{00000002-AC28-4B0E-A6DA-5951CEC8C886}"/>
            </c:ext>
          </c:extLst>
        </c:ser>
        <c:overlap val="100"/>
        <c:axId val="140774400"/>
        <c:axId val="140780288"/>
      </c:barChart>
      <c:catAx>
        <c:axId val="140774400"/>
        <c:scaling>
          <c:orientation val="maxMin"/>
        </c:scaling>
        <c:axPos val="l"/>
        <c:numFmt formatCode="General" sourceLinked="1"/>
        <c:tickLblPos val="nextTo"/>
        <c:crossAx val="140780288"/>
        <c:crosses val="autoZero"/>
        <c:auto val="1"/>
        <c:lblAlgn val="ctr"/>
        <c:lblOffset val="100"/>
      </c:catAx>
      <c:valAx>
        <c:axId val="140780288"/>
        <c:scaling>
          <c:orientation val="minMax"/>
          <c:max val="1"/>
          <c:min val="0"/>
        </c:scaling>
        <c:delete val="1"/>
        <c:axPos val="t"/>
        <c:majorGridlines/>
        <c:numFmt formatCode="0.0%" sourceLinked="1"/>
        <c:tickLblPos val="none"/>
        <c:crossAx val="140774400"/>
        <c:crosses val="autoZero"/>
        <c:crossBetween val="between"/>
        <c:majorUnit val="0.2"/>
      </c:valAx>
      <c:spPr>
        <a:noFill/>
        <a:ln>
          <a:solidFill>
            <a:schemeClr val="accent1"/>
          </a:solidFill>
        </a:ln>
      </c:spPr>
    </c:plotArea>
    <c:legend>
      <c:legendPos val="t"/>
      <c:layout>
        <c:manualLayout>
          <c:xMode val="edge"/>
          <c:yMode val="edge"/>
          <c:x val="0.14746975326757591"/>
          <c:y val="0"/>
          <c:w val="0.70506032766119064"/>
          <c:h val="0.10876292122252625"/>
        </c:manualLayout>
      </c:layout>
    </c:legend>
    <c:plotVisOnly val="1"/>
    <c:dispBlanksAs val="gap"/>
  </c:chart>
  <c:spPr>
    <a:ln>
      <a:noFill/>
    </a:ln>
  </c:spPr>
  <c:txPr>
    <a:bodyPr/>
    <a:lstStyle/>
    <a:p>
      <a:pPr>
        <a:defRPr>
          <a:latin typeface="Arial Narrow" panose="020B0606020202030204" pitchFamily="34" charset="0"/>
        </a:defRPr>
      </a:pPr>
      <a:endParaRPr lang="ru-RU"/>
    </a:p>
  </c:txPr>
</c:chartSpace>
</file>

<file path=word/charts/chart59.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27650257804892092"/>
          <c:y val="6.0847302846268332E-2"/>
          <c:w val="0.68250275481088496"/>
          <c:h val="0.92762432068254264"/>
        </c:manualLayout>
      </c:layout>
      <c:barChart>
        <c:barDir val="bar"/>
        <c:grouping val="stacked"/>
        <c:ser>
          <c:idx val="0"/>
          <c:order val="0"/>
          <c:tx>
            <c:strRef>
              <c:f>Лист1!$B$1</c:f>
              <c:strCache>
                <c:ptCount val="1"/>
                <c:pt idx="0">
                  <c:v>Удовлетворительно</c:v>
                </c:pt>
              </c:strCache>
            </c:strRef>
          </c:tx>
          <c:spPr>
            <a:solidFill>
              <a:srgbClr val="ED7D31">
                <a:lumMod val="40000"/>
                <a:lumOff val="60000"/>
              </a:srgbClr>
            </a:solidFill>
          </c:spPr>
          <c:dLbls>
            <c:spPr>
              <a:noFill/>
              <a:ln>
                <a:no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Кыштовский МР</c:v>
                </c:pt>
                <c:pt idx="1">
                  <c:v>Усть-Таркский МР</c:v>
                </c:pt>
                <c:pt idx="2">
                  <c:v>Купинский МР</c:v>
                </c:pt>
                <c:pt idx="3">
                  <c:v>Баганский МР</c:v>
                </c:pt>
                <c:pt idx="4">
                  <c:v>Краснозерский МР</c:v>
                </c:pt>
                <c:pt idx="5">
                  <c:v>Колыванский МР</c:v>
                </c:pt>
                <c:pt idx="6">
                  <c:v>Ордынский МР</c:v>
                </c:pt>
                <c:pt idx="7">
                  <c:v>Татарский МР</c:v>
                </c:pt>
                <c:pt idx="8">
                  <c:v>Куйбышевский МР</c:v>
                </c:pt>
                <c:pt idx="9">
                  <c:v>Карасукский МР</c:v>
                </c:pt>
                <c:pt idx="10">
                  <c:v>Чулымский МР</c:v>
                </c:pt>
                <c:pt idx="11">
                  <c:v>Черепановский МР</c:v>
                </c:pt>
                <c:pt idx="12">
                  <c:v>Коченевский МР</c:v>
                </c:pt>
                <c:pt idx="13">
                  <c:v>Маслянинский МР</c:v>
                </c:pt>
                <c:pt idx="14">
                  <c:v>г. Искитим</c:v>
                </c:pt>
                <c:pt idx="15">
                  <c:v>Здвинский МР</c:v>
                </c:pt>
                <c:pt idx="16">
                  <c:v>Барабинский МР</c:v>
                </c:pt>
                <c:pt idx="17">
                  <c:v>Тогучинский МР</c:v>
                </c:pt>
                <c:pt idx="18">
                  <c:v>Доволенский МР</c:v>
                </c:pt>
                <c:pt idx="19">
                  <c:v>Чистоозерный МР</c:v>
                </c:pt>
                <c:pt idx="20">
                  <c:v>г. Обь</c:v>
                </c:pt>
                <c:pt idx="21">
                  <c:v>Болотнинский МР</c:v>
                </c:pt>
                <c:pt idx="22">
                  <c:v>Мошковский МР</c:v>
                </c:pt>
                <c:pt idx="23">
                  <c:v>г. Новосибирск</c:v>
                </c:pt>
                <c:pt idx="24">
                  <c:v>г. Бердск</c:v>
                </c:pt>
                <c:pt idx="25">
                  <c:v>Искитимский МР</c:v>
                </c:pt>
                <c:pt idx="26">
                  <c:v>Северный МР</c:v>
                </c:pt>
                <c:pt idx="27">
                  <c:v>Чановский МР</c:v>
                </c:pt>
                <c:pt idx="28">
                  <c:v>Кочковский МР</c:v>
                </c:pt>
                <c:pt idx="29">
                  <c:v>Убинский МР</c:v>
                </c:pt>
                <c:pt idx="30">
                  <c:v>Сузунский МР</c:v>
                </c:pt>
                <c:pt idx="31">
                  <c:v>Новосибирский МР</c:v>
                </c:pt>
                <c:pt idx="32">
                  <c:v>Венгеровский МР</c:v>
                </c:pt>
                <c:pt idx="33">
                  <c:v>Каргатский МР</c:v>
                </c:pt>
                <c:pt idx="34">
                  <c:v>р. п. Кольцово</c:v>
                </c:pt>
              </c:strCache>
            </c:strRef>
          </c:cat>
          <c:val>
            <c:numRef>
              <c:f>Лист1!$B$2:$B$36</c:f>
              <c:numCache>
                <c:formatCode>0.0%</c:formatCode>
                <c:ptCount val="35"/>
                <c:pt idx="0">
                  <c:v>0.66700000000000803</c:v>
                </c:pt>
                <c:pt idx="1">
                  <c:v>0.66700000000000803</c:v>
                </c:pt>
                <c:pt idx="2">
                  <c:v>0.53300000000000003</c:v>
                </c:pt>
                <c:pt idx="3">
                  <c:v>0.5</c:v>
                </c:pt>
                <c:pt idx="4">
                  <c:v>0.5</c:v>
                </c:pt>
                <c:pt idx="5">
                  <c:v>0.47800000000000031</c:v>
                </c:pt>
                <c:pt idx="6">
                  <c:v>0.47400000000000031</c:v>
                </c:pt>
                <c:pt idx="7">
                  <c:v>0.44400000000000001</c:v>
                </c:pt>
                <c:pt idx="8">
                  <c:v>0.42300000000000032</c:v>
                </c:pt>
                <c:pt idx="9">
                  <c:v>0.41200000000000031</c:v>
                </c:pt>
                <c:pt idx="10">
                  <c:v>0.4</c:v>
                </c:pt>
                <c:pt idx="11">
                  <c:v>0.38900000000000351</c:v>
                </c:pt>
                <c:pt idx="12">
                  <c:v>0.38500000000000351</c:v>
                </c:pt>
                <c:pt idx="13">
                  <c:v>0.38500000000000351</c:v>
                </c:pt>
                <c:pt idx="14">
                  <c:v>0.37000000000000038</c:v>
                </c:pt>
                <c:pt idx="15">
                  <c:v>0.33300000000000402</c:v>
                </c:pt>
                <c:pt idx="16">
                  <c:v>0.31600000000000317</c:v>
                </c:pt>
                <c:pt idx="17">
                  <c:v>0.29200000000000031</c:v>
                </c:pt>
                <c:pt idx="18">
                  <c:v>0.28600000000000031</c:v>
                </c:pt>
                <c:pt idx="19">
                  <c:v>0.27300000000000002</c:v>
                </c:pt>
                <c:pt idx="20">
                  <c:v>0.25</c:v>
                </c:pt>
                <c:pt idx="21">
                  <c:v>0.23100000000000001</c:v>
                </c:pt>
                <c:pt idx="22">
                  <c:v>0.222</c:v>
                </c:pt>
                <c:pt idx="23">
                  <c:v>0.18100000000000024</c:v>
                </c:pt>
                <c:pt idx="24">
                  <c:v>0.17900000000000021</c:v>
                </c:pt>
                <c:pt idx="25">
                  <c:v>0.17600000000000021</c:v>
                </c:pt>
                <c:pt idx="26">
                  <c:v>0.16700000000000001</c:v>
                </c:pt>
                <c:pt idx="27">
                  <c:v>0.15200000000000041</c:v>
                </c:pt>
                <c:pt idx="28">
                  <c:v>0.14300000000000004</c:v>
                </c:pt>
                <c:pt idx="29">
                  <c:v>0.14300000000000004</c:v>
                </c:pt>
                <c:pt idx="30">
                  <c:v>0.125</c:v>
                </c:pt>
                <c:pt idx="31">
                  <c:v>9.1000000000000025E-2</c:v>
                </c:pt>
                <c:pt idx="32">
                  <c:v>0</c:v>
                </c:pt>
                <c:pt idx="33">
                  <c:v>0</c:v>
                </c:pt>
                <c:pt idx="34">
                  <c:v>0</c:v>
                </c:pt>
              </c:numCache>
            </c:numRef>
          </c:val>
          <c:extLst xmlns:c16r2="http://schemas.microsoft.com/office/drawing/2015/06/chart">
            <c:ext xmlns:c16="http://schemas.microsoft.com/office/drawing/2014/chart" uri="{C3380CC4-5D6E-409C-BE32-E72D297353CC}">
              <c16:uniqueId val="{00000000-52BA-4AAC-9C8D-ABE72DED9113}"/>
            </c:ext>
          </c:extLst>
        </c:ser>
        <c:ser>
          <c:idx val="1"/>
          <c:order val="1"/>
          <c:tx>
            <c:strRef>
              <c:f>Лист1!$C$1</c:f>
              <c:strCache>
                <c:ptCount val="1"/>
                <c:pt idx="0">
                  <c:v>Неудовлетворительно</c:v>
                </c:pt>
              </c:strCache>
            </c:strRef>
          </c:tx>
          <c:spPr>
            <a:solidFill>
              <a:srgbClr val="B28AB2"/>
            </a:solidFill>
            <a:ln>
              <a:noFill/>
            </a:ln>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Кыштовский МР</c:v>
                </c:pt>
                <c:pt idx="1">
                  <c:v>Усть-Таркский МР</c:v>
                </c:pt>
                <c:pt idx="2">
                  <c:v>Купинский МР</c:v>
                </c:pt>
                <c:pt idx="3">
                  <c:v>Баганский МР</c:v>
                </c:pt>
                <c:pt idx="4">
                  <c:v>Краснозерский МР</c:v>
                </c:pt>
                <c:pt idx="5">
                  <c:v>Колыванский МР</c:v>
                </c:pt>
                <c:pt idx="6">
                  <c:v>Ордынский МР</c:v>
                </c:pt>
                <c:pt idx="7">
                  <c:v>Татарский МР</c:v>
                </c:pt>
                <c:pt idx="8">
                  <c:v>Куйбышевский МР</c:v>
                </c:pt>
                <c:pt idx="9">
                  <c:v>Карасукский МР</c:v>
                </c:pt>
                <c:pt idx="10">
                  <c:v>Чулымский МР</c:v>
                </c:pt>
                <c:pt idx="11">
                  <c:v>Черепановский МР</c:v>
                </c:pt>
                <c:pt idx="12">
                  <c:v>Коченевский МР</c:v>
                </c:pt>
                <c:pt idx="13">
                  <c:v>Маслянинский МР</c:v>
                </c:pt>
                <c:pt idx="14">
                  <c:v>г. Искитим</c:v>
                </c:pt>
                <c:pt idx="15">
                  <c:v>Здвинский МР</c:v>
                </c:pt>
                <c:pt idx="16">
                  <c:v>Барабинский МР</c:v>
                </c:pt>
                <c:pt idx="17">
                  <c:v>Тогучинский МР</c:v>
                </c:pt>
                <c:pt idx="18">
                  <c:v>Доволенский МР</c:v>
                </c:pt>
                <c:pt idx="19">
                  <c:v>Чистоозерный МР</c:v>
                </c:pt>
                <c:pt idx="20">
                  <c:v>г. Обь</c:v>
                </c:pt>
                <c:pt idx="21">
                  <c:v>Болотнинский МР</c:v>
                </c:pt>
                <c:pt idx="22">
                  <c:v>Мошковский МР</c:v>
                </c:pt>
                <c:pt idx="23">
                  <c:v>г. Новосибирск</c:v>
                </c:pt>
                <c:pt idx="24">
                  <c:v>г. Бердск</c:v>
                </c:pt>
                <c:pt idx="25">
                  <c:v>Искитимский МР</c:v>
                </c:pt>
                <c:pt idx="26">
                  <c:v>Северный МР</c:v>
                </c:pt>
                <c:pt idx="27">
                  <c:v>Чановский МР</c:v>
                </c:pt>
                <c:pt idx="28">
                  <c:v>Кочковский МР</c:v>
                </c:pt>
                <c:pt idx="29">
                  <c:v>Убинский МР</c:v>
                </c:pt>
                <c:pt idx="30">
                  <c:v>Сузунский МР</c:v>
                </c:pt>
                <c:pt idx="31">
                  <c:v>Новосибирский МР</c:v>
                </c:pt>
                <c:pt idx="32">
                  <c:v>Венгеровский МР</c:v>
                </c:pt>
                <c:pt idx="33">
                  <c:v>Каргатский МР</c:v>
                </c:pt>
                <c:pt idx="34">
                  <c:v>р. п. Кольцово</c:v>
                </c:pt>
              </c:strCache>
            </c:strRef>
          </c:cat>
          <c:val>
            <c:numRef>
              <c:f>Лист1!$C$2:$C$36</c:f>
              <c:numCache>
                <c:formatCode>0.0%</c:formatCode>
                <c:ptCount val="35"/>
                <c:pt idx="0">
                  <c:v>0.16700000000000001</c:v>
                </c:pt>
                <c:pt idx="1">
                  <c:v>0.16700000000000001</c:v>
                </c:pt>
                <c:pt idx="2">
                  <c:v>0.13300000000000001</c:v>
                </c:pt>
                <c:pt idx="3">
                  <c:v>0</c:v>
                </c:pt>
                <c:pt idx="4">
                  <c:v>0</c:v>
                </c:pt>
                <c:pt idx="5">
                  <c:v>0.43500000000000238</c:v>
                </c:pt>
                <c:pt idx="6">
                  <c:v>0.21100000000000024</c:v>
                </c:pt>
                <c:pt idx="7">
                  <c:v>0.27800000000000002</c:v>
                </c:pt>
                <c:pt idx="8">
                  <c:v>0.42300000000000032</c:v>
                </c:pt>
                <c:pt idx="9">
                  <c:v>0.41200000000000031</c:v>
                </c:pt>
                <c:pt idx="10">
                  <c:v>0.46700000000000008</c:v>
                </c:pt>
                <c:pt idx="11">
                  <c:v>0.222</c:v>
                </c:pt>
                <c:pt idx="12">
                  <c:v>0.38500000000000351</c:v>
                </c:pt>
                <c:pt idx="13">
                  <c:v>0.38500000000000351</c:v>
                </c:pt>
                <c:pt idx="14">
                  <c:v>0.33300000000000402</c:v>
                </c:pt>
                <c:pt idx="15">
                  <c:v>0</c:v>
                </c:pt>
                <c:pt idx="16">
                  <c:v>0.42100000000000032</c:v>
                </c:pt>
                <c:pt idx="17">
                  <c:v>0.45800000000000002</c:v>
                </c:pt>
                <c:pt idx="18">
                  <c:v>0.42900000000000038</c:v>
                </c:pt>
                <c:pt idx="19">
                  <c:v>0.27300000000000002</c:v>
                </c:pt>
                <c:pt idx="20">
                  <c:v>0.3930000000000039</c:v>
                </c:pt>
                <c:pt idx="21">
                  <c:v>0.38500000000000351</c:v>
                </c:pt>
                <c:pt idx="22">
                  <c:v>0.33300000000000402</c:v>
                </c:pt>
                <c:pt idx="23">
                  <c:v>0.20600000000000004</c:v>
                </c:pt>
                <c:pt idx="24">
                  <c:v>0.17900000000000021</c:v>
                </c:pt>
                <c:pt idx="25">
                  <c:v>0.47100000000000031</c:v>
                </c:pt>
                <c:pt idx="26">
                  <c:v>0.66700000000000803</c:v>
                </c:pt>
                <c:pt idx="27">
                  <c:v>9.1000000000000025E-2</c:v>
                </c:pt>
                <c:pt idx="28">
                  <c:v>0.14300000000000004</c:v>
                </c:pt>
                <c:pt idx="29">
                  <c:v>0.14300000000000004</c:v>
                </c:pt>
                <c:pt idx="30">
                  <c:v>0.5</c:v>
                </c:pt>
                <c:pt idx="31">
                  <c:v>0</c:v>
                </c:pt>
                <c:pt idx="32">
                  <c:v>0.57099999999999995</c:v>
                </c:pt>
                <c:pt idx="33">
                  <c:v>0.5</c:v>
                </c:pt>
                <c:pt idx="34">
                  <c:v>0</c:v>
                </c:pt>
              </c:numCache>
            </c:numRef>
          </c:val>
          <c:extLst xmlns:c16r2="http://schemas.microsoft.com/office/drawing/2015/06/chart">
            <c:ext xmlns:c16="http://schemas.microsoft.com/office/drawing/2014/chart" uri="{C3380CC4-5D6E-409C-BE32-E72D297353CC}">
              <c16:uniqueId val="{00000001-52BA-4AAC-9C8D-ABE72DED9113}"/>
            </c:ext>
          </c:extLst>
        </c:ser>
        <c:ser>
          <c:idx val="2"/>
          <c:order val="2"/>
          <c:tx>
            <c:strRef>
              <c:f>Лист1!$D$1</c:f>
              <c:strCache>
                <c:ptCount val="1"/>
                <c:pt idx="0">
                  <c:v>Затрудняюсь ответить</c:v>
                </c:pt>
              </c:strCache>
            </c:strRef>
          </c:tx>
          <c:spPr>
            <a:solidFill>
              <a:srgbClr val="A5A5A5">
                <a:lumMod val="40000"/>
                <a:lumOff val="60000"/>
              </a:srgb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Кыштовский МР</c:v>
                </c:pt>
                <c:pt idx="1">
                  <c:v>Усть-Таркский МР</c:v>
                </c:pt>
                <c:pt idx="2">
                  <c:v>Купинский МР</c:v>
                </c:pt>
                <c:pt idx="3">
                  <c:v>Баганский МР</c:v>
                </c:pt>
                <c:pt idx="4">
                  <c:v>Краснозерский МР</c:v>
                </c:pt>
                <c:pt idx="5">
                  <c:v>Колыванский МР</c:v>
                </c:pt>
                <c:pt idx="6">
                  <c:v>Ордынский МР</c:v>
                </c:pt>
                <c:pt idx="7">
                  <c:v>Татарский МР</c:v>
                </c:pt>
                <c:pt idx="8">
                  <c:v>Куйбышевский МР</c:v>
                </c:pt>
                <c:pt idx="9">
                  <c:v>Карасукский МР</c:v>
                </c:pt>
                <c:pt idx="10">
                  <c:v>Чулымский МР</c:v>
                </c:pt>
                <c:pt idx="11">
                  <c:v>Черепановский МР</c:v>
                </c:pt>
                <c:pt idx="12">
                  <c:v>Коченевский МР</c:v>
                </c:pt>
                <c:pt idx="13">
                  <c:v>Маслянинский МР</c:v>
                </c:pt>
                <c:pt idx="14">
                  <c:v>г. Искитим</c:v>
                </c:pt>
                <c:pt idx="15">
                  <c:v>Здвинский МР</c:v>
                </c:pt>
                <c:pt idx="16">
                  <c:v>Барабинский МР</c:v>
                </c:pt>
                <c:pt idx="17">
                  <c:v>Тогучинский МР</c:v>
                </c:pt>
                <c:pt idx="18">
                  <c:v>Доволенский МР</c:v>
                </c:pt>
                <c:pt idx="19">
                  <c:v>Чистоозерный МР</c:v>
                </c:pt>
                <c:pt idx="20">
                  <c:v>г. Обь</c:v>
                </c:pt>
                <c:pt idx="21">
                  <c:v>Болотнинский МР</c:v>
                </c:pt>
                <c:pt idx="22">
                  <c:v>Мошковский МР</c:v>
                </c:pt>
                <c:pt idx="23">
                  <c:v>г. Новосибирск</c:v>
                </c:pt>
                <c:pt idx="24">
                  <c:v>г. Бердск</c:v>
                </c:pt>
                <c:pt idx="25">
                  <c:v>Искитимский МР</c:v>
                </c:pt>
                <c:pt idx="26">
                  <c:v>Северный МР</c:v>
                </c:pt>
                <c:pt idx="27">
                  <c:v>Чановский МР</c:v>
                </c:pt>
                <c:pt idx="28">
                  <c:v>Кочковский МР</c:v>
                </c:pt>
                <c:pt idx="29">
                  <c:v>Убинский МР</c:v>
                </c:pt>
                <c:pt idx="30">
                  <c:v>Сузунский МР</c:v>
                </c:pt>
                <c:pt idx="31">
                  <c:v>Новосибирский МР</c:v>
                </c:pt>
                <c:pt idx="32">
                  <c:v>Венгеровский МР</c:v>
                </c:pt>
                <c:pt idx="33">
                  <c:v>Каргатский МР</c:v>
                </c:pt>
                <c:pt idx="34">
                  <c:v>р. п. Кольцово</c:v>
                </c:pt>
              </c:strCache>
            </c:strRef>
          </c:cat>
          <c:val>
            <c:numRef>
              <c:f>Лист1!$D$2:$D$36</c:f>
              <c:numCache>
                <c:formatCode>0.0%</c:formatCode>
                <c:ptCount val="35"/>
                <c:pt idx="0">
                  <c:v>0.16700000000000001</c:v>
                </c:pt>
                <c:pt idx="1">
                  <c:v>0.16700000000000001</c:v>
                </c:pt>
                <c:pt idx="2">
                  <c:v>0.33300000000000402</c:v>
                </c:pt>
                <c:pt idx="3">
                  <c:v>0.5</c:v>
                </c:pt>
                <c:pt idx="4">
                  <c:v>0.5</c:v>
                </c:pt>
                <c:pt idx="5">
                  <c:v>8.7000000000000022E-2</c:v>
                </c:pt>
                <c:pt idx="6">
                  <c:v>0.31600000000000317</c:v>
                </c:pt>
                <c:pt idx="7">
                  <c:v>0.27800000000000002</c:v>
                </c:pt>
                <c:pt idx="8">
                  <c:v>0.15400000000000041</c:v>
                </c:pt>
                <c:pt idx="9">
                  <c:v>0.17600000000000021</c:v>
                </c:pt>
                <c:pt idx="10">
                  <c:v>0.13300000000000001</c:v>
                </c:pt>
                <c:pt idx="11">
                  <c:v>0.38900000000000351</c:v>
                </c:pt>
                <c:pt idx="12">
                  <c:v>0.23100000000000001</c:v>
                </c:pt>
                <c:pt idx="13">
                  <c:v>0.23100000000000001</c:v>
                </c:pt>
                <c:pt idx="14">
                  <c:v>0.29600000000000032</c:v>
                </c:pt>
                <c:pt idx="15">
                  <c:v>0.66700000000000803</c:v>
                </c:pt>
                <c:pt idx="16">
                  <c:v>0.26300000000000001</c:v>
                </c:pt>
                <c:pt idx="17">
                  <c:v>0.25</c:v>
                </c:pt>
                <c:pt idx="18">
                  <c:v>0.28600000000000031</c:v>
                </c:pt>
                <c:pt idx="19">
                  <c:v>0.45500000000000002</c:v>
                </c:pt>
                <c:pt idx="20">
                  <c:v>0.35700000000000032</c:v>
                </c:pt>
                <c:pt idx="21">
                  <c:v>0.38500000000000351</c:v>
                </c:pt>
                <c:pt idx="22">
                  <c:v>0.44400000000000001</c:v>
                </c:pt>
                <c:pt idx="23">
                  <c:v>0.61300000000000165</c:v>
                </c:pt>
                <c:pt idx="24">
                  <c:v>0.64100000000000701</c:v>
                </c:pt>
                <c:pt idx="25">
                  <c:v>0.35300000000000031</c:v>
                </c:pt>
                <c:pt idx="26">
                  <c:v>0.16700000000000001</c:v>
                </c:pt>
                <c:pt idx="27">
                  <c:v>0.758000000000007</c:v>
                </c:pt>
                <c:pt idx="28">
                  <c:v>0.71400000000000063</c:v>
                </c:pt>
                <c:pt idx="29">
                  <c:v>0.71400000000000063</c:v>
                </c:pt>
                <c:pt idx="30">
                  <c:v>0.37500000000000311</c:v>
                </c:pt>
                <c:pt idx="31">
                  <c:v>0.90900000000000003</c:v>
                </c:pt>
                <c:pt idx="32">
                  <c:v>0.42900000000000038</c:v>
                </c:pt>
                <c:pt idx="33">
                  <c:v>0.5</c:v>
                </c:pt>
                <c:pt idx="34">
                  <c:v>1</c:v>
                </c:pt>
              </c:numCache>
            </c:numRef>
          </c:val>
          <c:extLst xmlns:c16r2="http://schemas.microsoft.com/office/drawing/2015/06/chart">
            <c:ext xmlns:c16="http://schemas.microsoft.com/office/drawing/2014/chart" uri="{C3380CC4-5D6E-409C-BE32-E72D297353CC}">
              <c16:uniqueId val="{00000002-52BA-4AAC-9C8D-ABE72DED9113}"/>
            </c:ext>
          </c:extLst>
        </c:ser>
        <c:overlap val="100"/>
        <c:axId val="140853248"/>
        <c:axId val="140854784"/>
      </c:barChart>
      <c:catAx>
        <c:axId val="140853248"/>
        <c:scaling>
          <c:orientation val="maxMin"/>
        </c:scaling>
        <c:axPos val="l"/>
        <c:numFmt formatCode="General" sourceLinked="1"/>
        <c:tickLblPos val="nextTo"/>
        <c:crossAx val="140854784"/>
        <c:crosses val="autoZero"/>
        <c:auto val="1"/>
        <c:lblAlgn val="ctr"/>
        <c:lblOffset val="100"/>
      </c:catAx>
      <c:valAx>
        <c:axId val="140854784"/>
        <c:scaling>
          <c:orientation val="minMax"/>
          <c:max val="1"/>
          <c:min val="0"/>
        </c:scaling>
        <c:axPos val="t"/>
        <c:majorGridlines/>
        <c:numFmt formatCode="0.0%" sourceLinked="1"/>
        <c:tickLblPos val="nextTo"/>
        <c:txPr>
          <a:bodyPr/>
          <a:lstStyle/>
          <a:p>
            <a:pPr>
              <a:defRPr sz="600"/>
            </a:pPr>
            <a:endParaRPr lang="ru-RU"/>
          </a:p>
        </c:txPr>
        <c:crossAx val="140853248"/>
        <c:crosses val="autoZero"/>
        <c:crossBetween val="between"/>
        <c:majorUnit val="0.2"/>
      </c:valAx>
      <c:spPr>
        <a:noFill/>
        <a:ln>
          <a:solidFill>
            <a:schemeClr val="accent1"/>
          </a:solidFill>
        </a:ln>
      </c:spPr>
    </c:plotArea>
    <c:legend>
      <c:legendPos val="t"/>
    </c:legend>
    <c:plotVisOnly val="1"/>
    <c:dispBlanksAs val="gap"/>
  </c:chart>
  <c:spPr>
    <a:ln>
      <a:noFill/>
    </a:ln>
  </c:spPr>
  <c:txPr>
    <a:bodyPr/>
    <a:lstStyle/>
    <a:p>
      <a:pPr>
        <a:defRPr>
          <a:latin typeface="Arial Narrow" panose="020B0606020202030204" pitchFamily="34" charset="0"/>
        </a:defRPr>
      </a:pPr>
      <a:endParaRPr lang="ru-RU"/>
    </a:p>
  </c:txPr>
  <c:externalData r:id="rId2"/>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27650257804892092"/>
          <c:y val="0.1654433489603343"/>
          <c:w val="0.68250275481088496"/>
          <c:h val="0.82080274551028831"/>
        </c:manualLayout>
      </c:layout>
      <c:barChart>
        <c:barDir val="bar"/>
        <c:grouping val="stacked"/>
        <c:ser>
          <c:idx val="0"/>
          <c:order val="0"/>
          <c:tx>
            <c:strRef>
              <c:f>Лист1!$B$1</c:f>
              <c:strCache>
                <c:ptCount val="1"/>
                <c:pt idx="0">
                  <c:v>Удовлетворительно</c:v>
                </c:pt>
              </c:strCache>
            </c:strRef>
          </c:tx>
          <c:spPr>
            <a:solidFill>
              <a:srgbClr val="ED7D31">
                <a:lumMod val="40000"/>
                <a:lumOff val="60000"/>
              </a:srgbClr>
            </a:solidFill>
          </c:spPr>
          <c:dLbls>
            <c:spPr>
              <a:noFill/>
              <a:ln>
                <a:no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среднее предприятие</c:v>
                </c:pt>
                <c:pt idx="1">
                  <c:v>малое предприятие</c:v>
                </c:pt>
              </c:strCache>
            </c:strRef>
          </c:cat>
          <c:val>
            <c:numRef>
              <c:f>Лист1!$B$2:$B$3</c:f>
              <c:numCache>
                <c:formatCode>0.0%</c:formatCode>
                <c:ptCount val="2"/>
                <c:pt idx="0">
                  <c:v>0.36400000000000032</c:v>
                </c:pt>
                <c:pt idx="1">
                  <c:v>0.38700000000000384</c:v>
                </c:pt>
              </c:numCache>
            </c:numRef>
          </c:val>
          <c:extLst xmlns:c16r2="http://schemas.microsoft.com/office/drawing/2015/06/chart">
            <c:ext xmlns:c16="http://schemas.microsoft.com/office/drawing/2014/chart" uri="{C3380CC4-5D6E-409C-BE32-E72D297353CC}">
              <c16:uniqueId val="{00000000-383A-4490-828A-D8F66ECBA04C}"/>
            </c:ext>
          </c:extLst>
        </c:ser>
        <c:ser>
          <c:idx val="1"/>
          <c:order val="1"/>
          <c:tx>
            <c:strRef>
              <c:f>Лист1!$C$1</c:f>
              <c:strCache>
                <c:ptCount val="1"/>
                <c:pt idx="0">
                  <c:v>Неудовлетворительно</c:v>
                </c:pt>
              </c:strCache>
            </c:strRef>
          </c:tx>
          <c:spPr>
            <a:solidFill>
              <a:srgbClr val="B28AB2"/>
            </a:solidFill>
            <a:ln>
              <a:noFill/>
            </a:ln>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среднее предприятие</c:v>
                </c:pt>
                <c:pt idx="1">
                  <c:v>малое предприятие</c:v>
                </c:pt>
              </c:strCache>
            </c:strRef>
          </c:cat>
          <c:val>
            <c:numRef>
              <c:f>Лист1!$C$2:$C$3</c:f>
              <c:numCache>
                <c:formatCode>0.0%</c:formatCode>
                <c:ptCount val="2"/>
                <c:pt idx="0">
                  <c:v>0.27300000000000002</c:v>
                </c:pt>
                <c:pt idx="1">
                  <c:v>0.37600000000000339</c:v>
                </c:pt>
              </c:numCache>
            </c:numRef>
          </c:val>
          <c:extLst xmlns:c16r2="http://schemas.microsoft.com/office/drawing/2015/06/chart">
            <c:ext xmlns:c16="http://schemas.microsoft.com/office/drawing/2014/chart" uri="{C3380CC4-5D6E-409C-BE32-E72D297353CC}">
              <c16:uniqueId val="{00000001-383A-4490-828A-D8F66ECBA04C}"/>
            </c:ext>
          </c:extLst>
        </c:ser>
        <c:ser>
          <c:idx val="2"/>
          <c:order val="2"/>
          <c:tx>
            <c:strRef>
              <c:f>Лист1!$D$1</c:f>
              <c:strCache>
                <c:ptCount val="1"/>
                <c:pt idx="0">
                  <c:v>Затрудняюсь ответить</c:v>
                </c:pt>
              </c:strCache>
            </c:strRef>
          </c:tx>
          <c:spPr>
            <a:solidFill>
              <a:sysClr val="window" lastClr="FFFFFF">
                <a:lumMod val="85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среднее предприятие</c:v>
                </c:pt>
                <c:pt idx="1">
                  <c:v>малое предприятие</c:v>
                </c:pt>
              </c:strCache>
            </c:strRef>
          </c:cat>
          <c:val>
            <c:numRef>
              <c:f>Лист1!$D$2:$D$3</c:f>
              <c:numCache>
                <c:formatCode>0.0%</c:formatCode>
                <c:ptCount val="2"/>
                <c:pt idx="0">
                  <c:v>0.36400000000000032</c:v>
                </c:pt>
                <c:pt idx="1">
                  <c:v>0.23700000000000004</c:v>
                </c:pt>
              </c:numCache>
            </c:numRef>
          </c:val>
          <c:extLst xmlns:c16r2="http://schemas.microsoft.com/office/drawing/2015/06/chart">
            <c:ext xmlns:c16="http://schemas.microsoft.com/office/drawing/2014/chart" uri="{C3380CC4-5D6E-409C-BE32-E72D297353CC}">
              <c16:uniqueId val="{00000002-383A-4490-828A-D8F66ECBA04C}"/>
            </c:ext>
          </c:extLst>
        </c:ser>
        <c:overlap val="100"/>
        <c:axId val="95956352"/>
        <c:axId val="95962240"/>
      </c:barChart>
      <c:catAx>
        <c:axId val="95956352"/>
        <c:scaling>
          <c:orientation val="maxMin"/>
        </c:scaling>
        <c:axPos val="l"/>
        <c:numFmt formatCode="General" sourceLinked="1"/>
        <c:tickLblPos val="nextTo"/>
        <c:crossAx val="95962240"/>
        <c:crosses val="autoZero"/>
        <c:auto val="1"/>
        <c:lblAlgn val="ctr"/>
        <c:lblOffset val="100"/>
      </c:catAx>
      <c:valAx>
        <c:axId val="95962240"/>
        <c:scaling>
          <c:orientation val="minMax"/>
          <c:max val="1"/>
          <c:min val="0"/>
        </c:scaling>
        <c:delete val="1"/>
        <c:axPos val="t"/>
        <c:majorGridlines/>
        <c:numFmt formatCode="0.0%" sourceLinked="1"/>
        <c:tickLblPos val="none"/>
        <c:crossAx val="95956352"/>
        <c:crosses val="autoZero"/>
        <c:crossBetween val="between"/>
        <c:majorUnit val="0.2"/>
      </c:valAx>
      <c:spPr>
        <a:noFill/>
        <a:ln>
          <a:solidFill>
            <a:schemeClr val="accent1"/>
          </a:solidFill>
        </a:ln>
      </c:spPr>
    </c:plotArea>
    <c:legend>
      <c:legendPos val="t"/>
    </c:legend>
    <c:plotVisOnly val="1"/>
    <c:dispBlanksAs val="gap"/>
  </c:chart>
  <c:spPr>
    <a:ln>
      <a:noFill/>
    </a:ln>
  </c:spPr>
  <c:txPr>
    <a:bodyPr/>
    <a:lstStyle/>
    <a:p>
      <a:pPr>
        <a:defRPr>
          <a:latin typeface="Arial Narrow" panose="020B0606020202030204" pitchFamily="34" charset="0"/>
        </a:defRPr>
      </a:pPr>
      <a:endParaRPr lang="ru-RU"/>
    </a:p>
  </c:txPr>
</c:chartSpace>
</file>

<file path=word/charts/chart60.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54120983613624463"/>
          <c:y val="7.6190911549699314E-2"/>
          <c:w val="0.57932312314403533"/>
          <c:h val="0.91005535048322161"/>
        </c:manualLayout>
      </c:layout>
      <c:barChart>
        <c:barDir val="bar"/>
        <c:grouping val="stacked"/>
        <c:ser>
          <c:idx val="0"/>
          <c:order val="0"/>
          <c:tx>
            <c:strRef>
              <c:f>Лист1!$B$1</c:f>
              <c:strCache>
                <c:ptCount val="1"/>
                <c:pt idx="0">
                  <c:v>Удовлетворительно</c:v>
                </c:pt>
              </c:strCache>
            </c:strRef>
          </c:tx>
          <c:spPr>
            <a:solidFill>
              <a:srgbClr val="ED7D31">
                <a:lumMod val="40000"/>
                <a:lumOff val="60000"/>
              </a:srgbClr>
            </a:solidFill>
          </c:spPr>
          <c:dLbls>
            <c:dLbl>
              <c:idx val="1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F4E9-4CDA-9D99-0AB90815AC78}"/>
                </c:ext>
              </c:extLst>
            </c:dLbl>
            <c:dLbl>
              <c:idx val="1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F4E9-4CDA-9D99-0AB90815AC78}"/>
                </c:ext>
              </c:extLst>
            </c:dLbl>
            <c:dLbl>
              <c:idx val="1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F4E9-4CDA-9D99-0AB90815AC78}"/>
                </c:ext>
              </c:extLst>
            </c:dLbl>
            <c:spPr>
              <a:noFill/>
              <a:ln>
                <a:no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развития, производства, переработки и хранения с‎\х продукции</c:v>
                </c:pt>
                <c:pt idx="1">
                  <c:v>Рынок медицинских услуг</c:v>
                </c:pt>
                <c:pt idx="2">
                  <c:v>Рынок услуг ЖКХ</c:v>
                </c:pt>
                <c:pt idx="3">
                  <c:v>Розничная торговля</c:v>
                </c:pt>
                <c:pt idx="4">
                  <c:v>Рынок услуг дополнительного образования детей</c:v>
                </c:pt>
                <c:pt idx="5">
                  <c:v>Рынок услуг психолого-педагогического сопровождения детей с ограниченными возможностями здоровья</c:v>
                </c:pt>
                <c:pt idx="6">
                  <c:v>Рынок услуг в сфере культуры</c:v>
                </c:pt>
                <c:pt idx="7">
                  <c:v>Рынок услуг по сбору, сортировке и переработке твердых коммунальных (бытовых) отходов</c:v>
                </c:pt>
                <c:pt idx="8">
                  <c:v>Рынок услуг связи</c:v>
                </c:pt>
                <c:pt idx="9">
                  <c:v>Рынок услуг социального обслуживания населения</c:v>
                </c:pt>
                <c:pt idx="10">
                  <c:v>Рынок услуг дошкольного образования</c:v>
                </c:pt>
                <c:pt idx="11">
                  <c:v>Рынок услуг детского отдыха и оздоровления</c:v>
                </c:pt>
                <c:pt idx="12">
                  <c:v>Рынок услуг перевозок пассажиров наземным транспортом</c:v>
                </c:pt>
              </c:strCache>
            </c:strRef>
          </c:cat>
          <c:val>
            <c:numRef>
              <c:f>Лист1!$B$2:$B$14</c:f>
              <c:numCache>
                <c:formatCode>0.0%</c:formatCode>
                <c:ptCount val="13"/>
                <c:pt idx="0">
                  <c:v>0.24000000000000021</c:v>
                </c:pt>
                <c:pt idx="1">
                  <c:v>0.21400000000000041</c:v>
                </c:pt>
                <c:pt idx="2">
                  <c:v>0.21400000000000041</c:v>
                </c:pt>
                <c:pt idx="3">
                  <c:v>0.17200000000000001</c:v>
                </c:pt>
                <c:pt idx="4">
                  <c:v>0.12000000000000002</c:v>
                </c:pt>
                <c:pt idx="5">
                  <c:v>0.12000000000000002</c:v>
                </c:pt>
                <c:pt idx="6">
                  <c:v>0.12000000000000002</c:v>
                </c:pt>
                <c:pt idx="7">
                  <c:v>0.1</c:v>
                </c:pt>
                <c:pt idx="8">
                  <c:v>8.0000000000000043E-2</c:v>
                </c:pt>
                <c:pt idx="9">
                  <c:v>8.0000000000000043E-2</c:v>
                </c:pt>
                <c:pt idx="10">
                  <c:v>0</c:v>
                </c:pt>
                <c:pt idx="11">
                  <c:v>0</c:v>
                </c:pt>
                <c:pt idx="12">
                  <c:v>0</c:v>
                </c:pt>
              </c:numCache>
            </c:numRef>
          </c:val>
          <c:extLst xmlns:c16r2="http://schemas.microsoft.com/office/drawing/2015/06/chart">
            <c:ext xmlns:c16="http://schemas.microsoft.com/office/drawing/2014/chart" uri="{C3380CC4-5D6E-409C-BE32-E72D297353CC}">
              <c16:uniqueId val="{00000000-F4E9-4CDA-9D99-0AB90815AC78}"/>
            </c:ext>
          </c:extLst>
        </c:ser>
        <c:ser>
          <c:idx val="1"/>
          <c:order val="1"/>
          <c:tx>
            <c:strRef>
              <c:f>Лист1!$C$1</c:f>
              <c:strCache>
                <c:ptCount val="1"/>
                <c:pt idx="0">
                  <c:v>Неудовлетворительно</c:v>
                </c:pt>
              </c:strCache>
            </c:strRef>
          </c:tx>
          <c:spPr>
            <a:solidFill>
              <a:srgbClr val="B28AB2"/>
            </a:solidFill>
            <a:ln>
              <a:noFill/>
            </a:ln>
          </c:spPr>
          <c:dLbls>
            <c:dLbl>
              <c:idx val="5"/>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F4E9-4CDA-9D99-0AB90815AC78}"/>
                </c:ext>
              </c:extLst>
            </c:dLbl>
            <c:dLbl>
              <c:idx val="8"/>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F4E9-4CDA-9D99-0AB90815AC78}"/>
                </c:ext>
              </c:extLst>
            </c:dLbl>
            <c:dLbl>
              <c:idx val="1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F4E9-4CDA-9D99-0AB90815AC78}"/>
                </c:ext>
              </c:extLst>
            </c:dLbl>
            <c:dLbl>
              <c:idx val="1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F4E9-4CDA-9D99-0AB90815AC78}"/>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развития, производства, переработки и хранения с‎\х продукции</c:v>
                </c:pt>
                <c:pt idx="1">
                  <c:v>Рынок медицинских услуг</c:v>
                </c:pt>
                <c:pt idx="2">
                  <c:v>Рынок услуг ЖКХ</c:v>
                </c:pt>
                <c:pt idx="3">
                  <c:v>Розничная торговля</c:v>
                </c:pt>
                <c:pt idx="4">
                  <c:v>Рынок услуг дополнительного образования детей</c:v>
                </c:pt>
                <c:pt idx="5">
                  <c:v>Рынок услуг психолого-педагогического сопровождения детей с ограниченными возможностями здоровья</c:v>
                </c:pt>
                <c:pt idx="6">
                  <c:v>Рынок услуг в сфере культуры</c:v>
                </c:pt>
                <c:pt idx="7">
                  <c:v>Рынок услуг по сбору, сортировке и переработке твердых коммунальных (бытовых) отходов</c:v>
                </c:pt>
                <c:pt idx="8">
                  <c:v>Рынок услуг связи</c:v>
                </c:pt>
                <c:pt idx="9">
                  <c:v>Рынок услуг социального обслуживания населения</c:v>
                </c:pt>
                <c:pt idx="10">
                  <c:v>Рынок услуг дошкольного образования</c:v>
                </c:pt>
                <c:pt idx="11">
                  <c:v>Рынок услуг детского отдыха и оздоровления</c:v>
                </c:pt>
                <c:pt idx="12">
                  <c:v>Рынок услуг перевозок пассажиров наземным транспортом</c:v>
                </c:pt>
              </c:strCache>
            </c:strRef>
          </c:cat>
          <c:val>
            <c:numRef>
              <c:f>Лист1!$C$2:$C$14</c:f>
              <c:numCache>
                <c:formatCode>0.0%</c:formatCode>
                <c:ptCount val="13"/>
                <c:pt idx="0">
                  <c:v>0.18000000000000024</c:v>
                </c:pt>
                <c:pt idx="1">
                  <c:v>0.15700000000000044</c:v>
                </c:pt>
                <c:pt idx="2">
                  <c:v>0.22900000000000001</c:v>
                </c:pt>
                <c:pt idx="3">
                  <c:v>0.35600000000000032</c:v>
                </c:pt>
                <c:pt idx="4">
                  <c:v>0.2</c:v>
                </c:pt>
                <c:pt idx="5">
                  <c:v>0</c:v>
                </c:pt>
                <c:pt idx="6">
                  <c:v>0.2</c:v>
                </c:pt>
                <c:pt idx="7">
                  <c:v>0.4</c:v>
                </c:pt>
                <c:pt idx="8">
                  <c:v>0</c:v>
                </c:pt>
                <c:pt idx="9">
                  <c:v>0.16</c:v>
                </c:pt>
                <c:pt idx="10">
                  <c:v>0</c:v>
                </c:pt>
                <c:pt idx="11">
                  <c:v>0</c:v>
                </c:pt>
                <c:pt idx="12">
                  <c:v>0.1</c:v>
                </c:pt>
              </c:numCache>
            </c:numRef>
          </c:val>
          <c:extLst xmlns:c16r2="http://schemas.microsoft.com/office/drawing/2015/06/chart">
            <c:ext xmlns:c16="http://schemas.microsoft.com/office/drawing/2014/chart" uri="{C3380CC4-5D6E-409C-BE32-E72D297353CC}">
              <c16:uniqueId val="{00000001-F4E9-4CDA-9D99-0AB90815AC78}"/>
            </c:ext>
          </c:extLst>
        </c:ser>
        <c:ser>
          <c:idx val="2"/>
          <c:order val="2"/>
          <c:tx>
            <c:strRef>
              <c:f>Лист1!$D$1</c:f>
              <c:strCache>
                <c:ptCount val="1"/>
                <c:pt idx="0">
                  <c:v>Затрудняюсь ответить</c:v>
                </c:pt>
              </c:strCache>
            </c:strRef>
          </c:tx>
          <c:spPr>
            <a:solidFill>
              <a:srgbClr val="A5A5A5">
                <a:lumMod val="40000"/>
                <a:lumOff val="60000"/>
              </a:srgb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развития, производства, переработки и хранения с‎\х продукции</c:v>
                </c:pt>
                <c:pt idx="1">
                  <c:v>Рынок медицинских услуг</c:v>
                </c:pt>
                <c:pt idx="2">
                  <c:v>Рынок услуг ЖКХ</c:v>
                </c:pt>
                <c:pt idx="3">
                  <c:v>Розничная торговля</c:v>
                </c:pt>
                <c:pt idx="4">
                  <c:v>Рынок услуг дополнительного образования детей</c:v>
                </c:pt>
                <c:pt idx="5">
                  <c:v>Рынок услуг психолого-педагогического сопровождения детей с ограниченными возможностями здоровья</c:v>
                </c:pt>
                <c:pt idx="6">
                  <c:v>Рынок услуг в сфере культуры</c:v>
                </c:pt>
                <c:pt idx="7">
                  <c:v>Рынок услуг по сбору, сортировке и переработке твердых коммунальных (бытовых) отходов</c:v>
                </c:pt>
                <c:pt idx="8">
                  <c:v>Рынок услуг связи</c:v>
                </c:pt>
                <c:pt idx="9">
                  <c:v>Рынок услуг социального обслуживания населения</c:v>
                </c:pt>
                <c:pt idx="10">
                  <c:v>Рынок услуг дошкольного образования</c:v>
                </c:pt>
                <c:pt idx="11">
                  <c:v>Рынок услуг детского отдыха и оздоровления</c:v>
                </c:pt>
                <c:pt idx="12">
                  <c:v>Рынок услуг перевозок пассажиров наземным транспортом</c:v>
                </c:pt>
              </c:strCache>
            </c:strRef>
          </c:cat>
          <c:val>
            <c:numRef>
              <c:f>Лист1!$D$2:$D$14</c:f>
              <c:numCache>
                <c:formatCode>0.0%</c:formatCode>
                <c:ptCount val="13"/>
                <c:pt idx="0">
                  <c:v>0.58000000000000007</c:v>
                </c:pt>
                <c:pt idx="1">
                  <c:v>0.629000000000007</c:v>
                </c:pt>
                <c:pt idx="2">
                  <c:v>0.55700000000000005</c:v>
                </c:pt>
                <c:pt idx="3">
                  <c:v>0.47200000000000031</c:v>
                </c:pt>
                <c:pt idx="4">
                  <c:v>0.68</c:v>
                </c:pt>
                <c:pt idx="5">
                  <c:v>0.88</c:v>
                </c:pt>
                <c:pt idx="6">
                  <c:v>0.68</c:v>
                </c:pt>
                <c:pt idx="7">
                  <c:v>0.5</c:v>
                </c:pt>
                <c:pt idx="8">
                  <c:v>0.92</c:v>
                </c:pt>
                <c:pt idx="9">
                  <c:v>0.76000000000000723</c:v>
                </c:pt>
                <c:pt idx="10">
                  <c:v>1</c:v>
                </c:pt>
                <c:pt idx="11">
                  <c:v>1</c:v>
                </c:pt>
                <c:pt idx="12">
                  <c:v>0.9</c:v>
                </c:pt>
              </c:numCache>
            </c:numRef>
          </c:val>
          <c:extLst xmlns:c16r2="http://schemas.microsoft.com/office/drawing/2015/06/chart">
            <c:ext xmlns:c16="http://schemas.microsoft.com/office/drawing/2014/chart" uri="{C3380CC4-5D6E-409C-BE32-E72D297353CC}">
              <c16:uniqueId val="{00000002-F4E9-4CDA-9D99-0AB90815AC78}"/>
            </c:ext>
          </c:extLst>
        </c:ser>
        <c:overlap val="100"/>
        <c:axId val="140660096"/>
        <c:axId val="140989568"/>
      </c:barChart>
      <c:catAx>
        <c:axId val="140660096"/>
        <c:scaling>
          <c:orientation val="maxMin"/>
        </c:scaling>
        <c:axPos val="l"/>
        <c:numFmt formatCode="General" sourceLinked="1"/>
        <c:tickLblPos val="nextTo"/>
        <c:crossAx val="140989568"/>
        <c:crosses val="autoZero"/>
        <c:auto val="1"/>
        <c:lblAlgn val="ctr"/>
        <c:lblOffset val="100"/>
      </c:catAx>
      <c:valAx>
        <c:axId val="140989568"/>
        <c:scaling>
          <c:orientation val="minMax"/>
          <c:max val="1"/>
          <c:min val="0"/>
        </c:scaling>
        <c:axPos val="t"/>
        <c:majorGridlines/>
        <c:numFmt formatCode="0.0%" sourceLinked="1"/>
        <c:tickLblPos val="nextTo"/>
        <c:txPr>
          <a:bodyPr/>
          <a:lstStyle/>
          <a:p>
            <a:pPr>
              <a:defRPr sz="600"/>
            </a:pPr>
            <a:endParaRPr lang="ru-RU"/>
          </a:p>
        </c:txPr>
        <c:crossAx val="140660096"/>
        <c:crosses val="autoZero"/>
        <c:crossBetween val="between"/>
        <c:majorUnit val="0.2"/>
      </c:valAx>
      <c:spPr>
        <a:noFill/>
        <a:ln>
          <a:solidFill>
            <a:schemeClr val="accent1"/>
          </a:solidFill>
        </a:ln>
      </c:spPr>
    </c:plotArea>
    <c:legend>
      <c:legendPos val="t"/>
    </c:legend>
    <c:plotVisOnly val="1"/>
    <c:dispBlanksAs val="gap"/>
  </c:chart>
  <c:spPr>
    <a:ln>
      <a:noFill/>
    </a:ln>
  </c:spPr>
  <c:txPr>
    <a:bodyPr/>
    <a:lstStyle/>
    <a:p>
      <a:pPr>
        <a:defRPr>
          <a:latin typeface="Arial Narrow" panose="020B0606020202030204" pitchFamily="34" charset="0"/>
        </a:defRPr>
      </a:pPr>
      <a:endParaRPr lang="ru-RU"/>
    </a:p>
  </c:txPr>
  <c:externalData r:id="rId2"/>
</c:chartSpace>
</file>

<file path=word/charts/chart61.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27650257804892092"/>
          <c:y val="0.16921394128059591"/>
          <c:w val="0.68250275481088496"/>
          <c:h val="0.81703228956845519"/>
        </c:manualLayout>
      </c:layout>
      <c:barChart>
        <c:barDir val="bar"/>
        <c:grouping val="stacked"/>
        <c:ser>
          <c:idx val="0"/>
          <c:order val="0"/>
          <c:tx>
            <c:strRef>
              <c:f>Лист1!$B$1</c:f>
              <c:strCache>
                <c:ptCount val="1"/>
                <c:pt idx="0">
                  <c:v>Удовлетворительно</c:v>
                </c:pt>
              </c:strCache>
            </c:strRef>
          </c:tx>
          <c:spPr>
            <a:solidFill>
              <a:srgbClr val="ED7D31">
                <a:lumMod val="40000"/>
                <a:lumOff val="60000"/>
              </a:srgbClr>
            </a:solidFill>
          </c:spPr>
          <c:dLbls>
            <c:spPr>
              <a:noFill/>
              <a:ln>
                <a:no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среднее предприятие</c:v>
                </c:pt>
                <c:pt idx="1">
                  <c:v>малое предприятие</c:v>
                </c:pt>
              </c:strCache>
            </c:strRef>
          </c:cat>
          <c:val>
            <c:numRef>
              <c:f>Лист1!$B$2:$B$3</c:f>
              <c:numCache>
                <c:formatCode>0.0%</c:formatCode>
                <c:ptCount val="2"/>
                <c:pt idx="0">
                  <c:v>0.18200000000000024</c:v>
                </c:pt>
                <c:pt idx="1">
                  <c:v>0.20400000000000001</c:v>
                </c:pt>
              </c:numCache>
            </c:numRef>
          </c:val>
          <c:extLst xmlns:c16r2="http://schemas.microsoft.com/office/drawing/2015/06/chart">
            <c:ext xmlns:c16="http://schemas.microsoft.com/office/drawing/2014/chart" uri="{C3380CC4-5D6E-409C-BE32-E72D297353CC}">
              <c16:uniqueId val="{00000000-390F-4D10-B342-1222488C1E0F}"/>
            </c:ext>
          </c:extLst>
        </c:ser>
        <c:ser>
          <c:idx val="1"/>
          <c:order val="1"/>
          <c:tx>
            <c:strRef>
              <c:f>Лист1!$C$1</c:f>
              <c:strCache>
                <c:ptCount val="1"/>
                <c:pt idx="0">
                  <c:v>Неудовлетворительно</c:v>
                </c:pt>
              </c:strCache>
            </c:strRef>
          </c:tx>
          <c:spPr>
            <a:solidFill>
              <a:srgbClr val="B28AB2"/>
            </a:solidFill>
            <a:ln>
              <a:noFill/>
            </a:ln>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среднее предприятие</c:v>
                </c:pt>
                <c:pt idx="1">
                  <c:v>малое предприятие</c:v>
                </c:pt>
              </c:strCache>
            </c:strRef>
          </c:cat>
          <c:val>
            <c:numRef>
              <c:f>Лист1!$C$2:$C$3</c:f>
              <c:numCache>
                <c:formatCode>0.0%</c:formatCode>
                <c:ptCount val="2"/>
                <c:pt idx="0">
                  <c:v>0.36400000000000032</c:v>
                </c:pt>
                <c:pt idx="1">
                  <c:v>0.24400000000000024</c:v>
                </c:pt>
              </c:numCache>
            </c:numRef>
          </c:val>
          <c:extLst xmlns:c16r2="http://schemas.microsoft.com/office/drawing/2015/06/chart">
            <c:ext xmlns:c16="http://schemas.microsoft.com/office/drawing/2014/chart" uri="{C3380CC4-5D6E-409C-BE32-E72D297353CC}">
              <c16:uniqueId val="{00000001-390F-4D10-B342-1222488C1E0F}"/>
            </c:ext>
          </c:extLst>
        </c:ser>
        <c:ser>
          <c:idx val="2"/>
          <c:order val="2"/>
          <c:tx>
            <c:strRef>
              <c:f>Лист1!$D$1</c:f>
              <c:strCache>
                <c:ptCount val="1"/>
                <c:pt idx="0">
                  <c:v>Затрудняюсь ответить</c:v>
                </c:pt>
              </c:strCache>
            </c:strRef>
          </c:tx>
          <c:spPr>
            <a:solidFill>
              <a:sysClr val="window" lastClr="FFFFFF">
                <a:lumMod val="85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среднее предприятие</c:v>
                </c:pt>
                <c:pt idx="1">
                  <c:v>малое предприятие</c:v>
                </c:pt>
              </c:strCache>
            </c:strRef>
          </c:cat>
          <c:val>
            <c:numRef>
              <c:f>Лист1!$D$2:$D$3</c:f>
              <c:numCache>
                <c:formatCode>0.0%</c:formatCode>
                <c:ptCount val="2"/>
                <c:pt idx="0">
                  <c:v>0.45500000000000002</c:v>
                </c:pt>
                <c:pt idx="1">
                  <c:v>0.55200000000000005</c:v>
                </c:pt>
              </c:numCache>
            </c:numRef>
          </c:val>
          <c:extLst xmlns:c16r2="http://schemas.microsoft.com/office/drawing/2015/06/chart">
            <c:ext xmlns:c16="http://schemas.microsoft.com/office/drawing/2014/chart" uri="{C3380CC4-5D6E-409C-BE32-E72D297353CC}">
              <c16:uniqueId val="{00000002-390F-4D10-B342-1222488C1E0F}"/>
            </c:ext>
          </c:extLst>
        </c:ser>
        <c:overlap val="100"/>
        <c:axId val="141087104"/>
        <c:axId val="141088640"/>
      </c:barChart>
      <c:catAx>
        <c:axId val="141087104"/>
        <c:scaling>
          <c:orientation val="maxMin"/>
        </c:scaling>
        <c:axPos val="l"/>
        <c:numFmt formatCode="General" sourceLinked="1"/>
        <c:tickLblPos val="nextTo"/>
        <c:crossAx val="141088640"/>
        <c:crosses val="autoZero"/>
        <c:auto val="1"/>
        <c:lblAlgn val="ctr"/>
        <c:lblOffset val="100"/>
      </c:catAx>
      <c:valAx>
        <c:axId val="141088640"/>
        <c:scaling>
          <c:orientation val="minMax"/>
          <c:max val="1"/>
          <c:min val="0"/>
        </c:scaling>
        <c:delete val="1"/>
        <c:axPos val="t"/>
        <c:majorGridlines/>
        <c:numFmt formatCode="0.0%" sourceLinked="1"/>
        <c:tickLblPos val="none"/>
        <c:crossAx val="141087104"/>
        <c:crosses val="autoZero"/>
        <c:crossBetween val="between"/>
        <c:majorUnit val="0.2"/>
      </c:valAx>
      <c:spPr>
        <a:noFill/>
        <a:ln>
          <a:solidFill>
            <a:schemeClr val="accent1"/>
          </a:solidFill>
        </a:ln>
      </c:spPr>
    </c:plotArea>
    <c:legend>
      <c:legendPos val="t"/>
    </c:legend>
    <c:plotVisOnly val="1"/>
    <c:dispBlanksAs val="gap"/>
  </c:chart>
  <c:spPr>
    <a:ln>
      <a:noFill/>
    </a:ln>
  </c:spPr>
  <c:txPr>
    <a:bodyPr/>
    <a:lstStyle/>
    <a:p>
      <a:pPr>
        <a:defRPr>
          <a:latin typeface="Arial Narrow" panose="020B0606020202030204" pitchFamily="34" charset="0"/>
        </a:defRPr>
      </a:pPr>
      <a:endParaRPr lang="ru-RU"/>
    </a:p>
  </c:txPr>
</c:chartSpace>
</file>

<file path=word/charts/chart62.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27650257804892092"/>
          <c:y val="7.0470315936984898E-2"/>
          <c:w val="0.68250275481088496"/>
          <c:h val="0.92133243738405779"/>
        </c:manualLayout>
      </c:layout>
      <c:barChart>
        <c:barDir val="bar"/>
        <c:grouping val="stacked"/>
        <c:ser>
          <c:idx val="0"/>
          <c:order val="0"/>
          <c:tx>
            <c:strRef>
              <c:f>Лист1!$B$1</c:f>
              <c:strCache>
                <c:ptCount val="1"/>
                <c:pt idx="0">
                  <c:v>Удовлетворительно</c:v>
                </c:pt>
              </c:strCache>
            </c:strRef>
          </c:tx>
          <c:spPr>
            <a:solidFill>
              <a:srgbClr val="ED7D31">
                <a:lumMod val="40000"/>
                <a:lumOff val="60000"/>
              </a:srgbClr>
            </a:solidFill>
          </c:spPr>
          <c:dLbls>
            <c:dLbl>
              <c:idx val="3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9A4D-4DD2-960D-1A57580BAF65}"/>
                </c:ext>
              </c:extLst>
            </c:dLbl>
            <c:dLbl>
              <c:idx val="3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9A4D-4DD2-960D-1A57580BAF65}"/>
                </c:ext>
              </c:extLst>
            </c:dLbl>
            <c:dLbl>
              <c:idx val="3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9A4D-4DD2-960D-1A57580BAF65}"/>
                </c:ext>
              </c:extLst>
            </c:dLbl>
            <c:dLbl>
              <c:idx val="3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9A4D-4DD2-960D-1A57580BAF65}"/>
                </c:ext>
              </c:extLst>
            </c:dLbl>
            <c:dLbl>
              <c:idx val="3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9A4D-4DD2-960D-1A57580BAF65}"/>
                </c:ext>
              </c:extLst>
            </c:dLbl>
            <c:spPr>
              <a:noFill/>
              <a:ln>
                <a:no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Колыванский МР</c:v>
                </c:pt>
                <c:pt idx="1">
                  <c:v>Усть-Таркский МР</c:v>
                </c:pt>
                <c:pt idx="2">
                  <c:v>Татарский МР</c:v>
                </c:pt>
                <c:pt idx="3">
                  <c:v>Карасукский МР</c:v>
                </c:pt>
                <c:pt idx="4">
                  <c:v>Чулымский МР</c:v>
                </c:pt>
                <c:pt idx="5">
                  <c:v>Куйбышевский МР</c:v>
                </c:pt>
                <c:pt idx="6">
                  <c:v>Маслянинский МР</c:v>
                </c:pt>
                <c:pt idx="7">
                  <c:v>Ордынский МР</c:v>
                </c:pt>
                <c:pt idx="8">
                  <c:v>Чистоозерный МР</c:v>
                </c:pt>
                <c:pt idx="9">
                  <c:v>Черепановский МР</c:v>
                </c:pt>
                <c:pt idx="10">
                  <c:v>г. Искитим</c:v>
                </c:pt>
                <c:pt idx="11">
                  <c:v>Барабинский МР</c:v>
                </c:pt>
                <c:pt idx="12">
                  <c:v>Коченевский МР</c:v>
                </c:pt>
                <c:pt idx="13">
                  <c:v>Доволенский МР</c:v>
                </c:pt>
                <c:pt idx="14">
                  <c:v>г. Обь</c:v>
                </c:pt>
                <c:pt idx="15">
                  <c:v>Мошковский МР</c:v>
                </c:pt>
                <c:pt idx="16">
                  <c:v>Тогучинский МР</c:v>
                </c:pt>
                <c:pt idx="17">
                  <c:v>Купинский МР</c:v>
                </c:pt>
                <c:pt idx="18">
                  <c:v>г. Новосибирск</c:v>
                </c:pt>
                <c:pt idx="19">
                  <c:v>Здвинский МР</c:v>
                </c:pt>
                <c:pt idx="20">
                  <c:v>Кыштовский МР</c:v>
                </c:pt>
                <c:pt idx="21">
                  <c:v>Болотнинский МР</c:v>
                </c:pt>
                <c:pt idx="22">
                  <c:v>г. Бердск</c:v>
                </c:pt>
                <c:pt idx="23">
                  <c:v>Чановский МР</c:v>
                </c:pt>
                <c:pt idx="24">
                  <c:v>Убинский МР</c:v>
                </c:pt>
                <c:pt idx="25">
                  <c:v>Баганский МР</c:v>
                </c:pt>
                <c:pt idx="26">
                  <c:v>Краснозерский МР</c:v>
                </c:pt>
                <c:pt idx="27">
                  <c:v>Сузунский МР</c:v>
                </c:pt>
                <c:pt idx="28">
                  <c:v>Искитимский МР</c:v>
                </c:pt>
                <c:pt idx="29">
                  <c:v>Новосибирский МР</c:v>
                </c:pt>
                <c:pt idx="30">
                  <c:v>Венгеровский МР</c:v>
                </c:pt>
                <c:pt idx="31">
                  <c:v>Каргатский МР</c:v>
                </c:pt>
                <c:pt idx="32">
                  <c:v>Кочковский МР</c:v>
                </c:pt>
                <c:pt idx="33">
                  <c:v>р. п. Кольцово</c:v>
                </c:pt>
                <c:pt idx="34">
                  <c:v>Северный МР</c:v>
                </c:pt>
              </c:strCache>
            </c:strRef>
          </c:cat>
          <c:val>
            <c:numRef>
              <c:f>Лист1!$B$2:$B$36</c:f>
              <c:numCache>
                <c:formatCode>0.0%</c:formatCode>
                <c:ptCount val="35"/>
                <c:pt idx="0">
                  <c:v>0.52200000000000002</c:v>
                </c:pt>
                <c:pt idx="1">
                  <c:v>0.5</c:v>
                </c:pt>
                <c:pt idx="2">
                  <c:v>0.44400000000000001</c:v>
                </c:pt>
                <c:pt idx="3">
                  <c:v>0.41200000000000031</c:v>
                </c:pt>
                <c:pt idx="4">
                  <c:v>0.4</c:v>
                </c:pt>
                <c:pt idx="5">
                  <c:v>0.38500000000000351</c:v>
                </c:pt>
                <c:pt idx="6">
                  <c:v>0.38500000000000351</c:v>
                </c:pt>
                <c:pt idx="7">
                  <c:v>0.36800000000000038</c:v>
                </c:pt>
                <c:pt idx="8">
                  <c:v>0.36400000000000032</c:v>
                </c:pt>
                <c:pt idx="9">
                  <c:v>0.36100000000000032</c:v>
                </c:pt>
                <c:pt idx="10">
                  <c:v>0.35200000000000031</c:v>
                </c:pt>
                <c:pt idx="11">
                  <c:v>0.31600000000000317</c:v>
                </c:pt>
                <c:pt idx="12">
                  <c:v>0.30800000000000038</c:v>
                </c:pt>
                <c:pt idx="13">
                  <c:v>0.28600000000000031</c:v>
                </c:pt>
                <c:pt idx="14">
                  <c:v>0.25</c:v>
                </c:pt>
                <c:pt idx="15">
                  <c:v>0.222</c:v>
                </c:pt>
                <c:pt idx="16">
                  <c:v>0.20800000000000021</c:v>
                </c:pt>
                <c:pt idx="17">
                  <c:v>0.2</c:v>
                </c:pt>
                <c:pt idx="18">
                  <c:v>0.17500000000000004</c:v>
                </c:pt>
                <c:pt idx="19">
                  <c:v>0.16700000000000001</c:v>
                </c:pt>
                <c:pt idx="20">
                  <c:v>0.16700000000000001</c:v>
                </c:pt>
                <c:pt idx="21">
                  <c:v>0.15400000000000041</c:v>
                </c:pt>
                <c:pt idx="22">
                  <c:v>0.15400000000000041</c:v>
                </c:pt>
                <c:pt idx="23">
                  <c:v>0.15200000000000041</c:v>
                </c:pt>
                <c:pt idx="24">
                  <c:v>0.14300000000000004</c:v>
                </c:pt>
                <c:pt idx="25">
                  <c:v>0.125</c:v>
                </c:pt>
                <c:pt idx="26">
                  <c:v>0.125</c:v>
                </c:pt>
                <c:pt idx="27">
                  <c:v>0.125</c:v>
                </c:pt>
                <c:pt idx="28">
                  <c:v>0.11799999999999998</c:v>
                </c:pt>
                <c:pt idx="29">
                  <c:v>9.1000000000000025E-2</c:v>
                </c:pt>
                <c:pt idx="30">
                  <c:v>0</c:v>
                </c:pt>
                <c:pt idx="31">
                  <c:v>0</c:v>
                </c:pt>
                <c:pt idx="32">
                  <c:v>0</c:v>
                </c:pt>
                <c:pt idx="33">
                  <c:v>0</c:v>
                </c:pt>
                <c:pt idx="34">
                  <c:v>0</c:v>
                </c:pt>
              </c:numCache>
            </c:numRef>
          </c:val>
          <c:extLst xmlns:c16r2="http://schemas.microsoft.com/office/drawing/2015/06/chart">
            <c:ext xmlns:c16="http://schemas.microsoft.com/office/drawing/2014/chart" uri="{C3380CC4-5D6E-409C-BE32-E72D297353CC}">
              <c16:uniqueId val="{00000000-7FBA-41E4-8D4E-8A20CE1CCB49}"/>
            </c:ext>
          </c:extLst>
        </c:ser>
        <c:ser>
          <c:idx val="1"/>
          <c:order val="1"/>
          <c:tx>
            <c:strRef>
              <c:f>Лист1!$C$1</c:f>
              <c:strCache>
                <c:ptCount val="1"/>
                <c:pt idx="0">
                  <c:v>Неудовлетворительно</c:v>
                </c:pt>
              </c:strCache>
            </c:strRef>
          </c:tx>
          <c:spPr>
            <a:solidFill>
              <a:srgbClr val="B28AB2"/>
            </a:solidFill>
            <a:ln>
              <a:noFill/>
            </a:ln>
          </c:spPr>
          <c:dLbls>
            <c:dLbl>
              <c:idx val="3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9A4D-4DD2-960D-1A57580BAF65}"/>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Колыванский МР</c:v>
                </c:pt>
                <c:pt idx="1">
                  <c:v>Усть-Таркский МР</c:v>
                </c:pt>
                <c:pt idx="2">
                  <c:v>Татарский МР</c:v>
                </c:pt>
                <c:pt idx="3">
                  <c:v>Карасукский МР</c:v>
                </c:pt>
                <c:pt idx="4">
                  <c:v>Чулымский МР</c:v>
                </c:pt>
                <c:pt idx="5">
                  <c:v>Куйбышевский МР</c:v>
                </c:pt>
                <c:pt idx="6">
                  <c:v>Маслянинский МР</c:v>
                </c:pt>
                <c:pt idx="7">
                  <c:v>Ордынский МР</c:v>
                </c:pt>
                <c:pt idx="8">
                  <c:v>Чистоозерный МР</c:v>
                </c:pt>
                <c:pt idx="9">
                  <c:v>Черепановский МР</c:v>
                </c:pt>
                <c:pt idx="10">
                  <c:v>г. Искитим</c:v>
                </c:pt>
                <c:pt idx="11">
                  <c:v>Барабинский МР</c:v>
                </c:pt>
                <c:pt idx="12">
                  <c:v>Коченевский МР</c:v>
                </c:pt>
                <c:pt idx="13">
                  <c:v>Доволенский МР</c:v>
                </c:pt>
                <c:pt idx="14">
                  <c:v>г. Обь</c:v>
                </c:pt>
                <c:pt idx="15">
                  <c:v>Мошковский МР</c:v>
                </c:pt>
                <c:pt idx="16">
                  <c:v>Тогучинский МР</c:v>
                </c:pt>
                <c:pt idx="17">
                  <c:v>Купинский МР</c:v>
                </c:pt>
                <c:pt idx="18">
                  <c:v>г. Новосибирск</c:v>
                </c:pt>
                <c:pt idx="19">
                  <c:v>Здвинский МР</c:v>
                </c:pt>
                <c:pt idx="20">
                  <c:v>Кыштовский МР</c:v>
                </c:pt>
                <c:pt idx="21">
                  <c:v>Болотнинский МР</c:v>
                </c:pt>
                <c:pt idx="22">
                  <c:v>г. Бердск</c:v>
                </c:pt>
                <c:pt idx="23">
                  <c:v>Чановский МР</c:v>
                </c:pt>
                <c:pt idx="24">
                  <c:v>Убинский МР</c:v>
                </c:pt>
                <c:pt idx="25">
                  <c:v>Баганский МР</c:v>
                </c:pt>
                <c:pt idx="26">
                  <c:v>Краснозерский МР</c:v>
                </c:pt>
                <c:pt idx="27">
                  <c:v>Сузунский МР</c:v>
                </c:pt>
                <c:pt idx="28">
                  <c:v>Искитимский МР</c:v>
                </c:pt>
                <c:pt idx="29">
                  <c:v>Новосибирский МР</c:v>
                </c:pt>
                <c:pt idx="30">
                  <c:v>Венгеровский МР</c:v>
                </c:pt>
                <c:pt idx="31">
                  <c:v>Каргатский МР</c:v>
                </c:pt>
                <c:pt idx="32">
                  <c:v>Кочковский МР</c:v>
                </c:pt>
                <c:pt idx="33">
                  <c:v>р. п. Кольцово</c:v>
                </c:pt>
                <c:pt idx="34">
                  <c:v>Северный МР</c:v>
                </c:pt>
              </c:strCache>
            </c:strRef>
          </c:cat>
          <c:val>
            <c:numRef>
              <c:f>Лист1!$C$2:$C$36</c:f>
              <c:numCache>
                <c:formatCode>0.0%</c:formatCode>
                <c:ptCount val="35"/>
                <c:pt idx="0">
                  <c:v>0.39100000000000357</c:v>
                </c:pt>
                <c:pt idx="1">
                  <c:v>0.16700000000000001</c:v>
                </c:pt>
                <c:pt idx="2">
                  <c:v>0.33300000000000402</c:v>
                </c:pt>
                <c:pt idx="3">
                  <c:v>0.41200000000000031</c:v>
                </c:pt>
                <c:pt idx="4">
                  <c:v>0.46700000000000008</c:v>
                </c:pt>
                <c:pt idx="5">
                  <c:v>0.42300000000000032</c:v>
                </c:pt>
                <c:pt idx="6">
                  <c:v>0.38500000000000351</c:v>
                </c:pt>
                <c:pt idx="7">
                  <c:v>0.26300000000000001</c:v>
                </c:pt>
                <c:pt idx="8">
                  <c:v>0.27300000000000002</c:v>
                </c:pt>
                <c:pt idx="9">
                  <c:v>0.222</c:v>
                </c:pt>
                <c:pt idx="10">
                  <c:v>0.31500000000000311</c:v>
                </c:pt>
                <c:pt idx="11">
                  <c:v>0.36800000000000038</c:v>
                </c:pt>
                <c:pt idx="12">
                  <c:v>0.46200000000000002</c:v>
                </c:pt>
                <c:pt idx="13">
                  <c:v>0.42900000000000038</c:v>
                </c:pt>
                <c:pt idx="14">
                  <c:v>0.3930000000000039</c:v>
                </c:pt>
                <c:pt idx="15">
                  <c:v>0.222</c:v>
                </c:pt>
                <c:pt idx="16">
                  <c:v>0.37500000000000311</c:v>
                </c:pt>
                <c:pt idx="17">
                  <c:v>0.33300000000000402</c:v>
                </c:pt>
                <c:pt idx="18">
                  <c:v>0.21000000000000021</c:v>
                </c:pt>
                <c:pt idx="19">
                  <c:v>0.16700000000000001</c:v>
                </c:pt>
                <c:pt idx="20">
                  <c:v>0.66700000000000803</c:v>
                </c:pt>
                <c:pt idx="21">
                  <c:v>0.38500000000000351</c:v>
                </c:pt>
                <c:pt idx="22">
                  <c:v>0.17900000000000021</c:v>
                </c:pt>
                <c:pt idx="23">
                  <c:v>6.1000000000000013E-2</c:v>
                </c:pt>
                <c:pt idx="24">
                  <c:v>0.14300000000000004</c:v>
                </c:pt>
                <c:pt idx="25">
                  <c:v>0.125</c:v>
                </c:pt>
                <c:pt idx="26">
                  <c:v>0.37500000000000311</c:v>
                </c:pt>
                <c:pt idx="27">
                  <c:v>0.5</c:v>
                </c:pt>
                <c:pt idx="28">
                  <c:v>0.47100000000000031</c:v>
                </c:pt>
                <c:pt idx="29">
                  <c:v>9.1000000000000025E-2</c:v>
                </c:pt>
                <c:pt idx="30">
                  <c:v>0.57099999999999995</c:v>
                </c:pt>
                <c:pt idx="31">
                  <c:v>0.33300000000000402</c:v>
                </c:pt>
                <c:pt idx="32">
                  <c:v>0.28600000000000031</c:v>
                </c:pt>
                <c:pt idx="33">
                  <c:v>0</c:v>
                </c:pt>
                <c:pt idx="34">
                  <c:v>0.83300000000000063</c:v>
                </c:pt>
              </c:numCache>
            </c:numRef>
          </c:val>
          <c:extLst xmlns:c16r2="http://schemas.microsoft.com/office/drawing/2015/06/chart">
            <c:ext xmlns:c16="http://schemas.microsoft.com/office/drawing/2014/chart" uri="{C3380CC4-5D6E-409C-BE32-E72D297353CC}">
              <c16:uniqueId val="{00000001-7FBA-41E4-8D4E-8A20CE1CCB49}"/>
            </c:ext>
          </c:extLst>
        </c:ser>
        <c:ser>
          <c:idx val="2"/>
          <c:order val="2"/>
          <c:tx>
            <c:strRef>
              <c:f>Лист1!$D$1</c:f>
              <c:strCache>
                <c:ptCount val="1"/>
                <c:pt idx="0">
                  <c:v>Затрудняюсь ответить</c:v>
                </c:pt>
              </c:strCache>
            </c:strRef>
          </c:tx>
          <c:spPr>
            <a:solidFill>
              <a:sysClr val="window" lastClr="FFFFFF">
                <a:lumMod val="85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Колыванский МР</c:v>
                </c:pt>
                <c:pt idx="1">
                  <c:v>Усть-Таркский МР</c:v>
                </c:pt>
                <c:pt idx="2">
                  <c:v>Татарский МР</c:v>
                </c:pt>
                <c:pt idx="3">
                  <c:v>Карасукский МР</c:v>
                </c:pt>
                <c:pt idx="4">
                  <c:v>Чулымский МР</c:v>
                </c:pt>
                <c:pt idx="5">
                  <c:v>Куйбышевский МР</c:v>
                </c:pt>
                <c:pt idx="6">
                  <c:v>Маслянинский МР</c:v>
                </c:pt>
                <c:pt idx="7">
                  <c:v>Ордынский МР</c:v>
                </c:pt>
                <c:pt idx="8">
                  <c:v>Чистоозерный МР</c:v>
                </c:pt>
                <c:pt idx="9">
                  <c:v>Черепановский МР</c:v>
                </c:pt>
                <c:pt idx="10">
                  <c:v>г. Искитим</c:v>
                </c:pt>
                <c:pt idx="11">
                  <c:v>Барабинский МР</c:v>
                </c:pt>
                <c:pt idx="12">
                  <c:v>Коченевский МР</c:v>
                </c:pt>
                <c:pt idx="13">
                  <c:v>Доволенский МР</c:v>
                </c:pt>
                <c:pt idx="14">
                  <c:v>г. Обь</c:v>
                </c:pt>
                <c:pt idx="15">
                  <c:v>Мошковский МР</c:v>
                </c:pt>
                <c:pt idx="16">
                  <c:v>Тогучинский МР</c:v>
                </c:pt>
                <c:pt idx="17">
                  <c:v>Купинский МР</c:v>
                </c:pt>
                <c:pt idx="18">
                  <c:v>г. Новосибирск</c:v>
                </c:pt>
                <c:pt idx="19">
                  <c:v>Здвинский МР</c:v>
                </c:pt>
                <c:pt idx="20">
                  <c:v>Кыштовский МР</c:v>
                </c:pt>
                <c:pt idx="21">
                  <c:v>Болотнинский МР</c:v>
                </c:pt>
                <c:pt idx="22">
                  <c:v>г. Бердск</c:v>
                </c:pt>
                <c:pt idx="23">
                  <c:v>Чановский МР</c:v>
                </c:pt>
                <c:pt idx="24">
                  <c:v>Убинский МР</c:v>
                </c:pt>
                <c:pt idx="25">
                  <c:v>Баганский МР</c:v>
                </c:pt>
                <c:pt idx="26">
                  <c:v>Краснозерский МР</c:v>
                </c:pt>
                <c:pt idx="27">
                  <c:v>Сузунский МР</c:v>
                </c:pt>
                <c:pt idx="28">
                  <c:v>Искитимский МР</c:v>
                </c:pt>
                <c:pt idx="29">
                  <c:v>Новосибирский МР</c:v>
                </c:pt>
                <c:pt idx="30">
                  <c:v>Венгеровский МР</c:v>
                </c:pt>
                <c:pt idx="31">
                  <c:v>Каргатский МР</c:v>
                </c:pt>
                <c:pt idx="32">
                  <c:v>Кочковский МР</c:v>
                </c:pt>
                <c:pt idx="33">
                  <c:v>р. п. Кольцово</c:v>
                </c:pt>
                <c:pt idx="34">
                  <c:v>Северный МР</c:v>
                </c:pt>
              </c:strCache>
            </c:strRef>
          </c:cat>
          <c:val>
            <c:numRef>
              <c:f>Лист1!$D$2:$D$36</c:f>
              <c:numCache>
                <c:formatCode>0.0%</c:formatCode>
                <c:ptCount val="35"/>
                <c:pt idx="0">
                  <c:v>8.7000000000000022E-2</c:v>
                </c:pt>
                <c:pt idx="1">
                  <c:v>0.33300000000000402</c:v>
                </c:pt>
                <c:pt idx="2">
                  <c:v>0.222</c:v>
                </c:pt>
                <c:pt idx="3">
                  <c:v>0.17600000000000021</c:v>
                </c:pt>
                <c:pt idx="4">
                  <c:v>0.13300000000000001</c:v>
                </c:pt>
                <c:pt idx="5">
                  <c:v>0.192</c:v>
                </c:pt>
                <c:pt idx="6">
                  <c:v>0.23100000000000001</c:v>
                </c:pt>
                <c:pt idx="7">
                  <c:v>0.36800000000000038</c:v>
                </c:pt>
                <c:pt idx="8">
                  <c:v>0.36400000000000032</c:v>
                </c:pt>
                <c:pt idx="9">
                  <c:v>0.41700000000000031</c:v>
                </c:pt>
                <c:pt idx="10">
                  <c:v>0.33300000000000402</c:v>
                </c:pt>
                <c:pt idx="11">
                  <c:v>0.31600000000000317</c:v>
                </c:pt>
                <c:pt idx="12">
                  <c:v>0.23100000000000001</c:v>
                </c:pt>
                <c:pt idx="13">
                  <c:v>0.28600000000000031</c:v>
                </c:pt>
                <c:pt idx="14">
                  <c:v>0.35700000000000032</c:v>
                </c:pt>
                <c:pt idx="15">
                  <c:v>0.55600000000000005</c:v>
                </c:pt>
                <c:pt idx="16">
                  <c:v>0.41700000000000031</c:v>
                </c:pt>
                <c:pt idx="17">
                  <c:v>0.46700000000000008</c:v>
                </c:pt>
                <c:pt idx="18">
                  <c:v>0.61500000000000365</c:v>
                </c:pt>
                <c:pt idx="19">
                  <c:v>0.66700000000000803</c:v>
                </c:pt>
                <c:pt idx="20">
                  <c:v>0.16700000000000001</c:v>
                </c:pt>
                <c:pt idx="21">
                  <c:v>0.46200000000000002</c:v>
                </c:pt>
                <c:pt idx="22">
                  <c:v>0.66700000000000803</c:v>
                </c:pt>
                <c:pt idx="23">
                  <c:v>0.78800000000000003</c:v>
                </c:pt>
                <c:pt idx="24">
                  <c:v>0.71400000000000063</c:v>
                </c:pt>
                <c:pt idx="25">
                  <c:v>0.75000000000000633</c:v>
                </c:pt>
                <c:pt idx="26">
                  <c:v>0.5</c:v>
                </c:pt>
                <c:pt idx="27">
                  <c:v>0.37500000000000311</c:v>
                </c:pt>
                <c:pt idx="28">
                  <c:v>0.41200000000000031</c:v>
                </c:pt>
                <c:pt idx="29">
                  <c:v>0.81799999999999995</c:v>
                </c:pt>
                <c:pt idx="30">
                  <c:v>0.42900000000000038</c:v>
                </c:pt>
                <c:pt idx="31">
                  <c:v>0.66700000000000803</c:v>
                </c:pt>
                <c:pt idx="32">
                  <c:v>0.71400000000000063</c:v>
                </c:pt>
                <c:pt idx="33">
                  <c:v>1</c:v>
                </c:pt>
                <c:pt idx="34">
                  <c:v>0.16700000000000001</c:v>
                </c:pt>
              </c:numCache>
            </c:numRef>
          </c:val>
          <c:extLst xmlns:c16r2="http://schemas.microsoft.com/office/drawing/2015/06/chart">
            <c:ext xmlns:c16="http://schemas.microsoft.com/office/drawing/2014/chart" uri="{C3380CC4-5D6E-409C-BE32-E72D297353CC}">
              <c16:uniqueId val="{00000002-7FBA-41E4-8D4E-8A20CE1CCB49}"/>
            </c:ext>
          </c:extLst>
        </c:ser>
        <c:overlap val="100"/>
        <c:axId val="141045120"/>
        <c:axId val="140924032"/>
      </c:barChart>
      <c:catAx>
        <c:axId val="141045120"/>
        <c:scaling>
          <c:orientation val="maxMin"/>
        </c:scaling>
        <c:axPos val="l"/>
        <c:numFmt formatCode="General" sourceLinked="1"/>
        <c:tickLblPos val="nextTo"/>
        <c:crossAx val="140924032"/>
        <c:crosses val="autoZero"/>
        <c:auto val="1"/>
        <c:lblAlgn val="ctr"/>
        <c:lblOffset val="100"/>
      </c:catAx>
      <c:valAx>
        <c:axId val="140924032"/>
        <c:scaling>
          <c:orientation val="minMax"/>
          <c:max val="1"/>
          <c:min val="0"/>
        </c:scaling>
        <c:axPos val="t"/>
        <c:majorGridlines/>
        <c:numFmt formatCode="0.0%" sourceLinked="1"/>
        <c:tickLblPos val="nextTo"/>
        <c:crossAx val="141045120"/>
        <c:crosses val="autoZero"/>
        <c:crossBetween val="between"/>
        <c:majorUnit val="0.2"/>
      </c:valAx>
      <c:spPr>
        <a:noFill/>
        <a:ln>
          <a:solidFill>
            <a:schemeClr val="accent1"/>
          </a:solidFill>
        </a:ln>
      </c:spPr>
    </c:plotArea>
    <c:legend>
      <c:legendPos val="t"/>
    </c:legend>
    <c:plotVisOnly val="1"/>
    <c:dispBlanksAs val="gap"/>
  </c:chart>
  <c:spPr>
    <a:ln>
      <a:noFill/>
    </a:ln>
  </c:spPr>
  <c:txPr>
    <a:bodyPr/>
    <a:lstStyle/>
    <a:p>
      <a:pPr>
        <a:defRPr>
          <a:latin typeface="Arial Narrow" panose="020B0606020202030204" pitchFamily="34" charset="0"/>
        </a:defRPr>
      </a:pPr>
      <a:endParaRPr lang="ru-RU"/>
    </a:p>
  </c:txPr>
  <c:externalData r:id="rId2"/>
</c:chartSpace>
</file>

<file path=word/charts/chart63.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53489387736830774"/>
          <c:y val="7.6190911549699314E-2"/>
          <c:w val="0.58564024253760005"/>
          <c:h val="0.91005535048322161"/>
        </c:manualLayout>
      </c:layout>
      <c:barChart>
        <c:barDir val="bar"/>
        <c:grouping val="stacked"/>
        <c:ser>
          <c:idx val="0"/>
          <c:order val="0"/>
          <c:tx>
            <c:strRef>
              <c:f>Лист1!$B$1</c:f>
              <c:strCache>
                <c:ptCount val="1"/>
                <c:pt idx="0">
                  <c:v>Удовлетворительно</c:v>
                </c:pt>
              </c:strCache>
            </c:strRef>
          </c:tx>
          <c:spPr>
            <a:solidFill>
              <a:srgbClr val="ED7D31">
                <a:lumMod val="40000"/>
                <a:lumOff val="60000"/>
              </a:srgbClr>
            </a:solidFill>
          </c:spPr>
          <c:dLbls>
            <c:dLbl>
              <c:idx val="1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F0B5-4DDA-91E0-395C1CC09AC2}"/>
                </c:ext>
              </c:extLst>
            </c:dLbl>
            <c:dLbl>
              <c:idx val="1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F0B5-4DDA-91E0-395C1CC09AC2}"/>
                </c:ext>
              </c:extLst>
            </c:dLbl>
            <c:dLbl>
              <c:idx val="1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F0B5-4DDA-91E0-395C1CC09AC2}"/>
                </c:ext>
              </c:extLst>
            </c:dLbl>
            <c:spPr>
              <a:noFill/>
              <a:ln>
                <a:no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ЖКХ</c:v>
                </c:pt>
                <c:pt idx="1">
                  <c:v>Рынок развития, производства, переработки и хранения с‎\х продукции</c:v>
                </c:pt>
                <c:pt idx="2">
                  <c:v>Розничная торговля</c:v>
                </c:pt>
                <c:pt idx="3">
                  <c:v>Рынок услуг дополнительного образования детей</c:v>
                </c:pt>
                <c:pt idx="4">
                  <c:v>Рынок услуг психолого-педагогического сопровождения детей с ограниченными возможностями здоровья</c:v>
                </c:pt>
                <c:pt idx="5">
                  <c:v>Рынок услуг в сфере культуры</c:v>
                </c:pt>
                <c:pt idx="6">
                  <c:v>Рынок медицинских услуг</c:v>
                </c:pt>
                <c:pt idx="7">
                  <c:v>Рынок услуг по сбору, сортировке и переработке твердых коммунальных (бытовых) отходов</c:v>
                </c:pt>
                <c:pt idx="8">
                  <c:v>Рынок услуг связи</c:v>
                </c:pt>
                <c:pt idx="9">
                  <c:v>Рынок услуг социального обслуживания населения</c:v>
                </c:pt>
                <c:pt idx="10">
                  <c:v>Рынок услуг дошкольного образования</c:v>
                </c:pt>
                <c:pt idx="11">
                  <c:v>Рынок услуг детского отдыха и оздоровления</c:v>
                </c:pt>
                <c:pt idx="12">
                  <c:v>Рынок услуг перевозок пассажиров наземным транспортом</c:v>
                </c:pt>
              </c:strCache>
            </c:strRef>
          </c:cat>
          <c:val>
            <c:numRef>
              <c:f>Лист1!$B$2:$B$14</c:f>
              <c:numCache>
                <c:formatCode>0.0%</c:formatCode>
                <c:ptCount val="13"/>
                <c:pt idx="0">
                  <c:v>0.2</c:v>
                </c:pt>
                <c:pt idx="1">
                  <c:v>0.18000000000000024</c:v>
                </c:pt>
                <c:pt idx="2">
                  <c:v>0.13900000000000001</c:v>
                </c:pt>
                <c:pt idx="3">
                  <c:v>0.12000000000000002</c:v>
                </c:pt>
                <c:pt idx="4">
                  <c:v>0.12000000000000002</c:v>
                </c:pt>
                <c:pt idx="5">
                  <c:v>0.12000000000000002</c:v>
                </c:pt>
                <c:pt idx="6">
                  <c:v>0.114</c:v>
                </c:pt>
                <c:pt idx="7">
                  <c:v>0.1</c:v>
                </c:pt>
                <c:pt idx="8">
                  <c:v>8.0000000000000043E-2</c:v>
                </c:pt>
                <c:pt idx="9">
                  <c:v>8.0000000000000043E-2</c:v>
                </c:pt>
                <c:pt idx="10">
                  <c:v>0</c:v>
                </c:pt>
                <c:pt idx="11">
                  <c:v>0</c:v>
                </c:pt>
                <c:pt idx="12">
                  <c:v>0</c:v>
                </c:pt>
              </c:numCache>
            </c:numRef>
          </c:val>
          <c:extLst xmlns:c16r2="http://schemas.microsoft.com/office/drawing/2015/06/chart">
            <c:ext xmlns:c16="http://schemas.microsoft.com/office/drawing/2014/chart" uri="{C3380CC4-5D6E-409C-BE32-E72D297353CC}">
              <c16:uniqueId val="{00000003-F0B5-4DDA-91E0-395C1CC09AC2}"/>
            </c:ext>
          </c:extLst>
        </c:ser>
        <c:ser>
          <c:idx val="1"/>
          <c:order val="1"/>
          <c:tx>
            <c:strRef>
              <c:f>Лист1!$C$1</c:f>
              <c:strCache>
                <c:ptCount val="1"/>
                <c:pt idx="0">
                  <c:v>Неудовлетворительно</c:v>
                </c:pt>
              </c:strCache>
            </c:strRef>
          </c:tx>
          <c:spPr>
            <a:solidFill>
              <a:srgbClr val="B28AB2"/>
            </a:solidFill>
            <a:ln>
              <a:noFill/>
            </a:ln>
          </c:spPr>
          <c:dLbls>
            <c:dLbl>
              <c:idx val="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F0B5-4DDA-91E0-395C1CC09AC2}"/>
                </c:ext>
              </c:extLst>
            </c:dLbl>
            <c:dLbl>
              <c:idx val="1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F0B5-4DDA-91E0-395C1CC09AC2}"/>
                </c:ext>
              </c:extLst>
            </c:dLbl>
            <c:dLbl>
              <c:idx val="1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F0B5-4DDA-91E0-395C1CC09AC2}"/>
                </c:ext>
              </c:extLst>
            </c:dLbl>
            <c:dLbl>
              <c:idx val="12"/>
              <c:layout>
                <c:manualLayout>
                  <c:x val="1.5899831064294868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F0B5-4DDA-91E0-395C1CC09AC2}"/>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ЖКХ</c:v>
                </c:pt>
                <c:pt idx="1">
                  <c:v>Рынок развития, производства, переработки и хранения с‎\х продукции</c:v>
                </c:pt>
                <c:pt idx="2">
                  <c:v>Розничная торговля</c:v>
                </c:pt>
                <c:pt idx="3">
                  <c:v>Рынок услуг дополнительного образования детей</c:v>
                </c:pt>
                <c:pt idx="4">
                  <c:v>Рынок услуг психолого-педагогического сопровождения детей с ограниченными возможностями здоровья</c:v>
                </c:pt>
                <c:pt idx="5">
                  <c:v>Рынок услуг в сфере культуры</c:v>
                </c:pt>
                <c:pt idx="6">
                  <c:v>Рынок медицинских услуг</c:v>
                </c:pt>
                <c:pt idx="7">
                  <c:v>Рынок услуг по сбору, сортировке и переработке твердых коммунальных (бытовых) отходов</c:v>
                </c:pt>
                <c:pt idx="8">
                  <c:v>Рынок услуг связи</c:v>
                </c:pt>
                <c:pt idx="9">
                  <c:v>Рынок услуг социального обслуживания населения</c:v>
                </c:pt>
                <c:pt idx="10">
                  <c:v>Рынок услуг дошкольного образования</c:v>
                </c:pt>
                <c:pt idx="11">
                  <c:v>Рынок услуг детского отдыха и оздоровления</c:v>
                </c:pt>
                <c:pt idx="12">
                  <c:v>Рынок услуг перевозок пассажиров наземным транспортом</c:v>
                </c:pt>
              </c:strCache>
            </c:strRef>
          </c:cat>
          <c:val>
            <c:numRef>
              <c:f>Лист1!$C$2:$C$14</c:f>
              <c:numCache>
                <c:formatCode>0.0%</c:formatCode>
                <c:ptCount val="13"/>
                <c:pt idx="0">
                  <c:v>0.21400000000000041</c:v>
                </c:pt>
                <c:pt idx="1">
                  <c:v>0.17</c:v>
                </c:pt>
                <c:pt idx="2">
                  <c:v>0.30000000000000032</c:v>
                </c:pt>
                <c:pt idx="3">
                  <c:v>0.2</c:v>
                </c:pt>
                <c:pt idx="4">
                  <c:v>0</c:v>
                </c:pt>
                <c:pt idx="5">
                  <c:v>0.2</c:v>
                </c:pt>
                <c:pt idx="6">
                  <c:v>0.2</c:v>
                </c:pt>
                <c:pt idx="7">
                  <c:v>0.4</c:v>
                </c:pt>
                <c:pt idx="8">
                  <c:v>0.16</c:v>
                </c:pt>
                <c:pt idx="9">
                  <c:v>0.12000000000000002</c:v>
                </c:pt>
                <c:pt idx="10">
                  <c:v>0</c:v>
                </c:pt>
                <c:pt idx="11">
                  <c:v>0</c:v>
                </c:pt>
                <c:pt idx="12">
                  <c:v>6.7000000000000004E-2</c:v>
                </c:pt>
              </c:numCache>
            </c:numRef>
          </c:val>
          <c:extLst xmlns:c16r2="http://schemas.microsoft.com/office/drawing/2015/06/chart">
            <c:ext xmlns:c16="http://schemas.microsoft.com/office/drawing/2014/chart" uri="{C3380CC4-5D6E-409C-BE32-E72D297353CC}">
              <c16:uniqueId val="{00000008-F0B5-4DDA-91E0-395C1CC09AC2}"/>
            </c:ext>
          </c:extLst>
        </c:ser>
        <c:ser>
          <c:idx val="2"/>
          <c:order val="2"/>
          <c:tx>
            <c:strRef>
              <c:f>Лист1!$D$1</c:f>
              <c:strCache>
                <c:ptCount val="1"/>
                <c:pt idx="0">
                  <c:v>Затрудняюсь ответить</c:v>
                </c:pt>
              </c:strCache>
            </c:strRef>
          </c:tx>
          <c:spPr>
            <a:solidFill>
              <a:sysClr val="window" lastClr="FFFFFF">
                <a:lumMod val="85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ЖКХ</c:v>
                </c:pt>
                <c:pt idx="1">
                  <c:v>Рынок развития, производства, переработки и хранения с‎\х продукции</c:v>
                </c:pt>
                <c:pt idx="2">
                  <c:v>Розничная торговля</c:v>
                </c:pt>
                <c:pt idx="3">
                  <c:v>Рынок услуг дополнительного образования детей</c:v>
                </c:pt>
                <c:pt idx="4">
                  <c:v>Рынок услуг психолого-педагогического сопровождения детей с ограниченными возможностями здоровья</c:v>
                </c:pt>
                <c:pt idx="5">
                  <c:v>Рынок услуг в сфере культуры</c:v>
                </c:pt>
                <c:pt idx="6">
                  <c:v>Рынок медицинских услуг</c:v>
                </c:pt>
                <c:pt idx="7">
                  <c:v>Рынок услуг по сбору, сортировке и переработке твердых коммунальных (бытовых) отходов</c:v>
                </c:pt>
                <c:pt idx="8">
                  <c:v>Рынок услуг связи</c:v>
                </c:pt>
                <c:pt idx="9">
                  <c:v>Рынок услуг социального обслуживания населения</c:v>
                </c:pt>
                <c:pt idx="10">
                  <c:v>Рынок услуг дошкольного образования</c:v>
                </c:pt>
                <c:pt idx="11">
                  <c:v>Рынок услуг детского отдыха и оздоровления</c:v>
                </c:pt>
                <c:pt idx="12">
                  <c:v>Рынок услуг перевозок пассажиров наземным транспортом</c:v>
                </c:pt>
              </c:strCache>
            </c:strRef>
          </c:cat>
          <c:val>
            <c:numRef>
              <c:f>Лист1!$D$2:$D$14</c:f>
              <c:numCache>
                <c:formatCode>0.0%</c:formatCode>
                <c:ptCount val="13"/>
                <c:pt idx="0">
                  <c:v>0.58599999999999997</c:v>
                </c:pt>
                <c:pt idx="1">
                  <c:v>0.65000000000000735</c:v>
                </c:pt>
                <c:pt idx="2">
                  <c:v>0.56100000000000005</c:v>
                </c:pt>
                <c:pt idx="3">
                  <c:v>0.68</c:v>
                </c:pt>
                <c:pt idx="4">
                  <c:v>0.88</c:v>
                </c:pt>
                <c:pt idx="5">
                  <c:v>0.68</c:v>
                </c:pt>
                <c:pt idx="6">
                  <c:v>0.68600000000000005</c:v>
                </c:pt>
                <c:pt idx="7">
                  <c:v>0.5</c:v>
                </c:pt>
                <c:pt idx="8">
                  <c:v>0.76000000000000723</c:v>
                </c:pt>
                <c:pt idx="9">
                  <c:v>0.8</c:v>
                </c:pt>
                <c:pt idx="10">
                  <c:v>1</c:v>
                </c:pt>
                <c:pt idx="11">
                  <c:v>1</c:v>
                </c:pt>
                <c:pt idx="12">
                  <c:v>0.93300000000000005</c:v>
                </c:pt>
              </c:numCache>
            </c:numRef>
          </c:val>
          <c:extLst xmlns:c16r2="http://schemas.microsoft.com/office/drawing/2015/06/chart">
            <c:ext xmlns:c16="http://schemas.microsoft.com/office/drawing/2014/chart" uri="{C3380CC4-5D6E-409C-BE32-E72D297353CC}">
              <c16:uniqueId val="{00000009-F0B5-4DDA-91E0-395C1CC09AC2}"/>
            </c:ext>
          </c:extLst>
        </c:ser>
        <c:overlap val="100"/>
        <c:axId val="140962816"/>
        <c:axId val="142877440"/>
      </c:barChart>
      <c:catAx>
        <c:axId val="140962816"/>
        <c:scaling>
          <c:orientation val="maxMin"/>
        </c:scaling>
        <c:axPos val="l"/>
        <c:numFmt formatCode="General" sourceLinked="1"/>
        <c:tickLblPos val="nextTo"/>
        <c:crossAx val="142877440"/>
        <c:crosses val="autoZero"/>
        <c:auto val="1"/>
        <c:lblAlgn val="ctr"/>
        <c:lblOffset val="100"/>
      </c:catAx>
      <c:valAx>
        <c:axId val="142877440"/>
        <c:scaling>
          <c:orientation val="minMax"/>
          <c:max val="1"/>
          <c:min val="0"/>
        </c:scaling>
        <c:axPos val="t"/>
        <c:majorGridlines/>
        <c:numFmt formatCode="0.0%" sourceLinked="1"/>
        <c:tickLblPos val="nextTo"/>
        <c:txPr>
          <a:bodyPr/>
          <a:lstStyle/>
          <a:p>
            <a:pPr>
              <a:defRPr sz="600"/>
            </a:pPr>
            <a:endParaRPr lang="ru-RU"/>
          </a:p>
        </c:txPr>
        <c:crossAx val="140962816"/>
        <c:crosses val="autoZero"/>
        <c:crossBetween val="between"/>
        <c:majorUnit val="0.2"/>
      </c:valAx>
      <c:spPr>
        <a:noFill/>
        <a:ln>
          <a:solidFill>
            <a:schemeClr val="accent1"/>
          </a:solidFill>
        </a:ln>
      </c:spPr>
    </c:plotArea>
    <c:legend>
      <c:legendPos val="t"/>
    </c:legend>
    <c:plotVisOnly val="1"/>
    <c:dispBlanksAs val="gap"/>
  </c:chart>
  <c:spPr>
    <a:ln>
      <a:noFill/>
    </a:ln>
  </c:spPr>
  <c:txPr>
    <a:bodyPr/>
    <a:lstStyle/>
    <a:p>
      <a:pPr>
        <a:defRPr>
          <a:latin typeface="Arial Narrow" panose="020B0606020202030204" pitchFamily="34" charset="0"/>
        </a:defRPr>
      </a:pPr>
      <a:endParaRPr lang="ru-RU"/>
    </a:p>
  </c:txPr>
  <c:externalData r:id="rId2"/>
</c:chartSpace>
</file>

<file path=word/charts/chart64.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27650257804892092"/>
          <c:y val="0.15800563977476231"/>
          <c:w val="0.68250275481088496"/>
          <c:h val="0.8282404546958676"/>
        </c:manualLayout>
      </c:layout>
      <c:barChart>
        <c:barDir val="bar"/>
        <c:grouping val="stacked"/>
        <c:ser>
          <c:idx val="0"/>
          <c:order val="0"/>
          <c:tx>
            <c:strRef>
              <c:f>Лист1!$B$1</c:f>
              <c:strCache>
                <c:ptCount val="1"/>
                <c:pt idx="0">
                  <c:v>Удовлетворительно</c:v>
                </c:pt>
              </c:strCache>
            </c:strRef>
          </c:tx>
          <c:spPr>
            <a:solidFill>
              <a:srgbClr val="ED7D31">
                <a:lumMod val="40000"/>
                <a:lumOff val="60000"/>
              </a:srgbClr>
            </a:solidFill>
          </c:spPr>
          <c:dLbls>
            <c:spPr>
              <a:noFill/>
              <a:ln>
                <a:no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среднее предприятие</c:v>
                </c:pt>
                <c:pt idx="1">
                  <c:v>малое предприятие</c:v>
                </c:pt>
              </c:strCache>
            </c:strRef>
          </c:cat>
          <c:val>
            <c:numRef>
              <c:f>Лист1!$B$2:$B$3</c:f>
              <c:numCache>
                <c:formatCode>0.0%</c:formatCode>
                <c:ptCount val="2"/>
                <c:pt idx="0">
                  <c:v>0.18200000000000024</c:v>
                </c:pt>
                <c:pt idx="1">
                  <c:v>0.16600000000000001</c:v>
                </c:pt>
              </c:numCache>
            </c:numRef>
          </c:val>
          <c:extLst xmlns:c16r2="http://schemas.microsoft.com/office/drawing/2015/06/chart">
            <c:ext xmlns:c16="http://schemas.microsoft.com/office/drawing/2014/chart" uri="{C3380CC4-5D6E-409C-BE32-E72D297353CC}">
              <c16:uniqueId val="{00000000-0C67-4856-A946-78AFAADEC037}"/>
            </c:ext>
          </c:extLst>
        </c:ser>
        <c:ser>
          <c:idx val="1"/>
          <c:order val="1"/>
          <c:tx>
            <c:strRef>
              <c:f>Лист1!$C$1</c:f>
              <c:strCache>
                <c:ptCount val="1"/>
                <c:pt idx="0">
                  <c:v>Неудовлетворительно</c:v>
                </c:pt>
              </c:strCache>
            </c:strRef>
          </c:tx>
          <c:spPr>
            <a:solidFill>
              <a:srgbClr val="B28AB2"/>
            </a:solidFill>
            <a:ln>
              <a:noFill/>
            </a:ln>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среднее предприятие</c:v>
                </c:pt>
                <c:pt idx="1">
                  <c:v>малое предприятие</c:v>
                </c:pt>
              </c:strCache>
            </c:strRef>
          </c:cat>
          <c:val>
            <c:numRef>
              <c:f>Лист1!$C$2:$C$3</c:f>
              <c:numCache>
                <c:formatCode>0.0%</c:formatCode>
                <c:ptCount val="2"/>
                <c:pt idx="0">
                  <c:v>0.45500000000000002</c:v>
                </c:pt>
                <c:pt idx="1">
                  <c:v>0.24700000000000041</c:v>
                </c:pt>
              </c:numCache>
            </c:numRef>
          </c:val>
          <c:extLst xmlns:c16r2="http://schemas.microsoft.com/office/drawing/2015/06/chart">
            <c:ext xmlns:c16="http://schemas.microsoft.com/office/drawing/2014/chart" uri="{C3380CC4-5D6E-409C-BE32-E72D297353CC}">
              <c16:uniqueId val="{00000001-0C67-4856-A946-78AFAADEC037}"/>
            </c:ext>
          </c:extLst>
        </c:ser>
        <c:ser>
          <c:idx val="2"/>
          <c:order val="2"/>
          <c:tx>
            <c:strRef>
              <c:f>Лист1!$D$1</c:f>
              <c:strCache>
                <c:ptCount val="1"/>
                <c:pt idx="0">
                  <c:v>Затрудняюсь ответить</c:v>
                </c:pt>
              </c:strCache>
            </c:strRef>
          </c:tx>
          <c:spPr>
            <a:solidFill>
              <a:sysClr val="window" lastClr="FFFFFF">
                <a:lumMod val="85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среднее предприятие</c:v>
                </c:pt>
                <c:pt idx="1">
                  <c:v>малое предприятие</c:v>
                </c:pt>
              </c:strCache>
            </c:strRef>
          </c:cat>
          <c:val>
            <c:numRef>
              <c:f>Лист1!$D$2:$D$3</c:f>
              <c:numCache>
                <c:formatCode>0.0%</c:formatCode>
                <c:ptCount val="2"/>
                <c:pt idx="0">
                  <c:v>0.36400000000000032</c:v>
                </c:pt>
                <c:pt idx="1">
                  <c:v>0.58699999999999997</c:v>
                </c:pt>
              </c:numCache>
            </c:numRef>
          </c:val>
          <c:extLst xmlns:c16r2="http://schemas.microsoft.com/office/drawing/2015/06/chart">
            <c:ext xmlns:c16="http://schemas.microsoft.com/office/drawing/2014/chart" uri="{C3380CC4-5D6E-409C-BE32-E72D297353CC}">
              <c16:uniqueId val="{00000002-0C67-4856-A946-78AFAADEC037}"/>
            </c:ext>
          </c:extLst>
        </c:ser>
        <c:overlap val="100"/>
        <c:axId val="143048704"/>
        <c:axId val="143050240"/>
      </c:barChart>
      <c:catAx>
        <c:axId val="143048704"/>
        <c:scaling>
          <c:orientation val="maxMin"/>
        </c:scaling>
        <c:axPos val="l"/>
        <c:numFmt formatCode="General" sourceLinked="1"/>
        <c:tickLblPos val="nextTo"/>
        <c:crossAx val="143050240"/>
        <c:crosses val="autoZero"/>
        <c:auto val="1"/>
        <c:lblAlgn val="ctr"/>
        <c:lblOffset val="100"/>
      </c:catAx>
      <c:valAx>
        <c:axId val="143050240"/>
        <c:scaling>
          <c:orientation val="minMax"/>
          <c:max val="1"/>
          <c:min val="0"/>
        </c:scaling>
        <c:delete val="1"/>
        <c:axPos val="t"/>
        <c:majorGridlines/>
        <c:numFmt formatCode="0.0%" sourceLinked="1"/>
        <c:tickLblPos val="none"/>
        <c:crossAx val="143048704"/>
        <c:crosses val="autoZero"/>
        <c:crossBetween val="between"/>
        <c:majorUnit val="0.2"/>
      </c:valAx>
      <c:spPr>
        <a:noFill/>
        <a:ln>
          <a:solidFill>
            <a:schemeClr val="accent1"/>
          </a:solidFill>
        </a:ln>
      </c:spPr>
    </c:plotArea>
    <c:legend>
      <c:legendPos val="t"/>
      <c:layout>
        <c:manualLayout>
          <c:xMode val="edge"/>
          <c:yMode val="edge"/>
          <c:x val="0.14746975326757591"/>
          <c:y val="0"/>
          <c:w val="0.70506032766119064"/>
          <c:h val="0.12801585930431064"/>
        </c:manualLayout>
      </c:layout>
    </c:legend>
    <c:plotVisOnly val="1"/>
    <c:dispBlanksAs val="gap"/>
  </c:chart>
  <c:spPr>
    <a:ln>
      <a:noFill/>
    </a:ln>
  </c:spPr>
  <c:txPr>
    <a:bodyPr/>
    <a:lstStyle/>
    <a:p>
      <a:pPr>
        <a:defRPr>
          <a:latin typeface="Arial Narrow" panose="020B0606020202030204" pitchFamily="34" charset="0"/>
        </a:defRPr>
      </a:pPr>
      <a:endParaRPr lang="ru-RU"/>
    </a:p>
  </c:txPr>
</c:chartSpace>
</file>

<file path=word/charts/chart65.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27650257804892092"/>
          <c:y val="7.4255224134304909E-2"/>
          <c:w val="0.68250275481088496"/>
          <c:h val="0.91752053496057262"/>
        </c:manualLayout>
      </c:layout>
      <c:barChart>
        <c:barDir val="bar"/>
        <c:grouping val="stacked"/>
        <c:ser>
          <c:idx val="0"/>
          <c:order val="0"/>
          <c:tx>
            <c:strRef>
              <c:f>Лист1!$B$1</c:f>
              <c:strCache>
                <c:ptCount val="1"/>
                <c:pt idx="0">
                  <c:v>Удовлетворительно</c:v>
                </c:pt>
              </c:strCache>
            </c:strRef>
          </c:tx>
          <c:spPr>
            <a:solidFill>
              <a:srgbClr val="ED7D31">
                <a:lumMod val="40000"/>
                <a:lumOff val="60000"/>
              </a:srgbClr>
            </a:solidFill>
          </c:spPr>
          <c:dLbls>
            <c:dLbl>
              <c:idx val="25"/>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5F27-4F2D-88BA-D118BF93CFE9}"/>
                </c:ext>
              </c:extLst>
            </c:dLbl>
            <c:dLbl>
              <c:idx val="26"/>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5F27-4F2D-88BA-D118BF93CFE9}"/>
                </c:ext>
              </c:extLst>
            </c:dLbl>
            <c:dLbl>
              <c:idx val="27"/>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5F27-4F2D-88BA-D118BF93CFE9}"/>
                </c:ext>
              </c:extLst>
            </c:dLbl>
            <c:dLbl>
              <c:idx val="28"/>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5F27-4F2D-88BA-D118BF93CFE9}"/>
                </c:ext>
              </c:extLst>
            </c:dLbl>
            <c:dLbl>
              <c:idx val="29"/>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5F27-4F2D-88BA-D118BF93CFE9}"/>
                </c:ext>
              </c:extLst>
            </c:dLbl>
            <c:dLbl>
              <c:idx val="3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5F27-4F2D-88BA-D118BF93CFE9}"/>
                </c:ext>
              </c:extLst>
            </c:dLbl>
            <c:dLbl>
              <c:idx val="3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5F27-4F2D-88BA-D118BF93CFE9}"/>
                </c:ext>
              </c:extLst>
            </c:dLbl>
            <c:dLbl>
              <c:idx val="3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5F27-4F2D-88BA-D118BF93CFE9}"/>
                </c:ext>
              </c:extLst>
            </c:dLbl>
            <c:dLbl>
              <c:idx val="3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5F27-4F2D-88BA-D118BF93CFE9}"/>
                </c:ext>
              </c:extLst>
            </c:dLbl>
            <c:dLbl>
              <c:idx val="3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5F27-4F2D-88BA-D118BF93CFE9}"/>
                </c:ext>
              </c:extLst>
            </c:dLbl>
            <c:spPr>
              <a:noFill/>
              <a:ln>
                <a:no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Колыванский МР</c:v>
                </c:pt>
                <c:pt idx="1">
                  <c:v>Карасукский МР</c:v>
                </c:pt>
                <c:pt idx="2">
                  <c:v>Чулымский МР</c:v>
                </c:pt>
                <c:pt idx="3">
                  <c:v>Куйбышевский МР</c:v>
                </c:pt>
                <c:pt idx="4">
                  <c:v>г. Искитим</c:v>
                </c:pt>
                <c:pt idx="5">
                  <c:v>Ордынский МР</c:v>
                </c:pt>
                <c:pt idx="6">
                  <c:v>Коченевский МР</c:v>
                </c:pt>
                <c:pt idx="7">
                  <c:v>Маслянинский МР</c:v>
                </c:pt>
                <c:pt idx="8">
                  <c:v>Татарский МР</c:v>
                </c:pt>
                <c:pt idx="9">
                  <c:v>Черепановский МР</c:v>
                </c:pt>
                <c:pt idx="10">
                  <c:v>г. Обь</c:v>
                </c:pt>
                <c:pt idx="11">
                  <c:v>Барабинский МР</c:v>
                </c:pt>
                <c:pt idx="12">
                  <c:v>г. Бердск</c:v>
                </c:pt>
                <c:pt idx="13">
                  <c:v>Усть-Таркский МР</c:v>
                </c:pt>
                <c:pt idx="14">
                  <c:v>г. Новосибирск</c:v>
                </c:pt>
                <c:pt idx="15">
                  <c:v>Доволенский МР</c:v>
                </c:pt>
                <c:pt idx="16">
                  <c:v>Баганский МР</c:v>
                </c:pt>
                <c:pt idx="17">
                  <c:v>Сузунский МР</c:v>
                </c:pt>
                <c:pt idx="18">
                  <c:v>Чановский МР</c:v>
                </c:pt>
                <c:pt idx="19">
                  <c:v>Искитимский МР</c:v>
                </c:pt>
                <c:pt idx="20">
                  <c:v>Мошковский МР</c:v>
                </c:pt>
                <c:pt idx="21">
                  <c:v>Новосибирский МР</c:v>
                </c:pt>
                <c:pt idx="22">
                  <c:v>Чистоозерный МР</c:v>
                </c:pt>
                <c:pt idx="23">
                  <c:v>Болотнинский МР</c:v>
                </c:pt>
                <c:pt idx="24">
                  <c:v>Купинский МР</c:v>
                </c:pt>
                <c:pt idx="25">
                  <c:v>Венгеровский МР</c:v>
                </c:pt>
                <c:pt idx="26">
                  <c:v>Здвинский МР</c:v>
                </c:pt>
                <c:pt idx="27">
                  <c:v>Каргатский МР</c:v>
                </c:pt>
                <c:pt idx="28">
                  <c:v>Кочковский МР</c:v>
                </c:pt>
                <c:pt idx="29">
                  <c:v>Краснозерский МР</c:v>
                </c:pt>
                <c:pt idx="30">
                  <c:v>Кыштовский МР</c:v>
                </c:pt>
                <c:pt idx="31">
                  <c:v>р. п. Кольцово</c:v>
                </c:pt>
                <c:pt idx="32">
                  <c:v>Северный МР</c:v>
                </c:pt>
                <c:pt idx="33">
                  <c:v>Тогучинский МР</c:v>
                </c:pt>
                <c:pt idx="34">
                  <c:v>Убинский МР</c:v>
                </c:pt>
              </c:strCache>
            </c:strRef>
          </c:cat>
          <c:val>
            <c:numRef>
              <c:f>Лист1!$B$2:$B$36</c:f>
              <c:numCache>
                <c:formatCode>0.0%</c:formatCode>
                <c:ptCount val="35"/>
                <c:pt idx="0">
                  <c:v>0.47800000000000031</c:v>
                </c:pt>
                <c:pt idx="1">
                  <c:v>0.41200000000000031</c:v>
                </c:pt>
                <c:pt idx="2">
                  <c:v>0.4</c:v>
                </c:pt>
                <c:pt idx="3">
                  <c:v>0.34600000000000031</c:v>
                </c:pt>
                <c:pt idx="4">
                  <c:v>0.34</c:v>
                </c:pt>
                <c:pt idx="5">
                  <c:v>0.31600000000000317</c:v>
                </c:pt>
                <c:pt idx="6">
                  <c:v>0.30800000000000038</c:v>
                </c:pt>
                <c:pt idx="7">
                  <c:v>0.30800000000000038</c:v>
                </c:pt>
                <c:pt idx="8">
                  <c:v>0.27800000000000002</c:v>
                </c:pt>
                <c:pt idx="9">
                  <c:v>0.25</c:v>
                </c:pt>
                <c:pt idx="10">
                  <c:v>0.21400000000000041</c:v>
                </c:pt>
                <c:pt idx="11">
                  <c:v>0.21100000000000024</c:v>
                </c:pt>
                <c:pt idx="12">
                  <c:v>0.17900000000000021</c:v>
                </c:pt>
                <c:pt idx="13">
                  <c:v>0.16700000000000001</c:v>
                </c:pt>
                <c:pt idx="14">
                  <c:v>0.14900000000000024</c:v>
                </c:pt>
                <c:pt idx="15">
                  <c:v>0.14300000000000004</c:v>
                </c:pt>
                <c:pt idx="16">
                  <c:v>0.125</c:v>
                </c:pt>
                <c:pt idx="17">
                  <c:v>0.125</c:v>
                </c:pt>
                <c:pt idx="18">
                  <c:v>0.12100000000000002</c:v>
                </c:pt>
                <c:pt idx="19">
                  <c:v>0.11799999999999998</c:v>
                </c:pt>
                <c:pt idx="20">
                  <c:v>0.111</c:v>
                </c:pt>
                <c:pt idx="21">
                  <c:v>9.1000000000000025E-2</c:v>
                </c:pt>
                <c:pt idx="22">
                  <c:v>9.1000000000000025E-2</c:v>
                </c:pt>
                <c:pt idx="23">
                  <c:v>7.6999999999999999E-2</c:v>
                </c:pt>
                <c:pt idx="24">
                  <c:v>6.7000000000000004E-2</c:v>
                </c:pt>
                <c:pt idx="25">
                  <c:v>0</c:v>
                </c:pt>
                <c:pt idx="26">
                  <c:v>0</c:v>
                </c:pt>
                <c:pt idx="27">
                  <c:v>0</c:v>
                </c:pt>
                <c:pt idx="28">
                  <c:v>0</c:v>
                </c:pt>
                <c:pt idx="29">
                  <c:v>0</c:v>
                </c:pt>
                <c:pt idx="30">
                  <c:v>0</c:v>
                </c:pt>
                <c:pt idx="31">
                  <c:v>0</c:v>
                </c:pt>
                <c:pt idx="32">
                  <c:v>0</c:v>
                </c:pt>
                <c:pt idx="33">
                  <c:v>0</c:v>
                </c:pt>
                <c:pt idx="34">
                  <c:v>0</c:v>
                </c:pt>
              </c:numCache>
            </c:numRef>
          </c:val>
          <c:extLst xmlns:c16r2="http://schemas.microsoft.com/office/drawing/2015/06/chart">
            <c:ext xmlns:c16="http://schemas.microsoft.com/office/drawing/2014/chart" uri="{C3380CC4-5D6E-409C-BE32-E72D297353CC}">
              <c16:uniqueId val="{00000000-8045-428F-ACFB-15A7C3608484}"/>
            </c:ext>
          </c:extLst>
        </c:ser>
        <c:ser>
          <c:idx val="1"/>
          <c:order val="1"/>
          <c:tx>
            <c:strRef>
              <c:f>Лист1!$C$1</c:f>
              <c:strCache>
                <c:ptCount val="1"/>
                <c:pt idx="0">
                  <c:v>Неудовлетворительно</c:v>
                </c:pt>
              </c:strCache>
            </c:strRef>
          </c:tx>
          <c:spPr>
            <a:solidFill>
              <a:srgbClr val="B28AB2"/>
            </a:solidFill>
            <a:ln>
              <a:noFill/>
            </a:ln>
          </c:spPr>
          <c:dLbls>
            <c:dLbl>
              <c:idx val="26"/>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5F27-4F2D-88BA-D118BF93CFE9}"/>
                </c:ext>
              </c:extLst>
            </c:dLbl>
            <c:dLbl>
              <c:idx val="29"/>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5F27-4F2D-88BA-D118BF93CFE9}"/>
                </c:ext>
              </c:extLst>
            </c:dLbl>
            <c:dLbl>
              <c:idx val="3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5F27-4F2D-88BA-D118BF93CFE9}"/>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Колыванский МР</c:v>
                </c:pt>
                <c:pt idx="1">
                  <c:v>Карасукский МР</c:v>
                </c:pt>
                <c:pt idx="2">
                  <c:v>Чулымский МР</c:v>
                </c:pt>
                <c:pt idx="3">
                  <c:v>Куйбышевский МР</c:v>
                </c:pt>
                <c:pt idx="4">
                  <c:v>г. Искитим</c:v>
                </c:pt>
                <c:pt idx="5">
                  <c:v>Ордынский МР</c:v>
                </c:pt>
                <c:pt idx="6">
                  <c:v>Коченевский МР</c:v>
                </c:pt>
                <c:pt idx="7">
                  <c:v>Маслянинский МР</c:v>
                </c:pt>
                <c:pt idx="8">
                  <c:v>Татарский МР</c:v>
                </c:pt>
                <c:pt idx="9">
                  <c:v>Черепановский МР</c:v>
                </c:pt>
                <c:pt idx="10">
                  <c:v>г. Обь</c:v>
                </c:pt>
                <c:pt idx="11">
                  <c:v>Барабинский МР</c:v>
                </c:pt>
                <c:pt idx="12">
                  <c:v>г. Бердск</c:v>
                </c:pt>
                <c:pt idx="13">
                  <c:v>Усть-Таркский МР</c:v>
                </c:pt>
                <c:pt idx="14">
                  <c:v>г. Новосибирск</c:v>
                </c:pt>
                <c:pt idx="15">
                  <c:v>Доволенский МР</c:v>
                </c:pt>
                <c:pt idx="16">
                  <c:v>Баганский МР</c:v>
                </c:pt>
                <c:pt idx="17">
                  <c:v>Сузунский МР</c:v>
                </c:pt>
                <c:pt idx="18">
                  <c:v>Чановский МР</c:v>
                </c:pt>
                <c:pt idx="19">
                  <c:v>Искитимский МР</c:v>
                </c:pt>
                <c:pt idx="20">
                  <c:v>Мошковский МР</c:v>
                </c:pt>
                <c:pt idx="21">
                  <c:v>Новосибирский МР</c:v>
                </c:pt>
                <c:pt idx="22">
                  <c:v>Чистоозерный МР</c:v>
                </c:pt>
                <c:pt idx="23">
                  <c:v>Болотнинский МР</c:v>
                </c:pt>
                <c:pt idx="24">
                  <c:v>Купинский МР</c:v>
                </c:pt>
                <c:pt idx="25">
                  <c:v>Венгеровский МР</c:v>
                </c:pt>
                <c:pt idx="26">
                  <c:v>Здвинский МР</c:v>
                </c:pt>
                <c:pt idx="27">
                  <c:v>Каргатский МР</c:v>
                </c:pt>
                <c:pt idx="28">
                  <c:v>Кочковский МР</c:v>
                </c:pt>
                <c:pt idx="29">
                  <c:v>Краснозерский МР</c:v>
                </c:pt>
                <c:pt idx="30">
                  <c:v>Кыштовский МР</c:v>
                </c:pt>
                <c:pt idx="31">
                  <c:v>р. п. Кольцово</c:v>
                </c:pt>
                <c:pt idx="32">
                  <c:v>Северный МР</c:v>
                </c:pt>
                <c:pt idx="33">
                  <c:v>Тогучинский МР</c:v>
                </c:pt>
                <c:pt idx="34">
                  <c:v>Убинский МР</c:v>
                </c:pt>
              </c:strCache>
            </c:strRef>
          </c:cat>
          <c:val>
            <c:numRef>
              <c:f>Лист1!$C$2:$C$36</c:f>
              <c:numCache>
                <c:formatCode>0.0%</c:formatCode>
                <c:ptCount val="35"/>
                <c:pt idx="0">
                  <c:v>0.43500000000000238</c:v>
                </c:pt>
                <c:pt idx="1">
                  <c:v>0.35300000000000031</c:v>
                </c:pt>
                <c:pt idx="2">
                  <c:v>0.46700000000000008</c:v>
                </c:pt>
                <c:pt idx="3">
                  <c:v>0.5</c:v>
                </c:pt>
                <c:pt idx="4">
                  <c:v>0.37700000000000311</c:v>
                </c:pt>
                <c:pt idx="5">
                  <c:v>0.26300000000000001</c:v>
                </c:pt>
                <c:pt idx="6">
                  <c:v>0.46200000000000002</c:v>
                </c:pt>
                <c:pt idx="7">
                  <c:v>0.46200000000000002</c:v>
                </c:pt>
                <c:pt idx="8">
                  <c:v>0.44400000000000001</c:v>
                </c:pt>
                <c:pt idx="9">
                  <c:v>0.27800000000000002</c:v>
                </c:pt>
                <c:pt idx="10">
                  <c:v>0.42900000000000038</c:v>
                </c:pt>
                <c:pt idx="11">
                  <c:v>0.36800000000000038</c:v>
                </c:pt>
                <c:pt idx="12">
                  <c:v>0.17900000000000021</c:v>
                </c:pt>
                <c:pt idx="13">
                  <c:v>0.33300000000000402</c:v>
                </c:pt>
                <c:pt idx="14">
                  <c:v>0.224</c:v>
                </c:pt>
                <c:pt idx="15">
                  <c:v>0.28600000000000031</c:v>
                </c:pt>
                <c:pt idx="16">
                  <c:v>0</c:v>
                </c:pt>
                <c:pt idx="17">
                  <c:v>0.43800000000000311</c:v>
                </c:pt>
                <c:pt idx="18">
                  <c:v>6.1000000000000013E-2</c:v>
                </c:pt>
                <c:pt idx="19">
                  <c:v>0.35300000000000031</c:v>
                </c:pt>
                <c:pt idx="20">
                  <c:v>0.111</c:v>
                </c:pt>
                <c:pt idx="21">
                  <c:v>9.1000000000000025E-2</c:v>
                </c:pt>
                <c:pt idx="22">
                  <c:v>0.27300000000000002</c:v>
                </c:pt>
                <c:pt idx="23">
                  <c:v>0.46200000000000002</c:v>
                </c:pt>
                <c:pt idx="24">
                  <c:v>6.7000000000000004E-2</c:v>
                </c:pt>
                <c:pt idx="25">
                  <c:v>0.57099999999999995</c:v>
                </c:pt>
                <c:pt idx="26">
                  <c:v>0</c:v>
                </c:pt>
                <c:pt idx="27">
                  <c:v>0.5</c:v>
                </c:pt>
                <c:pt idx="28">
                  <c:v>0.14300000000000004</c:v>
                </c:pt>
                <c:pt idx="29">
                  <c:v>0</c:v>
                </c:pt>
                <c:pt idx="30">
                  <c:v>0.16700000000000001</c:v>
                </c:pt>
                <c:pt idx="31">
                  <c:v>0</c:v>
                </c:pt>
                <c:pt idx="32">
                  <c:v>0.66700000000000803</c:v>
                </c:pt>
                <c:pt idx="33">
                  <c:v>0.125</c:v>
                </c:pt>
                <c:pt idx="34">
                  <c:v>0.14300000000000004</c:v>
                </c:pt>
              </c:numCache>
            </c:numRef>
          </c:val>
          <c:extLst xmlns:c16r2="http://schemas.microsoft.com/office/drawing/2015/06/chart">
            <c:ext xmlns:c16="http://schemas.microsoft.com/office/drawing/2014/chart" uri="{C3380CC4-5D6E-409C-BE32-E72D297353CC}">
              <c16:uniqueId val="{00000001-8045-428F-ACFB-15A7C3608484}"/>
            </c:ext>
          </c:extLst>
        </c:ser>
        <c:ser>
          <c:idx val="2"/>
          <c:order val="2"/>
          <c:tx>
            <c:strRef>
              <c:f>Лист1!$D$1</c:f>
              <c:strCache>
                <c:ptCount val="1"/>
                <c:pt idx="0">
                  <c:v>Затрудняюсь ответить</c:v>
                </c:pt>
              </c:strCache>
            </c:strRef>
          </c:tx>
          <c:spPr>
            <a:solidFill>
              <a:sysClr val="window" lastClr="FFFFFF">
                <a:lumMod val="85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Колыванский МР</c:v>
                </c:pt>
                <c:pt idx="1">
                  <c:v>Карасукский МР</c:v>
                </c:pt>
                <c:pt idx="2">
                  <c:v>Чулымский МР</c:v>
                </c:pt>
                <c:pt idx="3">
                  <c:v>Куйбышевский МР</c:v>
                </c:pt>
                <c:pt idx="4">
                  <c:v>г. Искитим</c:v>
                </c:pt>
                <c:pt idx="5">
                  <c:v>Ордынский МР</c:v>
                </c:pt>
                <c:pt idx="6">
                  <c:v>Коченевский МР</c:v>
                </c:pt>
                <c:pt idx="7">
                  <c:v>Маслянинский МР</c:v>
                </c:pt>
                <c:pt idx="8">
                  <c:v>Татарский МР</c:v>
                </c:pt>
                <c:pt idx="9">
                  <c:v>Черепановский МР</c:v>
                </c:pt>
                <c:pt idx="10">
                  <c:v>г. Обь</c:v>
                </c:pt>
                <c:pt idx="11">
                  <c:v>Барабинский МР</c:v>
                </c:pt>
                <c:pt idx="12">
                  <c:v>г. Бердск</c:v>
                </c:pt>
                <c:pt idx="13">
                  <c:v>Усть-Таркский МР</c:v>
                </c:pt>
                <c:pt idx="14">
                  <c:v>г. Новосибирск</c:v>
                </c:pt>
                <c:pt idx="15">
                  <c:v>Доволенский МР</c:v>
                </c:pt>
                <c:pt idx="16">
                  <c:v>Баганский МР</c:v>
                </c:pt>
                <c:pt idx="17">
                  <c:v>Сузунский МР</c:v>
                </c:pt>
                <c:pt idx="18">
                  <c:v>Чановский МР</c:v>
                </c:pt>
                <c:pt idx="19">
                  <c:v>Искитимский МР</c:v>
                </c:pt>
                <c:pt idx="20">
                  <c:v>Мошковский МР</c:v>
                </c:pt>
                <c:pt idx="21">
                  <c:v>Новосибирский МР</c:v>
                </c:pt>
                <c:pt idx="22">
                  <c:v>Чистоозерный МР</c:v>
                </c:pt>
                <c:pt idx="23">
                  <c:v>Болотнинский МР</c:v>
                </c:pt>
                <c:pt idx="24">
                  <c:v>Купинский МР</c:v>
                </c:pt>
                <c:pt idx="25">
                  <c:v>Венгеровский МР</c:v>
                </c:pt>
                <c:pt idx="26">
                  <c:v>Здвинский МР</c:v>
                </c:pt>
                <c:pt idx="27">
                  <c:v>Каргатский МР</c:v>
                </c:pt>
                <c:pt idx="28">
                  <c:v>Кочковский МР</c:v>
                </c:pt>
                <c:pt idx="29">
                  <c:v>Краснозерский МР</c:v>
                </c:pt>
                <c:pt idx="30">
                  <c:v>Кыштовский МР</c:v>
                </c:pt>
                <c:pt idx="31">
                  <c:v>р. п. Кольцово</c:v>
                </c:pt>
                <c:pt idx="32">
                  <c:v>Северный МР</c:v>
                </c:pt>
                <c:pt idx="33">
                  <c:v>Тогучинский МР</c:v>
                </c:pt>
                <c:pt idx="34">
                  <c:v>Убинский МР</c:v>
                </c:pt>
              </c:strCache>
            </c:strRef>
          </c:cat>
          <c:val>
            <c:numRef>
              <c:f>Лист1!$D$2:$D$36</c:f>
              <c:numCache>
                <c:formatCode>0.0%</c:formatCode>
                <c:ptCount val="35"/>
                <c:pt idx="0">
                  <c:v>8.7000000000000022E-2</c:v>
                </c:pt>
                <c:pt idx="1">
                  <c:v>0.23500000000000001</c:v>
                </c:pt>
                <c:pt idx="2">
                  <c:v>0.13300000000000001</c:v>
                </c:pt>
                <c:pt idx="3">
                  <c:v>0.15400000000000041</c:v>
                </c:pt>
                <c:pt idx="4">
                  <c:v>0.28300000000000008</c:v>
                </c:pt>
                <c:pt idx="5">
                  <c:v>0.42100000000000032</c:v>
                </c:pt>
                <c:pt idx="6">
                  <c:v>0.23100000000000001</c:v>
                </c:pt>
                <c:pt idx="7">
                  <c:v>0.23100000000000001</c:v>
                </c:pt>
                <c:pt idx="8">
                  <c:v>0.27800000000000002</c:v>
                </c:pt>
                <c:pt idx="9">
                  <c:v>0.47200000000000031</c:v>
                </c:pt>
                <c:pt idx="10">
                  <c:v>0.35700000000000032</c:v>
                </c:pt>
                <c:pt idx="11">
                  <c:v>0.42100000000000032</c:v>
                </c:pt>
                <c:pt idx="12">
                  <c:v>0.64100000000000701</c:v>
                </c:pt>
                <c:pt idx="13">
                  <c:v>0.5</c:v>
                </c:pt>
                <c:pt idx="14">
                  <c:v>0.62700000000000655</c:v>
                </c:pt>
                <c:pt idx="15">
                  <c:v>0.57099999999999995</c:v>
                </c:pt>
                <c:pt idx="16">
                  <c:v>0.87500000000000633</c:v>
                </c:pt>
                <c:pt idx="17">
                  <c:v>0.43800000000000311</c:v>
                </c:pt>
                <c:pt idx="18">
                  <c:v>0.81799999999999995</c:v>
                </c:pt>
                <c:pt idx="19">
                  <c:v>0.52900000000000003</c:v>
                </c:pt>
                <c:pt idx="20">
                  <c:v>0.77800000000000746</c:v>
                </c:pt>
                <c:pt idx="21">
                  <c:v>0.81799999999999995</c:v>
                </c:pt>
                <c:pt idx="22">
                  <c:v>0.636000000000007</c:v>
                </c:pt>
                <c:pt idx="23">
                  <c:v>0.46200000000000002</c:v>
                </c:pt>
                <c:pt idx="24">
                  <c:v>0.86700000000000621</c:v>
                </c:pt>
                <c:pt idx="25">
                  <c:v>0.42900000000000038</c:v>
                </c:pt>
                <c:pt idx="26">
                  <c:v>1</c:v>
                </c:pt>
                <c:pt idx="27">
                  <c:v>0.5</c:v>
                </c:pt>
                <c:pt idx="28">
                  <c:v>0.85700000000000065</c:v>
                </c:pt>
                <c:pt idx="29">
                  <c:v>1</c:v>
                </c:pt>
                <c:pt idx="30">
                  <c:v>0.83300000000000063</c:v>
                </c:pt>
                <c:pt idx="31">
                  <c:v>1</c:v>
                </c:pt>
                <c:pt idx="32">
                  <c:v>0.33300000000000402</c:v>
                </c:pt>
                <c:pt idx="33">
                  <c:v>0.87500000000000633</c:v>
                </c:pt>
                <c:pt idx="34">
                  <c:v>0.85700000000000065</c:v>
                </c:pt>
              </c:numCache>
            </c:numRef>
          </c:val>
          <c:extLst xmlns:c16r2="http://schemas.microsoft.com/office/drawing/2015/06/chart">
            <c:ext xmlns:c16="http://schemas.microsoft.com/office/drawing/2014/chart" uri="{C3380CC4-5D6E-409C-BE32-E72D297353CC}">
              <c16:uniqueId val="{00000002-8045-428F-ACFB-15A7C3608484}"/>
            </c:ext>
          </c:extLst>
        </c:ser>
        <c:overlap val="100"/>
        <c:axId val="140756864"/>
        <c:axId val="140758400"/>
      </c:barChart>
      <c:catAx>
        <c:axId val="140756864"/>
        <c:scaling>
          <c:orientation val="maxMin"/>
        </c:scaling>
        <c:axPos val="l"/>
        <c:numFmt formatCode="General" sourceLinked="1"/>
        <c:tickLblPos val="nextTo"/>
        <c:crossAx val="140758400"/>
        <c:crosses val="autoZero"/>
        <c:auto val="1"/>
        <c:lblAlgn val="ctr"/>
        <c:lblOffset val="100"/>
      </c:catAx>
      <c:valAx>
        <c:axId val="140758400"/>
        <c:scaling>
          <c:orientation val="minMax"/>
          <c:max val="1"/>
          <c:min val="0"/>
        </c:scaling>
        <c:axPos val="t"/>
        <c:majorGridlines/>
        <c:numFmt formatCode="0.0%" sourceLinked="1"/>
        <c:tickLblPos val="nextTo"/>
        <c:txPr>
          <a:bodyPr/>
          <a:lstStyle/>
          <a:p>
            <a:pPr>
              <a:defRPr sz="800"/>
            </a:pPr>
            <a:endParaRPr lang="ru-RU"/>
          </a:p>
        </c:txPr>
        <c:crossAx val="140756864"/>
        <c:crosses val="autoZero"/>
        <c:crossBetween val="between"/>
        <c:majorUnit val="0.2"/>
      </c:valAx>
      <c:spPr>
        <a:noFill/>
        <a:ln>
          <a:solidFill>
            <a:schemeClr val="accent1"/>
          </a:solidFill>
        </a:ln>
      </c:spPr>
    </c:plotArea>
    <c:legend>
      <c:legendPos val="t"/>
    </c:legend>
    <c:plotVisOnly val="1"/>
    <c:dispBlanksAs val="gap"/>
  </c:chart>
  <c:spPr>
    <a:ln>
      <a:noFill/>
    </a:ln>
  </c:spPr>
  <c:txPr>
    <a:bodyPr/>
    <a:lstStyle/>
    <a:p>
      <a:pPr>
        <a:defRPr>
          <a:latin typeface="Arial Narrow" panose="020B0606020202030204" pitchFamily="34" charset="0"/>
        </a:defRPr>
      </a:pPr>
      <a:endParaRPr lang="ru-RU"/>
    </a:p>
  </c:txPr>
  <c:externalData r:id="rId2"/>
</c:chartSpace>
</file>

<file path=word/charts/chart66.xml><?xml version="1.0" encoding="utf-8"?>
<c:chartSpace xmlns:c="http://schemas.openxmlformats.org/drawingml/2006/chart" xmlns:a="http://schemas.openxmlformats.org/drawingml/2006/main" xmlns:r="http://schemas.openxmlformats.org/officeDocument/2006/relationships">
  <c:date1904 val="1"/>
  <c:lang val="ru-RU"/>
  <c:style val="6"/>
  <c:chart>
    <c:plotArea>
      <c:layout>
        <c:manualLayout>
          <c:layoutTarget val="inner"/>
          <c:xMode val="edge"/>
          <c:yMode val="edge"/>
          <c:x val="0.27650257804892092"/>
          <c:y val="0.21680674842711306"/>
          <c:w val="0.68250275481088496"/>
          <c:h val="0.77798083181255562"/>
        </c:manualLayout>
      </c:layout>
      <c:barChart>
        <c:barDir val="bar"/>
        <c:grouping val="stacked"/>
        <c:ser>
          <c:idx val="0"/>
          <c:order val="0"/>
          <c:tx>
            <c:strRef>
              <c:f>Лист1!$B$1</c:f>
              <c:strCache>
                <c:ptCount val="1"/>
                <c:pt idx="0">
                  <c:v>Удовлетворительно</c:v>
                </c:pt>
              </c:strCache>
            </c:strRef>
          </c:tx>
          <c:spPr>
            <a:solidFill>
              <a:schemeClr val="accent2">
                <a:lumMod val="40000"/>
                <a:lumOff val="60000"/>
              </a:schemeClr>
            </a:solidFill>
          </c:spPr>
          <c:dLbls>
            <c:numFmt formatCode="0.0%" sourceLinked="0"/>
            <c:spPr>
              <a:noFill/>
              <a:ln>
                <a:noFill/>
              </a:ln>
              <a:effectLst/>
            </c:spPr>
            <c:txPr>
              <a:bodyPr wrap="square" lIns="38100" tIns="19050" rIns="38100" bIns="19050" anchor="ctr">
                <a:spAutoFit/>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Электроснабжение</c:v>
                </c:pt>
                <c:pt idx="1">
                  <c:v>Водоснабжение, водоотведение</c:v>
                </c:pt>
                <c:pt idx="2">
                  <c:v>Теплоснабжение</c:v>
                </c:pt>
                <c:pt idx="3">
                  <c:v>Газоснабжение</c:v>
                </c:pt>
              </c:strCache>
            </c:strRef>
          </c:cat>
          <c:val>
            <c:numRef>
              <c:f>Лист1!$B$2:$B$5</c:f>
              <c:numCache>
                <c:formatCode>0.0%</c:formatCode>
                <c:ptCount val="4"/>
                <c:pt idx="0">
                  <c:v>0.59699999999999998</c:v>
                </c:pt>
                <c:pt idx="1">
                  <c:v>0.53800000000000003</c:v>
                </c:pt>
                <c:pt idx="2">
                  <c:v>0.38700000000000362</c:v>
                </c:pt>
                <c:pt idx="3">
                  <c:v>0.34600000000000031</c:v>
                </c:pt>
              </c:numCache>
            </c:numRef>
          </c:val>
          <c:extLst xmlns:c16r2="http://schemas.microsoft.com/office/drawing/2015/06/chart">
            <c:ext xmlns:c16="http://schemas.microsoft.com/office/drawing/2014/chart" uri="{C3380CC4-5D6E-409C-BE32-E72D297353CC}">
              <c16:uniqueId val="{00000000-8593-4020-A1CD-CA80BBE6CF83}"/>
            </c:ext>
          </c:extLst>
        </c:ser>
        <c:ser>
          <c:idx val="1"/>
          <c:order val="1"/>
          <c:tx>
            <c:strRef>
              <c:f>Лист1!$C$1</c:f>
              <c:strCache>
                <c:ptCount val="1"/>
                <c:pt idx="0">
                  <c:v>Неудовлетворительно</c:v>
                </c:pt>
              </c:strCache>
            </c:strRef>
          </c:tx>
          <c:spPr>
            <a:solidFill>
              <a:srgbClr val="B28AB2"/>
            </a:solidFill>
            <a:ln>
              <a:noFill/>
            </a:ln>
          </c:spPr>
          <c:dLbls>
            <c:numFmt formatCode="0.0%" sourceLinked="0"/>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Электроснабжение</c:v>
                </c:pt>
                <c:pt idx="1">
                  <c:v>Водоснабжение, водоотведение</c:v>
                </c:pt>
                <c:pt idx="2">
                  <c:v>Теплоснабжение</c:v>
                </c:pt>
                <c:pt idx="3">
                  <c:v>Газоснабжение</c:v>
                </c:pt>
              </c:strCache>
            </c:strRef>
          </c:cat>
          <c:val>
            <c:numRef>
              <c:f>Лист1!$C$2:$C$5</c:f>
              <c:numCache>
                <c:formatCode>0.0%</c:formatCode>
                <c:ptCount val="4"/>
                <c:pt idx="0">
                  <c:v>0.38200000000000361</c:v>
                </c:pt>
                <c:pt idx="1">
                  <c:v>0.38100000000000356</c:v>
                </c:pt>
                <c:pt idx="2">
                  <c:v>0.35900000000000032</c:v>
                </c:pt>
                <c:pt idx="3">
                  <c:v>0.30500000000000038</c:v>
                </c:pt>
              </c:numCache>
            </c:numRef>
          </c:val>
          <c:extLst xmlns:c16r2="http://schemas.microsoft.com/office/drawing/2015/06/chart">
            <c:ext xmlns:c16="http://schemas.microsoft.com/office/drawing/2014/chart" uri="{C3380CC4-5D6E-409C-BE32-E72D297353CC}">
              <c16:uniqueId val="{00000001-8593-4020-A1CD-CA80BBE6CF83}"/>
            </c:ext>
          </c:extLst>
        </c:ser>
        <c:ser>
          <c:idx val="2"/>
          <c:order val="2"/>
          <c:tx>
            <c:strRef>
              <c:f>Лист1!$D$1</c:f>
              <c:strCache>
                <c:ptCount val="1"/>
                <c:pt idx="0">
                  <c:v>Затрудняюсь ответить</c:v>
                </c:pt>
              </c:strCache>
            </c:strRef>
          </c:tx>
          <c:spPr>
            <a:solidFill>
              <a:schemeClr val="bg1">
                <a:lumMod val="85000"/>
              </a:schemeClr>
            </a:solidFill>
          </c:spPr>
          <c:dLbls>
            <c:numFmt formatCode="0.0%" sourceLinked="0"/>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Электроснабжение</c:v>
                </c:pt>
                <c:pt idx="1">
                  <c:v>Водоснабжение, водоотведение</c:v>
                </c:pt>
                <c:pt idx="2">
                  <c:v>Теплоснабжение</c:v>
                </c:pt>
                <c:pt idx="3">
                  <c:v>Газоснабжение</c:v>
                </c:pt>
              </c:strCache>
            </c:strRef>
          </c:cat>
          <c:val>
            <c:numRef>
              <c:f>Лист1!$D$2:$D$5</c:f>
              <c:numCache>
                <c:formatCode>0.0%</c:formatCode>
                <c:ptCount val="4"/>
                <c:pt idx="0">
                  <c:v>2.1000000000000012E-2</c:v>
                </c:pt>
                <c:pt idx="1">
                  <c:v>8.1000000000000003E-2</c:v>
                </c:pt>
                <c:pt idx="2">
                  <c:v>0.253</c:v>
                </c:pt>
                <c:pt idx="3">
                  <c:v>0.34900000000000031</c:v>
                </c:pt>
              </c:numCache>
            </c:numRef>
          </c:val>
          <c:extLst xmlns:c16r2="http://schemas.microsoft.com/office/drawing/2015/06/chart">
            <c:ext xmlns:c16="http://schemas.microsoft.com/office/drawing/2014/chart" uri="{C3380CC4-5D6E-409C-BE32-E72D297353CC}">
              <c16:uniqueId val="{00000002-8593-4020-A1CD-CA80BBE6CF83}"/>
            </c:ext>
          </c:extLst>
        </c:ser>
        <c:overlap val="100"/>
        <c:axId val="137480832"/>
        <c:axId val="142922112"/>
      </c:barChart>
      <c:catAx>
        <c:axId val="137480832"/>
        <c:scaling>
          <c:orientation val="maxMin"/>
        </c:scaling>
        <c:axPos val="l"/>
        <c:numFmt formatCode="General" sourceLinked="1"/>
        <c:tickLblPos val="nextTo"/>
        <c:crossAx val="142922112"/>
        <c:crosses val="autoZero"/>
        <c:auto val="1"/>
        <c:lblAlgn val="ctr"/>
        <c:lblOffset val="100"/>
      </c:catAx>
      <c:valAx>
        <c:axId val="142922112"/>
        <c:scaling>
          <c:orientation val="minMax"/>
          <c:max val="1"/>
          <c:min val="0"/>
        </c:scaling>
        <c:axPos val="t"/>
        <c:majorGridlines/>
        <c:numFmt formatCode="0.0%" sourceLinked="1"/>
        <c:tickLblPos val="nextTo"/>
        <c:txPr>
          <a:bodyPr/>
          <a:lstStyle/>
          <a:p>
            <a:pPr>
              <a:defRPr sz="800"/>
            </a:pPr>
            <a:endParaRPr lang="ru-RU"/>
          </a:p>
        </c:txPr>
        <c:crossAx val="137480832"/>
        <c:crosses val="autoZero"/>
        <c:crossBetween val="between"/>
        <c:majorUnit val="0.2"/>
      </c:valAx>
      <c:spPr>
        <a:noFill/>
        <a:ln>
          <a:solidFill>
            <a:schemeClr val="accent1"/>
          </a:solidFill>
        </a:ln>
      </c:spPr>
    </c:plotArea>
    <c:legend>
      <c:legendPos val="t"/>
      <c:layout>
        <c:manualLayout>
          <c:xMode val="edge"/>
          <c:yMode val="edge"/>
          <c:x val="0.14746975326757591"/>
          <c:y val="0"/>
          <c:w val="0.70506032766119064"/>
          <c:h val="0.11158335353947835"/>
        </c:manualLayout>
      </c:layout>
    </c:legend>
    <c:plotVisOnly val="1"/>
    <c:dispBlanksAs val="gap"/>
  </c:chart>
  <c:spPr>
    <a:ln>
      <a:noFill/>
    </a:ln>
  </c:spPr>
  <c:txPr>
    <a:bodyPr/>
    <a:lstStyle/>
    <a:p>
      <a:pPr>
        <a:defRPr>
          <a:latin typeface="Arial Narrow" panose="020B0606020202030204" pitchFamily="34" charset="0"/>
        </a:defRPr>
      </a:pPr>
      <a:endParaRPr lang="ru-RU"/>
    </a:p>
  </c:txPr>
  <c:externalData r:id="rId1"/>
</c:chartSpace>
</file>

<file path=word/charts/chart67.xml><?xml version="1.0" encoding="utf-8"?>
<c:chartSpace xmlns:c="http://schemas.openxmlformats.org/drawingml/2006/chart" xmlns:a="http://schemas.openxmlformats.org/drawingml/2006/main" xmlns:r="http://schemas.openxmlformats.org/officeDocument/2006/relationships">
  <c:date1904 val="1"/>
  <c:lang val="ru-RU"/>
  <c:style val="6"/>
  <c:chart>
    <c:plotArea>
      <c:layout>
        <c:manualLayout>
          <c:layoutTarget val="inner"/>
          <c:xMode val="edge"/>
          <c:yMode val="edge"/>
          <c:x val="0.27650257804892092"/>
          <c:y val="7.6190911549699314E-2"/>
          <c:w val="0.68250275481088496"/>
          <c:h val="0.91005535048322161"/>
        </c:manualLayout>
      </c:layout>
      <c:barChart>
        <c:barDir val="bar"/>
        <c:grouping val="stacked"/>
        <c:ser>
          <c:idx val="0"/>
          <c:order val="0"/>
          <c:tx>
            <c:strRef>
              <c:f>Лист1!$B$1</c:f>
              <c:strCache>
                <c:ptCount val="1"/>
                <c:pt idx="0">
                  <c:v>Удовлетворительно</c:v>
                </c:pt>
              </c:strCache>
            </c:strRef>
          </c:tx>
          <c:spPr>
            <a:solidFill>
              <a:schemeClr val="accent2">
                <a:lumMod val="40000"/>
                <a:lumOff val="60000"/>
              </a:schemeClr>
            </a:solidFill>
          </c:spPr>
          <c:dLbls>
            <c:spPr>
              <a:noFill/>
              <a:ln>
                <a:noFill/>
              </a:ln>
              <a:effectLst/>
            </c:spPr>
            <c:txPr>
              <a:bodyPr/>
              <a:lstStyle/>
              <a:p>
                <a:pPr>
                  <a:defRPr sz="900">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Здвинский МР</c:v>
                </c:pt>
                <c:pt idx="1">
                  <c:v>Кыштовский МР</c:v>
                </c:pt>
                <c:pt idx="2">
                  <c:v>Убинский МР</c:v>
                </c:pt>
                <c:pt idx="3">
                  <c:v>Усть-Таркский МР</c:v>
                </c:pt>
                <c:pt idx="4">
                  <c:v>Баганский МР</c:v>
                </c:pt>
                <c:pt idx="5">
                  <c:v>Краснозерский МР</c:v>
                </c:pt>
                <c:pt idx="6">
                  <c:v>Ордынский МР</c:v>
                </c:pt>
                <c:pt idx="7">
                  <c:v>Барабинский МР</c:v>
                </c:pt>
                <c:pt idx="8">
                  <c:v>Чистоозерный МР</c:v>
                </c:pt>
                <c:pt idx="9">
                  <c:v>Купинский МР</c:v>
                </c:pt>
                <c:pt idx="10">
                  <c:v>Доволенский МР</c:v>
                </c:pt>
                <c:pt idx="11">
                  <c:v>Каргатский МР</c:v>
                </c:pt>
                <c:pt idx="12">
                  <c:v>Искитимский МР</c:v>
                </c:pt>
                <c:pt idx="13">
                  <c:v>Венгеровский МР</c:v>
                </c:pt>
                <c:pt idx="14">
                  <c:v>Кочковский МР</c:v>
                </c:pt>
                <c:pt idx="15">
                  <c:v>Маслянинский МР</c:v>
                </c:pt>
                <c:pt idx="16">
                  <c:v>Сузунский МР</c:v>
                </c:pt>
                <c:pt idx="17">
                  <c:v>Чулымский МР</c:v>
                </c:pt>
                <c:pt idx="18">
                  <c:v>Мошковский МР</c:v>
                </c:pt>
                <c:pt idx="19">
                  <c:v>Карасукский МР</c:v>
                </c:pt>
                <c:pt idx="20">
                  <c:v>Болотнинский МР</c:v>
                </c:pt>
                <c:pt idx="21">
                  <c:v>Новосибирский МР</c:v>
                </c:pt>
                <c:pt idx="22">
                  <c:v>Чановский МР</c:v>
                </c:pt>
                <c:pt idx="23">
                  <c:v>г. Искитим</c:v>
                </c:pt>
                <c:pt idx="24">
                  <c:v>Тогучинский МР</c:v>
                </c:pt>
                <c:pt idx="25">
                  <c:v>Коченевский МР</c:v>
                </c:pt>
                <c:pt idx="26">
                  <c:v>Северный МР</c:v>
                </c:pt>
                <c:pt idx="27">
                  <c:v>Татарский МР</c:v>
                </c:pt>
                <c:pt idx="28">
                  <c:v>Черепановский МР</c:v>
                </c:pt>
                <c:pt idx="29">
                  <c:v>Колыванский МР</c:v>
                </c:pt>
                <c:pt idx="30">
                  <c:v>Куйбышевский МР</c:v>
                </c:pt>
                <c:pt idx="31">
                  <c:v>г. Обь</c:v>
                </c:pt>
                <c:pt idx="32">
                  <c:v>р. п. Кольцово</c:v>
                </c:pt>
                <c:pt idx="33">
                  <c:v>г. Новосибирск</c:v>
                </c:pt>
                <c:pt idx="34">
                  <c:v>г. Бердск</c:v>
                </c:pt>
              </c:strCache>
            </c:strRef>
          </c:cat>
          <c:val>
            <c:numRef>
              <c:f>Лист1!$B$2:$B$36</c:f>
              <c:numCache>
                <c:formatCode>0.0%</c:formatCode>
                <c:ptCount val="35"/>
                <c:pt idx="0">
                  <c:v>0.84300000000000064</c:v>
                </c:pt>
                <c:pt idx="1">
                  <c:v>0.82900000000000063</c:v>
                </c:pt>
                <c:pt idx="2">
                  <c:v>0.81399999999999995</c:v>
                </c:pt>
                <c:pt idx="3">
                  <c:v>0.81399999999999995</c:v>
                </c:pt>
                <c:pt idx="4">
                  <c:v>0.71400000000000063</c:v>
                </c:pt>
                <c:pt idx="5">
                  <c:v>0.70000000000000062</c:v>
                </c:pt>
                <c:pt idx="6">
                  <c:v>0.67600000000000793</c:v>
                </c:pt>
                <c:pt idx="7">
                  <c:v>0.67100000000000792</c:v>
                </c:pt>
                <c:pt idx="8">
                  <c:v>0.67100000000000792</c:v>
                </c:pt>
                <c:pt idx="9">
                  <c:v>0.66700000000000792</c:v>
                </c:pt>
                <c:pt idx="10">
                  <c:v>0.66200000000000792</c:v>
                </c:pt>
                <c:pt idx="11">
                  <c:v>0.65700000000000791</c:v>
                </c:pt>
                <c:pt idx="12">
                  <c:v>0.6430000000000069</c:v>
                </c:pt>
                <c:pt idx="13">
                  <c:v>0.62900000000000666</c:v>
                </c:pt>
                <c:pt idx="14">
                  <c:v>0.62900000000000666</c:v>
                </c:pt>
                <c:pt idx="15">
                  <c:v>0.62900000000000666</c:v>
                </c:pt>
                <c:pt idx="16">
                  <c:v>0.61400000000000265</c:v>
                </c:pt>
                <c:pt idx="17">
                  <c:v>0.61400000000000265</c:v>
                </c:pt>
                <c:pt idx="18">
                  <c:v>0.60600000000000065</c:v>
                </c:pt>
                <c:pt idx="19">
                  <c:v>0.60000000000000064</c:v>
                </c:pt>
                <c:pt idx="20">
                  <c:v>0.57099999999999995</c:v>
                </c:pt>
                <c:pt idx="21">
                  <c:v>0.57099999999999995</c:v>
                </c:pt>
                <c:pt idx="22">
                  <c:v>0.56200000000000061</c:v>
                </c:pt>
                <c:pt idx="23">
                  <c:v>0.54300000000000004</c:v>
                </c:pt>
                <c:pt idx="24">
                  <c:v>0.54300000000000004</c:v>
                </c:pt>
                <c:pt idx="25">
                  <c:v>0.51400000000000001</c:v>
                </c:pt>
                <c:pt idx="26">
                  <c:v>0.51400000000000001</c:v>
                </c:pt>
                <c:pt idx="27">
                  <c:v>0.51400000000000001</c:v>
                </c:pt>
                <c:pt idx="28">
                  <c:v>0.50700000000000001</c:v>
                </c:pt>
                <c:pt idx="29">
                  <c:v>0.5</c:v>
                </c:pt>
                <c:pt idx="30">
                  <c:v>0.5</c:v>
                </c:pt>
                <c:pt idx="31">
                  <c:v>0.45100000000000001</c:v>
                </c:pt>
                <c:pt idx="32">
                  <c:v>0.42900000000000038</c:v>
                </c:pt>
                <c:pt idx="33">
                  <c:v>0.38700000000000345</c:v>
                </c:pt>
                <c:pt idx="34">
                  <c:v>0.35600000000000032</c:v>
                </c:pt>
              </c:numCache>
            </c:numRef>
          </c:val>
          <c:extLst xmlns:c16r2="http://schemas.microsoft.com/office/drawing/2015/06/chart">
            <c:ext xmlns:c16="http://schemas.microsoft.com/office/drawing/2014/chart" uri="{C3380CC4-5D6E-409C-BE32-E72D297353CC}">
              <c16:uniqueId val="{00000000-9401-405E-AFB6-03AEC7C09FB7}"/>
            </c:ext>
          </c:extLst>
        </c:ser>
        <c:ser>
          <c:idx val="1"/>
          <c:order val="1"/>
          <c:tx>
            <c:strRef>
              <c:f>Лист1!$C$1</c:f>
              <c:strCache>
                <c:ptCount val="1"/>
                <c:pt idx="0">
                  <c:v>Неудовлетворительно</c:v>
                </c:pt>
              </c:strCache>
            </c:strRef>
          </c:tx>
          <c:spPr>
            <a:solidFill>
              <a:srgbClr val="B28AB2"/>
            </a:solidFill>
            <a:ln>
              <a:noFill/>
            </a:ln>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Здвинский МР</c:v>
                </c:pt>
                <c:pt idx="1">
                  <c:v>Кыштовский МР</c:v>
                </c:pt>
                <c:pt idx="2">
                  <c:v>Убинский МР</c:v>
                </c:pt>
                <c:pt idx="3">
                  <c:v>Усть-Таркский МР</c:v>
                </c:pt>
                <c:pt idx="4">
                  <c:v>Баганский МР</c:v>
                </c:pt>
                <c:pt idx="5">
                  <c:v>Краснозерский МР</c:v>
                </c:pt>
                <c:pt idx="6">
                  <c:v>Ордынский МР</c:v>
                </c:pt>
                <c:pt idx="7">
                  <c:v>Барабинский МР</c:v>
                </c:pt>
                <c:pt idx="8">
                  <c:v>Чистоозерный МР</c:v>
                </c:pt>
                <c:pt idx="9">
                  <c:v>Купинский МР</c:v>
                </c:pt>
                <c:pt idx="10">
                  <c:v>Доволенский МР</c:v>
                </c:pt>
                <c:pt idx="11">
                  <c:v>Каргатский МР</c:v>
                </c:pt>
                <c:pt idx="12">
                  <c:v>Искитимский МР</c:v>
                </c:pt>
                <c:pt idx="13">
                  <c:v>Венгеровский МР</c:v>
                </c:pt>
                <c:pt idx="14">
                  <c:v>Кочковский МР</c:v>
                </c:pt>
                <c:pt idx="15">
                  <c:v>Маслянинский МР</c:v>
                </c:pt>
                <c:pt idx="16">
                  <c:v>Сузунский МР</c:v>
                </c:pt>
                <c:pt idx="17">
                  <c:v>Чулымский МР</c:v>
                </c:pt>
                <c:pt idx="18">
                  <c:v>Мошковский МР</c:v>
                </c:pt>
                <c:pt idx="19">
                  <c:v>Карасукский МР</c:v>
                </c:pt>
                <c:pt idx="20">
                  <c:v>Болотнинский МР</c:v>
                </c:pt>
                <c:pt idx="21">
                  <c:v>Новосибирский МР</c:v>
                </c:pt>
                <c:pt idx="22">
                  <c:v>Чановский МР</c:v>
                </c:pt>
                <c:pt idx="23">
                  <c:v>г. Искитим</c:v>
                </c:pt>
                <c:pt idx="24">
                  <c:v>Тогучинский МР</c:v>
                </c:pt>
                <c:pt idx="25">
                  <c:v>Коченевский МР</c:v>
                </c:pt>
                <c:pt idx="26">
                  <c:v>Северный МР</c:v>
                </c:pt>
                <c:pt idx="27">
                  <c:v>Татарский МР</c:v>
                </c:pt>
                <c:pt idx="28">
                  <c:v>Черепановский МР</c:v>
                </c:pt>
                <c:pt idx="29">
                  <c:v>Колыванский МР</c:v>
                </c:pt>
                <c:pt idx="30">
                  <c:v>Куйбышевский МР</c:v>
                </c:pt>
                <c:pt idx="31">
                  <c:v>г. Обь</c:v>
                </c:pt>
                <c:pt idx="32">
                  <c:v>р. п. Кольцово</c:v>
                </c:pt>
                <c:pt idx="33">
                  <c:v>г. Новосибирск</c:v>
                </c:pt>
                <c:pt idx="34">
                  <c:v>г. Бердск</c:v>
                </c:pt>
              </c:strCache>
            </c:strRef>
          </c:cat>
          <c:val>
            <c:numRef>
              <c:f>Лист1!$C$2:$C$36</c:f>
              <c:numCache>
                <c:formatCode>0.0%</c:formatCode>
                <c:ptCount val="35"/>
                <c:pt idx="0">
                  <c:v>0.129</c:v>
                </c:pt>
                <c:pt idx="1">
                  <c:v>0.17100000000000001</c:v>
                </c:pt>
                <c:pt idx="2">
                  <c:v>0.18600000000000044</c:v>
                </c:pt>
                <c:pt idx="3">
                  <c:v>0.18600000000000044</c:v>
                </c:pt>
                <c:pt idx="4">
                  <c:v>0.28600000000000031</c:v>
                </c:pt>
                <c:pt idx="5">
                  <c:v>0.28600000000000031</c:v>
                </c:pt>
                <c:pt idx="6">
                  <c:v>0.32400000000000345</c:v>
                </c:pt>
                <c:pt idx="7">
                  <c:v>0.32900000000000357</c:v>
                </c:pt>
                <c:pt idx="8">
                  <c:v>0.32900000000000357</c:v>
                </c:pt>
                <c:pt idx="9">
                  <c:v>0.33300000000000396</c:v>
                </c:pt>
                <c:pt idx="10">
                  <c:v>0.29600000000000032</c:v>
                </c:pt>
                <c:pt idx="11">
                  <c:v>0.32900000000000357</c:v>
                </c:pt>
                <c:pt idx="12">
                  <c:v>0.30000000000000032</c:v>
                </c:pt>
                <c:pt idx="13">
                  <c:v>0.32900000000000357</c:v>
                </c:pt>
                <c:pt idx="14">
                  <c:v>0.37100000000000088</c:v>
                </c:pt>
                <c:pt idx="15">
                  <c:v>0.34300000000000008</c:v>
                </c:pt>
                <c:pt idx="16">
                  <c:v>0.37100000000000088</c:v>
                </c:pt>
                <c:pt idx="17">
                  <c:v>0.34300000000000008</c:v>
                </c:pt>
                <c:pt idx="18">
                  <c:v>0.39400000000000396</c:v>
                </c:pt>
                <c:pt idx="19">
                  <c:v>0.4</c:v>
                </c:pt>
                <c:pt idx="20">
                  <c:v>0.41400000000000031</c:v>
                </c:pt>
                <c:pt idx="21">
                  <c:v>0.41400000000000031</c:v>
                </c:pt>
                <c:pt idx="22">
                  <c:v>0.43800000000000305</c:v>
                </c:pt>
                <c:pt idx="23">
                  <c:v>0.45700000000000002</c:v>
                </c:pt>
                <c:pt idx="24">
                  <c:v>0.443</c:v>
                </c:pt>
                <c:pt idx="25">
                  <c:v>0.45700000000000002</c:v>
                </c:pt>
                <c:pt idx="26">
                  <c:v>0.37100000000000088</c:v>
                </c:pt>
                <c:pt idx="27">
                  <c:v>0.45700000000000002</c:v>
                </c:pt>
                <c:pt idx="28">
                  <c:v>0.46500000000000002</c:v>
                </c:pt>
                <c:pt idx="29">
                  <c:v>0.45700000000000002</c:v>
                </c:pt>
                <c:pt idx="30">
                  <c:v>0.47100000000000031</c:v>
                </c:pt>
                <c:pt idx="31">
                  <c:v>0.50700000000000001</c:v>
                </c:pt>
                <c:pt idx="32">
                  <c:v>0.54300000000000004</c:v>
                </c:pt>
                <c:pt idx="33">
                  <c:v>0.60000000000000064</c:v>
                </c:pt>
                <c:pt idx="34">
                  <c:v>0.58899999999999997</c:v>
                </c:pt>
              </c:numCache>
            </c:numRef>
          </c:val>
          <c:extLst xmlns:c16r2="http://schemas.microsoft.com/office/drawing/2015/06/chart">
            <c:ext xmlns:c16="http://schemas.microsoft.com/office/drawing/2014/chart" uri="{C3380CC4-5D6E-409C-BE32-E72D297353CC}">
              <c16:uniqueId val="{00000001-9401-405E-AFB6-03AEC7C09FB7}"/>
            </c:ext>
          </c:extLst>
        </c:ser>
        <c:ser>
          <c:idx val="2"/>
          <c:order val="2"/>
          <c:tx>
            <c:strRef>
              <c:f>Лист1!$D$1</c:f>
              <c:strCache>
                <c:ptCount val="1"/>
                <c:pt idx="0">
                  <c:v>Затрудняюсь ответить</c:v>
                </c:pt>
              </c:strCache>
            </c:strRef>
          </c:tx>
          <c:spPr>
            <a:solidFill>
              <a:schemeClr val="bg1">
                <a:lumMod val="85000"/>
              </a:scheme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Здвинский МР</c:v>
                </c:pt>
                <c:pt idx="1">
                  <c:v>Кыштовский МР</c:v>
                </c:pt>
                <c:pt idx="2">
                  <c:v>Убинский МР</c:v>
                </c:pt>
                <c:pt idx="3">
                  <c:v>Усть-Таркский МР</c:v>
                </c:pt>
                <c:pt idx="4">
                  <c:v>Баганский МР</c:v>
                </c:pt>
                <c:pt idx="5">
                  <c:v>Краснозерский МР</c:v>
                </c:pt>
                <c:pt idx="6">
                  <c:v>Ордынский МР</c:v>
                </c:pt>
                <c:pt idx="7">
                  <c:v>Барабинский МР</c:v>
                </c:pt>
                <c:pt idx="8">
                  <c:v>Чистоозерный МР</c:v>
                </c:pt>
                <c:pt idx="9">
                  <c:v>Купинский МР</c:v>
                </c:pt>
                <c:pt idx="10">
                  <c:v>Доволенский МР</c:v>
                </c:pt>
                <c:pt idx="11">
                  <c:v>Каргатский МР</c:v>
                </c:pt>
                <c:pt idx="12">
                  <c:v>Искитимский МР</c:v>
                </c:pt>
                <c:pt idx="13">
                  <c:v>Венгеровский МР</c:v>
                </c:pt>
                <c:pt idx="14">
                  <c:v>Кочковский МР</c:v>
                </c:pt>
                <c:pt idx="15">
                  <c:v>Маслянинский МР</c:v>
                </c:pt>
                <c:pt idx="16">
                  <c:v>Сузунский МР</c:v>
                </c:pt>
                <c:pt idx="17">
                  <c:v>Чулымский МР</c:v>
                </c:pt>
                <c:pt idx="18">
                  <c:v>Мошковский МР</c:v>
                </c:pt>
                <c:pt idx="19">
                  <c:v>Карасукский МР</c:v>
                </c:pt>
                <c:pt idx="20">
                  <c:v>Болотнинский МР</c:v>
                </c:pt>
                <c:pt idx="21">
                  <c:v>Новосибирский МР</c:v>
                </c:pt>
                <c:pt idx="22">
                  <c:v>Чановский МР</c:v>
                </c:pt>
                <c:pt idx="23">
                  <c:v>г. Искитим</c:v>
                </c:pt>
                <c:pt idx="24">
                  <c:v>Тогучинский МР</c:v>
                </c:pt>
                <c:pt idx="25">
                  <c:v>Коченевский МР</c:v>
                </c:pt>
                <c:pt idx="26">
                  <c:v>Северный МР</c:v>
                </c:pt>
                <c:pt idx="27">
                  <c:v>Татарский МР</c:v>
                </c:pt>
                <c:pt idx="28">
                  <c:v>Черепановский МР</c:v>
                </c:pt>
                <c:pt idx="29">
                  <c:v>Колыванский МР</c:v>
                </c:pt>
                <c:pt idx="30">
                  <c:v>Куйбышевский МР</c:v>
                </c:pt>
                <c:pt idx="31">
                  <c:v>г. Обь</c:v>
                </c:pt>
                <c:pt idx="32">
                  <c:v>р. п. Кольцово</c:v>
                </c:pt>
                <c:pt idx="33">
                  <c:v>г. Новосибирск</c:v>
                </c:pt>
                <c:pt idx="34">
                  <c:v>г. Бердск</c:v>
                </c:pt>
              </c:strCache>
            </c:strRef>
          </c:cat>
          <c:val>
            <c:numRef>
              <c:f>Лист1!$D$2:$D$36</c:f>
              <c:numCache>
                <c:formatCode>0.0%</c:formatCode>
                <c:ptCount val="35"/>
                <c:pt idx="0">
                  <c:v>2.9000000000000001E-2</c:v>
                </c:pt>
                <c:pt idx="1">
                  <c:v>0</c:v>
                </c:pt>
                <c:pt idx="2">
                  <c:v>0</c:v>
                </c:pt>
                <c:pt idx="3">
                  <c:v>0</c:v>
                </c:pt>
                <c:pt idx="4">
                  <c:v>0</c:v>
                </c:pt>
                <c:pt idx="5">
                  <c:v>1.4E-2</c:v>
                </c:pt>
                <c:pt idx="6">
                  <c:v>0</c:v>
                </c:pt>
                <c:pt idx="7">
                  <c:v>0</c:v>
                </c:pt>
                <c:pt idx="8">
                  <c:v>0</c:v>
                </c:pt>
                <c:pt idx="9">
                  <c:v>0</c:v>
                </c:pt>
                <c:pt idx="10">
                  <c:v>4.2000000000000023E-2</c:v>
                </c:pt>
                <c:pt idx="11">
                  <c:v>1.4E-2</c:v>
                </c:pt>
                <c:pt idx="12">
                  <c:v>5.7000000000000023E-2</c:v>
                </c:pt>
                <c:pt idx="13">
                  <c:v>4.3000000000000003E-2</c:v>
                </c:pt>
                <c:pt idx="14">
                  <c:v>0</c:v>
                </c:pt>
                <c:pt idx="15">
                  <c:v>2.9000000000000001E-2</c:v>
                </c:pt>
                <c:pt idx="16">
                  <c:v>1.4E-2</c:v>
                </c:pt>
                <c:pt idx="17">
                  <c:v>4.3000000000000003E-2</c:v>
                </c:pt>
                <c:pt idx="18">
                  <c:v>0</c:v>
                </c:pt>
                <c:pt idx="19">
                  <c:v>0</c:v>
                </c:pt>
                <c:pt idx="20">
                  <c:v>1.4E-2</c:v>
                </c:pt>
                <c:pt idx="21">
                  <c:v>1.4E-2</c:v>
                </c:pt>
                <c:pt idx="22">
                  <c:v>0</c:v>
                </c:pt>
                <c:pt idx="23">
                  <c:v>0</c:v>
                </c:pt>
                <c:pt idx="24">
                  <c:v>1.4E-2</c:v>
                </c:pt>
                <c:pt idx="25">
                  <c:v>2.9000000000000001E-2</c:v>
                </c:pt>
                <c:pt idx="26">
                  <c:v>0.114</c:v>
                </c:pt>
                <c:pt idx="27">
                  <c:v>2.9000000000000001E-2</c:v>
                </c:pt>
                <c:pt idx="28">
                  <c:v>2.8000000000000001E-2</c:v>
                </c:pt>
                <c:pt idx="29">
                  <c:v>4.3000000000000003E-2</c:v>
                </c:pt>
                <c:pt idx="30">
                  <c:v>2.9000000000000001E-2</c:v>
                </c:pt>
                <c:pt idx="31">
                  <c:v>4.2000000000000023E-2</c:v>
                </c:pt>
                <c:pt idx="32">
                  <c:v>2.9000000000000001E-2</c:v>
                </c:pt>
                <c:pt idx="33">
                  <c:v>1.2999999999999998E-2</c:v>
                </c:pt>
                <c:pt idx="34">
                  <c:v>5.5000000000000014E-2</c:v>
                </c:pt>
              </c:numCache>
            </c:numRef>
          </c:val>
          <c:extLst xmlns:c16r2="http://schemas.microsoft.com/office/drawing/2015/06/chart">
            <c:ext xmlns:c16="http://schemas.microsoft.com/office/drawing/2014/chart" uri="{C3380CC4-5D6E-409C-BE32-E72D297353CC}">
              <c16:uniqueId val="{00000002-9401-405E-AFB6-03AEC7C09FB7}"/>
            </c:ext>
          </c:extLst>
        </c:ser>
        <c:overlap val="100"/>
        <c:axId val="143371648"/>
        <c:axId val="143373440"/>
      </c:barChart>
      <c:catAx>
        <c:axId val="143371648"/>
        <c:scaling>
          <c:orientation val="maxMin"/>
        </c:scaling>
        <c:axPos val="l"/>
        <c:numFmt formatCode="General" sourceLinked="1"/>
        <c:tickLblPos val="nextTo"/>
        <c:crossAx val="143373440"/>
        <c:crosses val="autoZero"/>
        <c:auto val="1"/>
        <c:lblAlgn val="ctr"/>
        <c:lblOffset val="100"/>
      </c:catAx>
      <c:valAx>
        <c:axId val="143373440"/>
        <c:scaling>
          <c:orientation val="minMax"/>
          <c:max val="1"/>
          <c:min val="0"/>
        </c:scaling>
        <c:axPos val="t"/>
        <c:majorGridlines/>
        <c:numFmt formatCode="0.0%" sourceLinked="1"/>
        <c:tickLblPos val="nextTo"/>
        <c:txPr>
          <a:bodyPr/>
          <a:lstStyle/>
          <a:p>
            <a:pPr>
              <a:defRPr sz="600"/>
            </a:pPr>
            <a:endParaRPr lang="ru-RU"/>
          </a:p>
        </c:txPr>
        <c:crossAx val="143371648"/>
        <c:crosses val="autoZero"/>
        <c:crossBetween val="between"/>
        <c:majorUnit val="0.2"/>
      </c:valAx>
      <c:spPr>
        <a:noFill/>
        <a:ln>
          <a:solidFill>
            <a:schemeClr val="accent1"/>
          </a:solidFill>
        </a:ln>
      </c:spPr>
    </c:plotArea>
    <c:legend>
      <c:legendPos val="t"/>
    </c:legend>
    <c:plotVisOnly val="1"/>
    <c:dispBlanksAs val="gap"/>
  </c:chart>
  <c:spPr>
    <a:ln>
      <a:noFill/>
    </a:ln>
  </c:spPr>
  <c:txPr>
    <a:bodyPr/>
    <a:lstStyle/>
    <a:p>
      <a:pPr>
        <a:defRPr>
          <a:latin typeface="Arial Narrow" panose="020B0606020202030204" pitchFamily="34" charset="0"/>
        </a:defRPr>
      </a:pPr>
      <a:endParaRPr lang="ru-RU"/>
    </a:p>
  </c:txPr>
  <c:externalData r:id="rId1"/>
</c:chartSpace>
</file>

<file path=word/charts/chart68.xml><?xml version="1.0" encoding="utf-8"?>
<c:chartSpace xmlns:c="http://schemas.openxmlformats.org/drawingml/2006/chart" xmlns:a="http://schemas.openxmlformats.org/drawingml/2006/main" xmlns:r="http://schemas.openxmlformats.org/officeDocument/2006/relationships">
  <c:date1904 val="1"/>
  <c:lang val="ru-RU"/>
  <c:style val="6"/>
  <c:chart>
    <c:plotArea>
      <c:layout>
        <c:manualLayout>
          <c:layoutTarget val="inner"/>
          <c:xMode val="edge"/>
          <c:yMode val="edge"/>
          <c:x val="0.27650257804892092"/>
          <c:y val="6.0847302846268332E-2"/>
          <c:w val="0.68250275481088496"/>
          <c:h val="0.92762432068254264"/>
        </c:manualLayout>
      </c:layout>
      <c:barChart>
        <c:barDir val="bar"/>
        <c:grouping val="stacked"/>
        <c:ser>
          <c:idx val="0"/>
          <c:order val="0"/>
          <c:tx>
            <c:strRef>
              <c:f>Лист1!$B$1</c:f>
              <c:strCache>
                <c:ptCount val="1"/>
                <c:pt idx="0">
                  <c:v>Удовлетворительно</c:v>
                </c:pt>
              </c:strCache>
            </c:strRef>
          </c:tx>
          <c:spPr>
            <a:solidFill>
              <a:schemeClr val="accent2">
                <a:lumMod val="40000"/>
                <a:lumOff val="60000"/>
              </a:schemeClr>
            </a:solidFill>
          </c:spPr>
          <c:dLbls>
            <c:spPr>
              <a:noFill/>
              <a:ln>
                <a:noFill/>
              </a:ln>
              <a:effectLst/>
            </c:spPr>
            <c:txPr>
              <a:bodyPr/>
              <a:lstStyle/>
              <a:p>
                <a:pPr>
                  <a:defRPr sz="900">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Усть-Таркский МР</c:v>
                </c:pt>
                <c:pt idx="1">
                  <c:v>Здвинский МР</c:v>
                </c:pt>
                <c:pt idx="2">
                  <c:v>Баганский МР</c:v>
                </c:pt>
                <c:pt idx="3">
                  <c:v>Убинский МР</c:v>
                </c:pt>
                <c:pt idx="4">
                  <c:v>Кыштовский МР</c:v>
                </c:pt>
                <c:pt idx="5">
                  <c:v>Татарский МР</c:v>
                </c:pt>
                <c:pt idx="6">
                  <c:v>Купинский МР</c:v>
                </c:pt>
                <c:pt idx="7">
                  <c:v>Маслянинский МР</c:v>
                </c:pt>
                <c:pt idx="8">
                  <c:v>Чистоозерный МР</c:v>
                </c:pt>
                <c:pt idx="9">
                  <c:v>Сузунский МР</c:v>
                </c:pt>
                <c:pt idx="10">
                  <c:v>Карасукский МР</c:v>
                </c:pt>
                <c:pt idx="11">
                  <c:v>Каргатский МР</c:v>
                </c:pt>
                <c:pt idx="12">
                  <c:v>Доволенский МР</c:v>
                </c:pt>
                <c:pt idx="13">
                  <c:v>Чулымский МР</c:v>
                </c:pt>
                <c:pt idx="14">
                  <c:v>Краснозерский МР</c:v>
                </c:pt>
                <c:pt idx="15">
                  <c:v>Чановский МР</c:v>
                </c:pt>
                <c:pt idx="16">
                  <c:v>Болотнинский МР</c:v>
                </c:pt>
                <c:pt idx="17">
                  <c:v>Венгеровский МР</c:v>
                </c:pt>
                <c:pt idx="18">
                  <c:v>Черепановский МР</c:v>
                </c:pt>
                <c:pt idx="19">
                  <c:v>Барабинский МР</c:v>
                </c:pt>
                <c:pt idx="20">
                  <c:v>г. Искитим</c:v>
                </c:pt>
                <c:pt idx="21">
                  <c:v>Коченевский МР</c:v>
                </c:pt>
                <c:pt idx="22">
                  <c:v>Тогучинский МР</c:v>
                </c:pt>
                <c:pt idx="23">
                  <c:v>Кочковский МР</c:v>
                </c:pt>
                <c:pt idx="24">
                  <c:v>Мошковский МР</c:v>
                </c:pt>
                <c:pt idx="25">
                  <c:v>Искитимский МР</c:v>
                </c:pt>
                <c:pt idx="26">
                  <c:v>Ордынский МР</c:v>
                </c:pt>
                <c:pt idx="27">
                  <c:v>Куйбышевский МР</c:v>
                </c:pt>
                <c:pt idx="28">
                  <c:v>Новосибирский МР</c:v>
                </c:pt>
                <c:pt idx="29">
                  <c:v>г. Новосибирск</c:v>
                </c:pt>
                <c:pt idx="30">
                  <c:v>Колыванский МР</c:v>
                </c:pt>
                <c:pt idx="31">
                  <c:v>г. Бердск</c:v>
                </c:pt>
                <c:pt idx="32">
                  <c:v>г. Обь</c:v>
                </c:pt>
                <c:pt idx="33">
                  <c:v>р. п. Кольцово</c:v>
                </c:pt>
                <c:pt idx="34">
                  <c:v>Северный МР</c:v>
                </c:pt>
              </c:strCache>
            </c:strRef>
          </c:cat>
          <c:val>
            <c:numRef>
              <c:f>Лист1!$B$2:$B$36</c:f>
              <c:numCache>
                <c:formatCode>0.0%</c:formatCode>
                <c:ptCount val="35"/>
                <c:pt idx="0">
                  <c:v>0.78600000000000003</c:v>
                </c:pt>
                <c:pt idx="1">
                  <c:v>0.7430000000000061</c:v>
                </c:pt>
                <c:pt idx="2">
                  <c:v>0.72900000000000065</c:v>
                </c:pt>
                <c:pt idx="3">
                  <c:v>0.71400000000000063</c:v>
                </c:pt>
                <c:pt idx="4">
                  <c:v>0.70000000000000062</c:v>
                </c:pt>
                <c:pt idx="5">
                  <c:v>0.68600000000000005</c:v>
                </c:pt>
                <c:pt idx="6">
                  <c:v>0.66700000000000792</c:v>
                </c:pt>
                <c:pt idx="7">
                  <c:v>0.65700000000000791</c:v>
                </c:pt>
                <c:pt idx="8">
                  <c:v>0.65700000000000791</c:v>
                </c:pt>
                <c:pt idx="9">
                  <c:v>0.61400000000000265</c:v>
                </c:pt>
                <c:pt idx="10">
                  <c:v>0.60000000000000064</c:v>
                </c:pt>
                <c:pt idx="11">
                  <c:v>0.60000000000000064</c:v>
                </c:pt>
                <c:pt idx="12">
                  <c:v>0.59199999999999997</c:v>
                </c:pt>
                <c:pt idx="13">
                  <c:v>0.58599999999999997</c:v>
                </c:pt>
                <c:pt idx="14">
                  <c:v>0.57099999999999995</c:v>
                </c:pt>
                <c:pt idx="15">
                  <c:v>0.56200000000000061</c:v>
                </c:pt>
                <c:pt idx="16">
                  <c:v>0.55700000000000005</c:v>
                </c:pt>
                <c:pt idx="17">
                  <c:v>0.54300000000000004</c:v>
                </c:pt>
                <c:pt idx="18">
                  <c:v>0.53500000000000003</c:v>
                </c:pt>
                <c:pt idx="19">
                  <c:v>0.52900000000000003</c:v>
                </c:pt>
                <c:pt idx="20">
                  <c:v>0.51400000000000001</c:v>
                </c:pt>
                <c:pt idx="21">
                  <c:v>0.51400000000000001</c:v>
                </c:pt>
                <c:pt idx="22">
                  <c:v>0.51400000000000001</c:v>
                </c:pt>
                <c:pt idx="23">
                  <c:v>0.5</c:v>
                </c:pt>
                <c:pt idx="24">
                  <c:v>0.46500000000000002</c:v>
                </c:pt>
                <c:pt idx="25">
                  <c:v>0.45700000000000002</c:v>
                </c:pt>
                <c:pt idx="26">
                  <c:v>0.45100000000000001</c:v>
                </c:pt>
                <c:pt idx="27">
                  <c:v>0.42900000000000038</c:v>
                </c:pt>
                <c:pt idx="28">
                  <c:v>0.41400000000000031</c:v>
                </c:pt>
                <c:pt idx="29">
                  <c:v>0.39300000000000385</c:v>
                </c:pt>
                <c:pt idx="30">
                  <c:v>0.37100000000000088</c:v>
                </c:pt>
                <c:pt idx="31">
                  <c:v>0.37000000000000038</c:v>
                </c:pt>
                <c:pt idx="32">
                  <c:v>0.35200000000000031</c:v>
                </c:pt>
                <c:pt idx="33">
                  <c:v>0.31400000000000305</c:v>
                </c:pt>
                <c:pt idx="34">
                  <c:v>0.31400000000000305</c:v>
                </c:pt>
              </c:numCache>
            </c:numRef>
          </c:val>
          <c:extLst xmlns:c16r2="http://schemas.microsoft.com/office/drawing/2015/06/chart">
            <c:ext xmlns:c16="http://schemas.microsoft.com/office/drawing/2014/chart" uri="{C3380CC4-5D6E-409C-BE32-E72D297353CC}">
              <c16:uniqueId val="{00000000-32BC-4626-94E3-DF8A270A1691}"/>
            </c:ext>
          </c:extLst>
        </c:ser>
        <c:ser>
          <c:idx val="1"/>
          <c:order val="1"/>
          <c:tx>
            <c:strRef>
              <c:f>Лист1!$C$1</c:f>
              <c:strCache>
                <c:ptCount val="1"/>
                <c:pt idx="0">
                  <c:v>Неудовлетворительно</c:v>
                </c:pt>
              </c:strCache>
            </c:strRef>
          </c:tx>
          <c:spPr>
            <a:solidFill>
              <a:srgbClr val="B28AB2"/>
            </a:solidFill>
            <a:ln>
              <a:noFill/>
            </a:ln>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Усть-Таркский МР</c:v>
                </c:pt>
                <c:pt idx="1">
                  <c:v>Здвинский МР</c:v>
                </c:pt>
                <c:pt idx="2">
                  <c:v>Баганский МР</c:v>
                </c:pt>
                <c:pt idx="3">
                  <c:v>Убинский МР</c:v>
                </c:pt>
                <c:pt idx="4">
                  <c:v>Кыштовский МР</c:v>
                </c:pt>
                <c:pt idx="5">
                  <c:v>Татарский МР</c:v>
                </c:pt>
                <c:pt idx="6">
                  <c:v>Купинский МР</c:v>
                </c:pt>
                <c:pt idx="7">
                  <c:v>Маслянинский МР</c:v>
                </c:pt>
                <c:pt idx="8">
                  <c:v>Чистоозерный МР</c:v>
                </c:pt>
                <c:pt idx="9">
                  <c:v>Сузунский МР</c:v>
                </c:pt>
                <c:pt idx="10">
                  <c:v>Карасукский МР</c:v>
                </c:pt>
                <c:pt idx="11">
                  <c:v>Каргатский МР</c:v>
                </c:pt>
                <c:pt idx="12">
                  <c:v>Доволенский МР</c:v>
                </c:pt>
                <c:pt idx="13">
                  <c:v>Чулымский МР</c:v>
                </c:pt>
                <c:pt idx="14">
                  <c:v>Краснозерский МР</c:v>
                </c:pt>
                <c:pt idx="15">
                  <c:v>Чановский МР</c:v>
                </c:pt>
                <c:pt idx="16">
                  <c:v>Болотнинский МР</c:v>
                </c:pt>
                <c:pt idx="17">
                  <c:v>Венгеровский МР</c:v>
                </c:pt>
                <c:pt idx="18">
                  <c:v>Черепановский МР</c:v>
                </c:pt>
                <c:pt idx="19">
                  <c:v>Барабинский МР</c:v>
                </c:pt>
                <c:pt idx="20">
                  <c:v>г. Искитим</c:v>
                </c:pt>
                <c:pt idx="21">
                  <c:v>Коченевский МР</c:v>
                </c:pt>
                <c:pt idx="22">
                  <c:v>Тогучинский МР</c:v>
                </c:pt>
                <c:pt idx="23">
                  <c:v>Кочковский МР</c:v>
                </c:pt>
                <c:pt idx="24">
                  <c:v>Мошковский МР</c:v>
                </c:pt>
                <c:pt idx="25">
                  <c:v>Искитимский МР</c:v>
                </c:pt>
                <c:pt idx="26">
                  <c:v>Ордынский МР</c:v>
                </c:pt>
                <c:pt idx="27">
                  <c:v>Куйбышевский МР</c:v>
                </c:pt>
                <c:pt idx="28">
                  <c:v>Новосибирский МР</c:v>
                </c:pt>
                <c:pt idx="29">
                  <c:v>г. Новосибирск</c:v>
                </c:pt>
                <c:pt idx="30">
                  <c:v>Колыванский МР</c:v>
                </c:pt>
                <c:pt idx="31">
                  <c:v>г. Бердск</c:v>
                </c:pt>
                <c:pt idx="32">
                  <c:v>г. Обь</c:v>
                </c:pt>
                <c:pt idx="33">
                  <c:v>р. п. Кольцово</c:v>
                </c:pt>
                <c:pt idx="34">
                  <c:v>Северный МР</c:v>
                </c:pt>
              </c:strCache>
            </c:strRef>
          </c:cat>
          <c:val>
            <c:numRef>
              <c:f>Лист1!$C$2:$C$36</c:f>
              <c:numCache>
                <c:formatCode>0.0%</c:formatCode>
                <c:ptCount val="35"/>
                <c:pt idx="0">
                  <c:v>0.14300000000000004</c:v>
                </c:pt>
                <c:pt idx="1">
                  <c:v>0.21400000000000041</c:v>
                </c:pt>
                <c:pt idx="2">
                  <c:v>0.27100000000000002</c:v>
                </c:pt>
                <c:pt idx="3">
                  <c:v>0.27100000000000002</c:v>
                </c:pt>
                <c:pt idx="4">
                  <c:v>0.25700000000000001</c:v>
                </c:pt>
                <c:pt idx="5">
                  <c:v>0.28600000000000031</c:v>
                </c:pt>
                <c:pt idx="6">
                  <c:v>0.30600000000000038</c:v>
                </c:pt>
                <c:pt idx="7">
                  <c:v>0.32900000000000357</c:v>
                </c:pt>
                <c:pt idx="8">
                  <c:v>0.34300000000000008</c:v>
                </c:pt>
                <c:pt idx="9">
                  <c:v>0.34300000000000008</c:v>
                </c:pt>
                <c:pt idx="10">
                  <c:v>0.38600000000000345</c:v>
                </c:pt>
                <c:pt idx="11">
                  <c:v>0.38600000000000345</c:v>
                </c:pt>
                <c:pt idx="12">
                  <c:v>0.29600000000000032</c:v>
                </c:pt>
                <c:pt idx="13">
                  <c:v>0.30000000000000032</c:v>
                </c:pt>
                <c:pt idx="14">
                  <c:v>0.22900000000000001</c:v>
                </c:pt>
                <c:pt idx="15">
                  <c:v>0.41100000000000031</c:v>
                </c:pt>
                <c:pt idx="16">
                  <c:v>0.4</c:v>
                </c:pt>
                <c:pt idx="17">
                  <c:v>0.4</c:v>
                </c:pt>
                <c:pt idx="18">
                  <c:v>0.33800000000000396</c:v>
                </c:pt>
                <c:pt idx="19">
                  <c:v>0.42900000000000038</c:v>
                </c:pt>
                <c:pt idx="20">
                  <c:v>0.45700000000000002</c:v>
                </c:pt>
                <c:pt idx="21">
                  <c:v>0.41400000000000031</c:v>
                </c:pt>
                <c:pt idx="22">
                  <c:v>0.31400000000000305</c:v>
                </c:pt>
                <c:pt idx="23">
                  <c:v>0.38600000000000345</c:v>
                </c:pt>
                <c:pt idx="24">
                  <c:v>0.42300000000000032</c:v>
                </c:pt>
                <c:pt idx="25">
                  <c:v>0.41400000000000031</c:v>
                </c:pt>
                <c:pt idx="26">
                  <c:v>0.38000000000000328</c:v>
                </c:pt>
                <c:pt idx="27">
                  <c:v>0.443</c:v>
                </c:pt>
                <c:pt idx="28">
                  <c:v>0.45700000000000002</c:v>
                </c:pt>
                <c:pt idx="29">
                  <c:v>0.59299999999999997</c:v>
                </c:pt>
                <c:pt idx="30">
                  <c:v>0.47100000000000031</c:v>
                </c:pt>
                <c:pt idx="31">
                  <c:v>0.58899999999999997</c:v>
                </c:pt>
                <c:pt idx="32">
                  <c:v>0.59199999999999997</c:v>
                </c:pt>
                <c:pt idx="33">
                  <c:v>0.6430000000000069</c:v>
                </c:pt>
                <c:pt idx="34">
                  <c:v>0.15700000000000044</c:v>
                </c:pt>
              </c:numCache>
            </c:numRef>
          </c:val>
          <c:extLst xmlns:c16r2="http://schemas.microsoft.com/office/drawing/2015/06/chart">
            <c:ext xmlns:c16="http://schemas.microsoft.com/office/drawing/2014/chart" uri="{C3380CC4-5D6E-409C-BE32-E72D297353CC}">
              <c16:uniqueId val="{00000001-32BC-4626-94E3-DF8A270A1691}"/>
            </c:ext>
          </c:extLst>
        </c:ser>
        <c:ser>
          <c:idx val="2"/>
          <c:order val="2"/>
          <c:tx>
            <c:strRef>
              <c:f>Лист1!$D$1</c:f>
              <c:strCache>
                <c:ptCount val="1"/>
                <c:pt idx="0">
                  <c:v>Затрудняюсь ответить</c:v>
                </c:pt>
              </c:strCache>
            </c:strRef>
          </c:tx>
          <c:spPr>
            <a:solidFill>
              <a:schemeClr val="bg1">
                <a:lumMod val="85000"/>
              </a:scheme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Усть-Таркский МР</c:v>
                </c:pt>
                <c:pt idx="1">
                  <c:v>Здвинский МР</c:v>
                </c:pt>
                <c:pt idx="2">
                  <c:v>Баганский МР</c:v>
                </c:pt>
                <c:pt idx="3">
                  <c:v>Убинский МР</c:v>
                </c:pt>
                <c:pt idx="4">
                  <c:v>Кыштовский МР</c:v>
                </c:pt>
                <c:pt idx="5">
                  <c:v>Татарский МР</c:v>
                </c:pt>
                <c:pt idx="6">
                  <c:v>Купинский МР</c:v>
                </c:pt>
                <c:pt idx="7">
                  <c:v>Маслянинский МР</c:v>
                </c:pt>
                <c:pt idx="8">
                  <c:v>Чистоозерный МР</c:v>
                </c:pt>
                <c:pt idx="9">
                  <c:v>Сузунский МР</c:v>
                </c:pt>
                <c:pt idx="10">
                  <c:v>Карасукский МР</c:v>
                </c:pt>
                <c:pt idx="11">
                  <c:v>Каргатский МР</c:v>
                </c:pt>
                <c:pt idx="12">
                  <c:v>Доволенский МР</c:v>
                </c:pt>
                <c:pt idx="13">
                  <c:v>Чулымский МР</c:v>
                </c:pt>
                <c:pt idx="14">
                  <c:v>Краснозерский МР</c:v>
                </c:pt>
                <c:pt idx="15">
                  <c:v>Чановский МР</c:v>
                </c:pt>
                <c:pt idx="16">
                  <c:v>Болотнинский МР</c:v>
                </c:pt>
                <c:pt idx="17">
                  <c:v>Венгеровский МР</c:v>
                </c:pt>
                <c:pt idx="18">
                  <c:v>Черепановский МР</c:v>
                </c:pt>
                <c:pt idx="19">
                  <c:v>Барабинский МР</c:v>
                </c:pt>
                <c:pt idx="20">
                  <c:v>г. Искитим</c:v>
                </c:pt>
                <c:pt idx="21">
                  <c:v>Коченевский МР</c:v>
                </c:pt>
                <c:pt idx="22">
                  <c:v>Тогучинский МР</c:v>
                </c:pt>
                <c:pt idx="23">
                  <c:v>Кочковский МР</c:v>
                </c:pt>
                <c:pt idx="24">
                  <c:v>Мошковский МР</c:v>
                </c:pt>
                <c:pt idx="25">
                  <c:v>Искитимский МР</c:v>
                </c:pt>
                <c:pt idx="26">
                  <c:v>Ордынский МР</c:v>
                </c:pt>
                <c:pt idx="27">
                  <c:v>Куйбышевский МР</c:v>
                </c:pt>
                <c:pt idx="28">
                  <c:v>Новосибирский МР</c:v>
                </c:pt>
                <c:pt idx="29">
                  <c:v>г. Новосибирск</c:v>
                </c:pt>
                <c:pt idx="30">
                  <c:v>Колыванский МР</c:v>
                </c:pt>
                <c:pt idx="31">
                  <c:v>г. Бердск</c:v>
                </c:pt>
                <c:pt idx="32">
                  <c:v>г. Обь</c:v>
                </c:pt>
                <c:pt idx="33">
                  <c:v>р. п. Кольцово</c:v>
                </c:pt>
                <c:pt idx="34">
                  <c:v>Северный МР</c:v>
                </c:pt>
              </c:strCache>
            </c:strRef>
          </c:cat>
          <c:val>
            <c:numRef>
              <c:f>Лист1!$D$2:$D$36</c:f>
              <c:numCache>
                <c:formatCode>0.0%</c:formatCode>
                <c:ptCount val="35"/>
                <c:pt idx="0">
                  <c:v>7.0999999999999994E-2</c:v>
                </c:pt>
                <c:pt idx="1">
                  <c:v>4.3000000000000003E-2</c:v>
                </c:pt>
                <c:pt idx="2">
                  <c:v>0</c:v>
                </c:pt>
                <c:pt idx="3">
                  <c:v>1.4E-2</c:v>
                </c:pt>
                <c:pt idx="4">
                  <c:v>4.3000000000000003E-2</c:v>
                </c:pt>
                <c:pt idx="5">
                  <c:v>2.9000000000000001E-2</c:v>
                </c:pt>
                <c:pt idx="6">
                  <c:v>2.8000000000000001E-2</c:v>
                </c:pt>
                <c:pt idx="7">
                  <c:v>1.4E-2</c:v>
                </c:pt>
                <c:pt idx="8">
                  <c:v>0</c:v>
                </c:pt>
                <c:pt idx="9">
                  <c:v>4.3000000000000003E-2</c:v>
                </c:pt>
                <c:pt idx="10">
                  <c:v>1.4E-2</c:v>
                </c:pt>
                <c:pt idx="11">
                  <c:v>1.4E-2</c:v>
                </c:pt>
                <c:pt idx="12">
                  <c:v>0.113</c:v>
                </c:pt>
                <c:pt idx="13">
                  <c:v>0.114</c:v>
                </c:pt>
                <c:pt idx="14">
                  <c:v>0.2</c:v>
                </c:pt>
                <c:pt idx="15">
                  <c:v>2.7000000000000256E-2</c:v>
                </c:pt>
                <c:pt idx="16">
                  <c:v>4.3000000000000003E-2</c:v>
                </c:pt>
                <c:pt idx="17">
                  <c:v>5.7000000000000023E-2</c:v>
                </c:pt>
                <c:pt idx="18">
                  <c:v>0.127</c:v>
                </c:pt>
                <c:pt idx="19">
                  <c:v>4.3000000000000003E-2</c:v>
                </c:pt>
                <c:pt idx="20">
                  <c:v>2.9000000000000001E-2</c:v>
                </c:pt>
                <c:pt idx="21">
                  <c:v>7.0999999999999994E-2</c:v>
                </c:pt>
                <c:pt idx="22">
                  <c:v>0.17100000000000001</c:v>
                </c:pt>
                <c:pt idx="23">
                  <c:v>0.114</c:v>
                </c:pt>
                <c:pt idx="24">
                  <c:v>0.113</c:v>
                </c:pt>
                <c:pt idx="25">
                  <c:v>0.129</c:v>
                </c:pt>
                <c:pt idx="26">
                  <c:v>0.16900000000000001</c:v>
                </c:pt>
                <c:pt idx="27">
                  <c:v>0.129</c:v>
                </c:pt>
                <c:pt idx="28">
                  <c:v>0.129</c:v>
                </c:pt>
                <c:pt idx="29">
                  <c:v>1.2999999999999998E-2</c:v>
                </c:pt>
                <c:pt idx="30">
                  <c:v>0.15700000000000044</c:v>
                </c:pt>
                <c:pt idx="31">
                  <c:v>4.1000000000000002E-2</c:v>
                </c:pt>
                <c:pt idx="32">
                  <c:v>5.6000000000000001E-2</c:v>
                </c:pt>
                <c:pt idx="33">
                  <c:v>4.3000000000000003E-2</c:v>
                </c:pt>
                <c:pt idx="34">
                  <c:v>0.52900000000000003</c:v>
                </c:pt>
              </c:numCache>
            </c:numRef>
          </c:val>
          <c:extLst xmlns:c16r2="http://schemas.microsoft.com/office/drawing/2015/06/chart">
            <c:ext xmlns:c16="http://schemas.microsoft.com/office/drawing/2014/chart" uri="{C3380CC4-5D6E-409C-BE32-E72D297353CC}">
              <c16:uniqueId val="{00000002-32BC-4626-94E3-DF8A270A1691}"/>
            </c:ext>
          </c:extLst>
        </c:ser>
        <c:overlap val="100"/>
        <c:axId val="143188352"/>
        <c:axId val="143189888"/>
      </c:barChart>
      <c:catAx>
        <c:axId val="143188352"/>
        <c:scaling>
          <c:orientation val="maxMin"/>
        </c:scaling>
        <c:axPos val="l"/>
        <c:numFmt formatCode="General" sourceLinked="1"/>
        <c:tickLblPos val="nextTo"/>
        <c:crossAx val="143189888"/>
        <c:crosses val="autoZero"/>
        <c:auto val="1"/>
        <c:lblAlgn val="ctr"/>
        <c:lblOffset val="100"/>
      </c:catAx>
      <c:valAx>
        <c:axId val="143189888"/>
        <c:scaling>
          <c:orientation val="minMax"/>
          <c:max val="1"/>
          <c:min val="0"/>
        </c:scaling>
        <c:axPos val="t"/>
        <c:majorGridlines/>
        <c:numFmt formatCode="0.0%" sourceLinked="1"/>
        <c:tickLblPos val="nextTo"/>
        <c:txPr>
          <a:bodyPr/>
          <a:lstStyle/>
          <a:p>
            <a:pPr>
              <a:defRPr sz="600"/>
            </a:pPr>
            <a:endParaRPr lang="ru-RU"/>
          </a:p>
        </c:txPr>
        <c:crossAx val="143188352"/>
        <c:crosses val="autoZero"/>
        <c:crossBetween val="between"/>
        <c:majorUnit val="0.2"/>
      </c:valAx>
      <c:spPr>
        <a:noFill/>
        <a:ln>
          <a:solidFill>
            <a:schemeClr val="accent1"/>
          </a:solidFill>
        </a:ln>
      </c:spPr>
    </c:plotArea>
    <c:legend>
      <c:legendPos val="t"/>
    </c:legend>
    <c:plotVisOnly val="1"/>
    <c:dispBlanksAs val="gap"/>
  </c:chart>
  <c:spPr>
    <a:ln>
      <a:noFill/>
    </a:ln>
  </c:spPr>
  <c:txPr>
    <a:bodyPr/>
    <a:lstStyle/>
    <a:p>
      <a:pPr>
        <a:defRPr>
          <a:latin typeface="Arial Narrow" panose="020B0606020202030204" pitchFamily="34" charset="0"/>
        </a:defRPr>
      </a:pPr>
      <a:endParaRPr lang="ru-RU"/>
    </a:p>
  </c:txPr>
  <c:externalData r:id="rId1"/>
</c:chartSpace>
</file>

<file path=word/charts/chart69.xml><?xml version="1.0" encoding="utf-8"?>
<c:chartSpace xmlns:c="http://schemas.openxmlformats.org/drawingml/2006/chart" xmlns:a="http://schemas.openxmlformats.org/drawingml/2006/main" xmlns:r="http://schemas.openxmlformats.org/officeDocument/2006/relationships">
  <c:date1904 val="1"/>
  <c:lang val="ru-RU"/>
  <c:style val="6"/>
  <c:chart>
    <c:plotArea>
      <c:layout>
        <c:manualLayout>
          <c:layoutTarget val="inner"/>
          <c:xMode val="edge"/>
          <c:yMode val="edge"/>
          <c:x val="0.27650257804892092"/>
          <c:y val="7.0470315936984898E-2"/>
          <c:w val="0.68250275481088496"/>
          <c:h val="0.92133243738405779"/>
        </c:manualLayout>
      </c:layout>
      <c:barChart>
        <c:barDir val="bar"/>
        <c:grouping val="stacked"/>
        <c:ser>
          <c:idx val="0"/>
          <c:order val="0"/>
          <c:tx>
            <c:strRef>
              <c:f>Лист1!$B$1</c:f>
              <c:strCache>
                <c:ptCount val="1"/>
                <c:pt idx="0">
                  <c:v>Удовлетворительно</c:v>
                </c:pt>
              </c:strCache>
            </c:strRef>
          </c:tx>
          <c:spPr>
            <a:solidFill>
              <a:schemeClr val="accent2">
                <a:lumMod val="40000"/>
                <a:lumOff val="60000"/>
              </a:schemeClr>
            </a:solidFill>
          </c:spPr>
          <c:dLbls>
            <c:spPr>
              <a:noFill/>
              <a:ln>
                <a:no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Здвинский МР</c:v>
                </c:pt>
                <c:pt idx="1">
                  <c:v>Каргатский МР</c:v>
                </c:pt>
                <c:pt idx="2">
                  <c:v>Баганский МР</c:v>
                </c:pt>
                <c:pt idx="3">
                  <c:v>Маслянинский МР</c:v>
                </c:pt>
                <c:pt idx="4">
                  <c:v>Доволенский МР</c:v>
                </c:pt>
                <c:pt idx="5">
                  <c:v>г. Искитим</c:v>
                </c:pt>
                <c:pt idx="6">
                  <c:v>Куйбышевский МР</c:v>
                </c:pt>
                <c:pt idx="7">
                  <c:v>Купинский МР</c:v>
                </c:pt>
                <c:pt idx="8">
                  <c:v>Венгеровский МР</c:v>
                </c:pt>
                <c:pt idx="9">
                  <c:v>Коченевский МР</c:v>
                </c:pt>
                <c:pt idx="10">
                  <c:v>Искитимский МР</c:v>
                </c:pt>
                <c:pt idx="11">
                  <c:v>Татарский МР</c:v>
                </c:pt>
                <c:pt idx="12">
                  <c:v>Чистоозерный МР</c:v>
                </c:pt>
                <c:pt idx="13">
                  <c:v>Кочковский МР</c:v>
                </c:pt>
                <c:pt idx="14">
                  <c:v>Новосибирский МР</c:v>
                </c:pt>
                <c:pt idx="15">
                  <c:v>Убинский МР</c:v>
                </c:pt>
                <c:pt idx="16">
                  <c:v>Болотнинский МР</c:v>
                </c:pt>
                <c:pt idx="17">
                  <c:v>Карасукский МР</c:v>
                </c:pt>
                <c:pt idx="18">
                  <c:v>р. п. Кольцово</c:v>
                </c:pt>
                <c:pt idx="19">
                  <c:v>Барабинский МР</c:v>
                </c:pt>
                <c:pt idx="20">
                  <c:v>Кыштовский МР</c:v>
                </c:pt>
                <c:pt idx="21">
                  <c:v>Сузунский МР</c:v>
                </c:pt>
                <c:pt idx="22">
                  <c:v>Усть-Таркский МР</c:v>
                </c:pt>
                <c:pt idx="23">
                  <c:v>г. Бердск</c:v>
                </c:pt>
                <c:pt idx="24">
                  <c:v>г. Новосибирск</c:v>
                </c:pt>
                <c:pt idx="25">
                  <c:v>г. Обь</c:v>
                </c:pt>
                <c:pt idx="26">
                  <c:v>Мошковский МР</c:v>
                </c:pt>
                <c:pt idx="27">
                  <c:v>Тогучинский МР</c:v>
                </c:pt>
                <c:pt idx="28">
                  <c:v>Чулымский МР</c:v>
                </c:pt>
                <c:pt idx="29">
                  <c:v>Черепановский МР</c:v>
                </c:pt>
                <c:pt idx="30">
                  <c:v>Колыванский МР</c:v>
                </c:pt>
                <c:pt idx="31">
                  <c:v>Чановский МР</c:v>
                </c:pt>
                <c:pt idx="32">
                  <c:v>Краснозерский МР</c:v>
                </c:pt>
                <c:pt idx="33">
                  <c:v>Северный МР</c:v>
                </c:pt>
                <c:pt idx="34">
                  <c:v>Ордынский МР</c:v>
                </c:pt>
              </c:strCache>
            </c:strRef>
          </c:cat>
          <c:val>
            <c:numRef>
              <c:f>Лист1!$B$2:$B$36</c:f>
              <c:numCache>
                <c:formatCode>0.0%</c:formatCode>
                <c:ptCount val="35"/>
                <c:pt idx="0">
                  <c:v>0.67100000000000792</c:v>
                </c:pt>
                <c:pt idx="1">
                  <c:v>0.55700000000000005</c:v>
                </c:pt>
                <c:pt idx="2">
                  <c:v>0.51400000000000001</c:v>
                </c:pt>
                <c:pt idx="3">
                  <c:v>0.5</c:v>
                </c:pt>
                <c:pt idx="4">
                  <c:v>0.49300000000000038</c:v>
                </c:pt>
                <c:pt idx="5">
                  <c:v>0.47100000000000031</c:v>
                </c:pt>
                <c:pt idx="6">
                  <c:v>0.47100000000000031</c:v>
                </c:pt>
                <c:pt idx="7">
                  <c:v>0.45800000000000002</c:v>
                </c:pt>
                <c:pt idx="8">
                  <c:v>0.45700000000000002</c:v>
                </c:pt>
                <c:pt idx="9">
                  <c:v>0.45700000000000002</c:v>
                </c:pt>
                <c:pt idx="10">
                  <c:v>0.443</c:v>
                </c:pt>
                <c:pt idx="11">
                  <c:v>0.443</c:v>
                </c:pt>
                <c:pt idx="12">
                  <c:v>0.443</c:v>
                </c:pt>
                <c:pt idx="13">
                  <c:v>0.41400000000000031</c:v>
                </c:pt>
                <c:pt idx="14">
                  <c:v>0.41400000000000031</c:v>
                </c:pt>
                <c:pt idx="15">
                  <c:v>0.41400000000000031</c:v>
                </c:pt>
                <c:pt idx="16">
                  <c:v>0.4</c:v>
                </c:pt>
                <c:pt idx="17">
                  <c:v>0.4</c:v>
                </c:pt>
                <c:pt idx="18">
                  <c:v>0.38600000000000345</c:v>
                </c:pt>
                <c:pt idx="19">
                  <c:v>0.37100000000000088</c:v>
                </c:pt>
                <c:pt idx="20">
                  <c:v>0.37100000000000088</c:v>
                </c:pt>
                <c:pt idx="21">
                  <c:v>0.37100000000000088</c:v>
                </c:pt>
                <c:pt idx="22">
                  <c:v>0.37100000000000088</c:v>
                </c:pt>
                <c:pt idx="23">
                  <c:v>0.35600000000000032</c:v>
                </c:pt>
                <c:pt idx="24">
                  <c:v>0.35300000000000031</c:v>
                </c:pt>
                <c:pt idx="25">
                  <c:v>0.31000000000000238</c:v>
                </c:pt>
                <c:pt idx="26">
                  <c:v>0.31000000000000238</c:v>
                </c:pt>
                <c:pt idx="27">
                  <c:v>0.30000000000000032</c:v>
                </c:pt>
                <c:pt idx="28">
                  <c:v>0.30000000000000032</c:v>
                </c:pt>
                <c:pt idx="29">
                  <c:v>0.29600000000000032</c:v>
                </c:pt>
                <c:pt idx="30">
                  <c:v>0.28600000000000031</c:v>
                </c:pt>
                <c:pt idx="31">
                  <c:v>0.24700000000000041</c:v>
                </c:pt>
                <c:pt idx="32">
                  <c:v>0.24300000000000024</c:v>
                </c:pt>
                <c:pt idx="33">
                  <c:v>0.17100000000000001</c:v>
                </c:pt>
                <c:pt idx="34">
                  <c:v>0.14100000000000001</c:v>
                </c:pt>
              </c:numCache>
            </c:numRef>
          </c:val>
          <c:extLst xmlns:c16r2="http://schemas.microsoft.com/office/drawing/2015/06/chart">
            <c:ext xmlns:c16="http://schemas.microsoft.com/office/drawing/2014/chart" uri="{C3380CC4-5D6E-409C-BE32-E72D297353CC}">
              <c16:uniqueId val="{00000000-E5EE-44E7-B568-167780AAB57C}"/>
            </c:ext>
          </c:extLst>
        </c:ser>
        <c:ser>
          <c:idx val="1"/>
          <c:order val="1"/>
          <c:tx>
            <c:strRef>
              <c:f>Лист1!$C$1</c:f>
              <c:strCache>
                <c:ptCount val="1"/>
                <c:pt idx="0">
                  <c:v>Неудовлетворительно</c:v>
                </c:pt>
              </c:strCache>
            </c:strRef>
          </c:tx>
          <c:spPr>
            <a:solidFill>
              <a:srgbClr val="B28AB2"/>
            </a:solidFill>
            <a:ln>
              <a:noFill/>
            </a:ln>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Здвинский МР</c:v>
                </c:pt>
                <c:pt idx="1">
                  <c:v>Каргатский МР</c:v>
                </c:pt>
                <c:pt idx="2">
                  <c:v>Баганский МР</c:v>
                </c:pt>
                <c:pt idx="3">
                  <c:v>Маслянинский МР</c:v>
                </c:pt>
                <c:pt idx="4">
                  <c:v>Доволенский МР</c:v>
                </c:pt>
                <c:pt idx="5">
                  <c:v>г. Искитим</c:v>
                </c:pt>
                <c:pt idx="6">
                  <c:v>Куйбышевский МР</c:v>
                </c:pt>
                <c:pt idx="7">
                  <c:v>Купинский МР</c:v>
                </c:pt>
                <c:pt idx="8">
                  <c:v>Венгеровский МР</c:v>
                </c:pt>
                <c:pt idx="9">
                  <c:v>Коченевский МР</c:v>
                </c:pt>
                <c:pt idx="10">
                  <c:v>Искитимский МР</c:v>
                </c:pt>
                <c:pt idx="11">
                  <c:v>Татарский МР</c:v>
                </c:pt>
                <c:pt idx="12">
                  <c:v>Чистоозерный МР</c:v>
                </c:pt>
                <c:pt idx="13">
                  <c:v>Кочковский МР</c:v>
                </c:pt>
                <c:pt idx="14">
                  <c:v>Новосибирский МР</c:v>
                </c:pt>
                <c:pt idx="15">
                  <c:v>Убинский МР</c:v>
                </c:pt>
                <c:pt idx="16">
                  <c:v>Болотнинский МР</c:v>
                </c:pt>
                <c:pt idx="17">
                  <c:v>Карасукский МР</c:v>
                </c:pt>
                <c:pt idx="18">
                  <c:v>р. п. Кольцово</c:v>
                </c:pt>
                <c:pt idx="19">
                  <c:v>Барабинский МР</c:v>
                </c:pt>
                <c:pt idx="20">
                  <c:v>Кыштовский МР</c:v>
                </c:pt>
                <c:pt idx="21">
                  <c:v>Сузунский МР</c:v>
                </c:pt>
                <c:pt idx="22">
                  <c:v>Усть-Таркский МР</c:v>
                </c:pt>
                <c:pt idx="23">
                  <c:v>г. Бердск</c:v>
                </c:pt>
                <c:pt idx="24">
                  <c:v>г. Новосибирск</c:v>
                </c:pt>
                <c:pt idx="25">
                  <c:v>г. Обь</c:v>
                </c:pt>
                <c:pt idx="26">
                  <c:v>Мошковский МР</c:v>
                </c:pt>
                <c:pt idx="27">
                  <c:v>Тогучинский МР</c:v>
                </c:pt>
                <c:pt idx="28">
                  <c:v>Чулымский МР</c:v>
                </c:pt>
                <c:pt idx="29">
                  <c:v>Черепановский МР</c:v>
                </c:pt>
                <c:pt idx="30">
                  <c:v>Колыванский МР</c:v>
                </c:pt>
                <c:pt idx="31">
                  <c:v>Чановский МР</c:v>
                </c:pt>
                <c:pt idx="32">
                  <c:v>Краснозерский МР</c:v>
                </c:pt>
                <c:pt idx="33">
                  <c:v>Северный МР</c:v>
                </c:pt>
                <c:pt idx="34">
                  <c:v>Ордынский МР</c:v>
                </c:pt>
              </c:strCache>
            </c:strRef>
          </c:cat>
          <c:val>
            <c:numRef>
              <c:f>Лист1!$C$2:$C$36</c:f>
              <c:numCache>
                <c:formatCode>0.0%</c:formatCode>
                <c:ptCount val="35"/>
                <c:pt idx="0">
                  <c:v>0.22900000000000001</c:v>
                </c:pt>
                <c:pt idx="1">
                  <c:v>0.35700000000000032</c:v>
                </c:pt>
                <c:pt idx="2">
                  <c:v>0.37100000000000088</c:v>
                </c:pt>
                <c:pt idx="3">
                  <c:v>0.27100000000000002</c:v>
                </c:pt>
                <c:pt idx="4">
                  <c:v>0.254</c:v>
                </c:pt>
                <c:pt idx="5">
                  <c:v>0.52900000000000003</c:v>
                </c:pt>
                <c:pt idx="6">
                  <c:v>0.34300000000000008</c:v>
                </c:pt>
                <c:pt idx="7">
                  <c:v>0.31900000000000345</c:v>
                </c:pt>
                <c:pt idx="8">
                  <c:v>0.38600000000000345</c:v>
                </c:pt>
                <c:pt idx="9">
                  <c:v>0.37100000000000088</c:v>
                </c:pt>
                <c:pt idx="10">
                  <c:v>0.34300000000000008</c:v>
                </c:pt>
                <c:pt idx="11">
                  <c:v>0.443</c:v>
                </c:pt>
                <c:pt idx="12">
                  <c:v>0.34300000000000008</c:v>
                </c:pt>
                <c:pt idx="13">
                  <c:v>0.35700000000000032</c:v>
                </c:pt>
                <c:pt idx="14">
                  <c:v>0.35700000000000032</c:v>
                </c:pt>
                <c:pt idx="15">
                  <c:v>0.21400000000000041</c:v>
                </c:pt>
                <c:pt idx="16">
                  <c:v>0.32900000000000357</c:v>
                </c:pt>
                <c:pt idx="17">
                  <c:v>0.45700000000000002</c:v>
                </c:pt>
                <c:pt idx="18">
                  <c:v>0.58599999999999997</c:v>
                </c:pt>
                <c:pt idx="19">
                  <c:v>0.52900000000000003</c:v>
                </c:pt>
                <c:pt idx="20">
                  <c:v>0.22900000000000001</c:v>
                </c:pt>
                <c:pt idx="21">
                  <c:v>0.2</c:v>
                </c:pt>
                <c:pt idx="22">
                  <c:v>4.3000000000000003E-2</c:v>
                </c:pt>
                <c:pt idx="23">
                  <c:v>0.58899999999999997</c:v>
                </c:pt>
                <c:pt idx="24">
                  <c:v>0.60700000000000065</c:v>
                </c:pt>
                <c:pt idx="25">
                  <c:v>0.50700000000000001</c:v>
                </c:pt>
                <c:pt idx="26">
                  <c:v>0.40800000000000008</c:v>
                </c:pt>
                <c:pt idx="27">
                  <c:v>0.34300000000000008</c:v>
                </c:pt>
                <c:pt idx="28">
                  <c:v>0.27100000000000002</c:v>
                </c:pt>
                <c:pt idx="29">
                  <c:v>0.35200000000000031</c:v>
                </c:pt>
                <c:pt idx="30">
                  <c:v>0.27100000000000002</c:v>
                </c:pt>
                <c:pt idx="31">
                  <c:v>0.32900000000000357</c:v>
                </c:pt>
                <c:pt idx="32">
                  <c:v>0.17100000000000001</c:v>
                </c:pt>
                <c:pt idx="33">
                  <c:v>0.31400000000000305</c:v>
                </c:pt>
                <c:pt idx="34">
                  <c:v>0.26800000000000002</c:v>
                </c:pt>
              </c:numCache>
            </c:numRef>
          </c:val>
          <c:extLst xmlns:c16r2="http://schemas.microsoft.com/office/drawing/2015/06/chart">
            <c:ext xmlns:c16="http://schemas.microsoft.com/office/drawing/2014/chart" uri="{C3380CC4-5D6E-409C-BE32-E72D297353CC}">
              <c16:uniqueId val="{00000001-E5EE-44E7-B568-167780AAB57C}"/>
            </c:ext>
          </c:extLst>
        </c:ser>
        <c:ser>
          <c:idx val="2"/>
          <c:order val="2"/>
          <c:tx>
            <c:strRef>
              <c:f>Лист1!$D$1</c:f>
              <c:strCache>
                <c:ptCount val="1"/>
                <c:pt idx="0">
                  <c:v>Затрудняюсь ответить</c:v>
                </c:pt>
              </c:strCache>
            </c:strRef>
          </c:tx>
          <c:spPr>
            <a:solidFill>
              <a:schemeClr val="bg1">
                <a:lumMod val="85000"/>
              </a:scheme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Здвинский МР</c:v>
                </c:pt>
                <c:pt idx="1">
                  <c:v>Каргатский МР</c:v>
                </c:pt>
                <c:pt idx="2">
                  <c:v>Баганский МР</c:v>
                </c:pt>
                <c:pt idx="3">
                  <c:v>Маслянинский МР</c:v>
                </c:pt>
                <c:pt idx="4">
                  <c:v>Доволенский МР</c:v>
                </c:pt>
                <c:pt idx="5">
                  <c:v>г. Искитим</c:v>
                </c:pt>
                <c:pt idx="6">
                  <c:v>Куйбышевский МР</c:v>
                </c:pt>
                <c:pt idx="7">
                  <c:v>Купинский МР</c:v>
                </c:pt>
                <c:pt idx="8">
                  <c:v>Венгеровский МР</c:v>
                </c:pt>
                <c:pt idx="9">
                  <c:v>Коченевский МР</c:v>
                </c:pt>
                <c:pt idx="10">
                  <c:v>Искитимский МР</c:v>
                </c:pt>
                <c:pt idx="11">
                  <c:v>Татарский МР</c:v>
                </c:pt>
                <c:pt idx="12">
                  <c:v>Чистоозерный МР</c:v>
                </c:pt>
                <c:pt idx="13">
                  <c:v>Кочковский МР</c:v>
                </c:pt>
                <c:pt idx="14">
                  <c:v>Новосибирский МР</c:v>
                </c:pt>
                <c:pt idx="15">
                  <c:v>Убинский МР</c:v>
                </c:pt>
                <c:pt idx="16">
                  <c:v>Болотнинский МР</c:v>
                </c:pt>
                <c:pt idx="17">
                  <c:v>Карасукский МР</c:v>
                </c:pt>
                <c:pt idx="18">
                  <c:v>р. п. Кольцово</c:v>
                </c:pt>
                <c:pt idx="19">
                  <c:v>Барабинский МР</c:v>
                </c:pt>
                <c:pt idx="20">
                  <c:v>Кыштовский МР</c:v>
                </c:pt>
                <c:pt idx="21">
                  <c:v>Сузунский МР</c:v>
                </c:pt>
                <c:pt idx="22">
                  <c:v>Усть-Таркский МР</c:v>
                </c:pt>
                <c:pt idx="23">
                  <c:v>г. Бердск</c:v>
                </c:pt>
                <c:pt idx="24">
                  <c:v>г. Новосибирск</c:v>
                </c:pt>
                <c:pt idx="25">
                  <c:v>г. Обь</c:v>
                </c:pt>
                <c:pt idx="26">
                  <c:v>Мошковский МР</c:v>
                </c:pt>
                <c:pt idx="27">
                  <c:v>Тогучинский МР</c:v>
                </c:pt>
                <c:pt idx="28">
                  <c:v>Чулымский МР</c:v>
                </c:pt>
                <c:pt idx="29">
                  <c:v>Черепановский МР</c:v>
                </c:pt>
                <c:pt idx="30">
                  <c:v>Колыванский МР</c:v>
                </c:pt>
                <c:pt idx="31">
                  <c:v>Чановский МР</c:v>
                </c:pt>
                <c:pt idx="32">
                  <c:v>Краснозерский МР</c:v>
                </c:pt>
                <c:pt idx="33">
                  <c:v>Северный МР</c:v>
                </c:pt>
                <c:pt idx="34">
                  <c:v>Ордынский МР</c:v>
                </c:pt>
              </c:strCache>
            </c:strRef>
          </c:cat>
          <c:val>
            <c:numRef>
              <c:f>Лист1!$D$2:$D$36</c:f>
              <c:numCache>
                <c:formatCode>0.0%</c:formatCode>
                <c:ptCount val="35"/>
                <c:pt idx="0">
                  <c:v>0.1</c:v>
                </c:pt>
                <c:pt idx="1">
                  <c:v>8.6000000000000021E-2</c:v>
                </c:pt>
                <c:pt idx="2">
                  <c:v>0.114</c:v>
                </c:pt>
                <c:pt idx="3">
                  <c:v>0.22900000000000001</c:v>
                </c:pt>
                <c:pt idx="4">
                  <c:v>0.254</c:v>
                </c:pt>
                <c:pt idx="5">
                  <c:v>0</c:v>
                </c:pt>
                <c:pt idx="6">
                  <c:v>0.18600000000000044</c:v>
                </c:pt>
                <c:pt idx="7">
                  <c:v>0.222</c:v>
                </c:pt>
                <c:pt idx="8">
                  <c:v>0.15700000000000044</c:v>
                </c:pt>
                <c:pt idx="9">
                  <c:v>0.17100000000000001</c:v>
                </c:pt>
                <c:pt idx="10">
                  <c:v>0.21400000000000041</c:v>
                </c:pt>
                <c:pt idx="11">
                  <c:v>0.114</c:v>
                </c:pt>
                <c:pt idx="12">
                  <c:v>0.21400000000000041</c:v>
                </c:pt>
                <c:pt idx="13">
                  <c:v>0.22900000000000001</c:v>
                </c:pt>
                <c:pt idx="14">
                  <c:v>0.22900000000000001</c:v>
                </c:pt>
                <c:pt idx="15">
                  <c:v>0.37100000000000088</c:v>
                </c:pt>
                <c:pt idx="16">
                  <c:v>0.27100000000000002</c:v>
                </c:pt>
                <c:pt idx="17">
                  <c:v>0.14300000000000004</c:v>
                </c:pt>
                <c:pt idx="18">
                  <c:v>2.9000000000000001E-2</c:v>
                </c:pt>
                <c:pt idx="19">
                  <c:v>0.1</c:v>
                </c:pt>
                <c:pt idx="20">
                  <c:v>0.4</c:v>
                </c:pt>
                <c:pt idx="21">
                  <c:v>0.42900000000000038</c:v>
                </c:pt>
                <c:pt idx="22">
                  <c:v>0.58599999999999997</c:v>
                </c:pt>
                <c:pt idx="23">
                  <c:v>5.5000000000000014E-2</c:v>
                </c:pt>
                <c:pt idx="24">
                  <c:v>4.0000000000000022E-2</c:v>
                </c:pt>
                <c:pt idx="25">
                  <c:v>0.18300000000000041</c:v>
                </c:pt>
                <c:pt idx="26">
                  <c:v>0.28200000000000008</c:v>
                </c:pt>
                <c:pt idx="27">
                  <c:v>0.35700000000000032</c:v>
                </c:pt>
                <c:pt idx="28">
                  <c:v>0.42900000000000038</c:v>
                </c:pt>
                <c:pt idx="29">
                  <c:v>0.35200000000000031</c:v>
                </c:pt>
                <c:pt idx="30">
                  <c:v>0.443</c:v>
                </c:pt>
                <c:pt idx="31">
                  <c:v>0.42500000000000032</c:v>
                </c:pt>
                <c:pt idx="32">
                  <c:v>0.58599999999999997</c:v>
                </c:pt>
                <c:pt idx="33">
                  <c:v>0.51400000000000001</c:v>
                </c:pt>
                <c:pt idx="34">
                  <c:v>0.59199999999999997</c:v>
                </c:pt>
              </c:numCache>
            </c:numRef>
          </c:val>
          <c:extLst xmlns:c16r2="http://schemas.microsoft.com/office/drawing/2015/06/chart">
            <c:ext xmlns:c16="http://schemas.microsoft.com/office/drawing/2014/chart" uri="{C3380CC4-5D6E-409C-BE32-E72D297353CC}">
              <c16:uniqueId val="{00000002-E5EE-44E7-B568-167780AAB57C}"/>
            </c:ext>
          </c:extLst>
        </c:ser>
        <c:overlap val="100"/>
        <c:axId val="143795328"/>
        <c:axId val="143796864"/>
      </c:barChart>
      <c:catAx>
        <c:axId val="143795328"/>
        <c:scaling>
          <c:orientation val="maxMin"/>
        </c:scaling>
        <c:axPos val="l"/>
        <c:numFmt formatCode="General" sourceLinked="1"/>
        <c:tickLblPos val="nextTo"/>
        <c:crossAx val="143796864"/>
        <c:crosses val="autoZero"/>
        <c:auto val="1"/>
        <c:lblAlgn val="ctr"/>
        <c:lblOffset val="100"/>
      </c:catAx>
      <c:valAx>
        <c:axId val="143796864"/>
        <c:scaling>
          <c:orientation val="minMax"/>
          <c:max val="1"/>
          <c:min val="0"/>
        </c:scaling>
        <c:delete val="1"/>
        <c:axPos val="t"/>
        <c:majorGridlines/>
        <c:numFmt formatCode="0.0%" sourceLinked="1"/>
        <c:tickLblPos val="none"/>
        <c:crossAx val="143795328"/>
        <c:crosses val="autoZero"/>
        <c:crossBetween val="between"/>
        <c:majorUnit val="0.2"/>
      </c:valAx>
      <c:spPr>
        <a:noFill/>
        <a:ln>
          <a:solidFill>
            <a:schemeClr val="accent1"/>
          </a:solidFill>
        </a:ln>
      </c:spPr>
    </c:plotArea>
    <c:legend>
      <c:legendPos val="t"/>
    </c:legend>
    <c:plotVisOnly val="1"/>
    <c:dispBlanksAs val="gap"/>
  </c:chart>
  <c:spPr>
    <a:ln>
      <a:noFill/>
    </a:ln>
  </c:spPr>
  <c:txPr>
    <a:bodyPr/>
    <a:lstStyle/>
    <a:p>
      <a:pPr algn="just">
        <a:defRPr>
          <a:latin typeface="Arial Narrow" panose="020B0606020202030204" pitchFamily="34" charset="0"/>
        </a:defRPr>
      </a:pPr>
      <a:endParaRPr lang="ru-RU"/>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ru-RU"/>
  <c:style val="31"/>
  <c:chart>
    <c:plotArea>
      <c:layout>
        <c:manualLayout>
          <c:layoutTarget val="inner"/>
          <c:xMode val="edge"/>
          <c:yMode val="edge"/>
          <c:x val="0.27650257804892092"/>
          <c:y val="6.0847302846268332E-2"/>
          <c:w val="0.68250275481088496"/>
          <c:h val="0.92762432068254264"/>
        </c:manualLayout>
      </c:layout>
      <c:barChart>
        <c:barDir val="bar"/>
        <c:grouping val="stacked"/>
        <c:ser>
          <c:idx val="0"/>
          <c:order val="0"/>
          <c:tx>
            <c:strRef>
              <c:f>Лист1!$B$1</c:f>
              <c:strCache>
                <c:ptCount val="1"/>
                <c:pt idx="0">
                  <c:v>Удовлетворительно</c:v>
                </c:pt>
              </c:strCache>
            </c:strRef>
          </c:tx>
          <c:spPr>
            <a:solidFill>
              <a:schemeClr val="accent2">
                <a:lumMod val="40000"/>
                <a:lumOff val="60000"/>
              </a:schemeClr>
            </a:solidFill>
          </c:spPr>
          <c:dLbls>
            <c:dLbl>
              <c:idx val="3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9B23-459E-9AC1-3AA661E47526}"/>
                </c:ext>
              </c:extLst>
            </c:dLbl>
            <c:dLbl>
              <c:idx val="3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9B23-459E-9AC1-3AA661E47526}"/>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Здвинский МР</c:v>
                </c:pt>
                <c:pt idx="1">
                  <c:v>Болотнинский МР</c:v>
                </c:pt>
                <c:pt idx="2">
                  <c:v>Усть-Таркский МР</c:v>
                </c:pt>
                <c:pt idx="3">
                  <c:v>Купинский МР</c:v>
                </c:pt>
                <c:pt idx="4">
                  <c:v>Черепановский МР</c:v>
                </c:pt>
                <c:pt idx="5">
                  <c:v>Кыштовский МР</c:v>
                </c:pt>
                <c:pt idx="6">
                  <c:v>Краснозерский МР</c:v>
                </c:pt>
                <c:pt idx="7">
                  <c:v>Тогучинский МР</c:v>
                </c:pt>
                <c:pt idx="8">
                  <c:v>Кочковский МР</c:v>
                </c:pt>
                <c:pt idx="9">
                  <c:v>Мошковский МР</c:v>
                </c:pt>
                <c:pt idx="10">
                  <c:v>Чистоозерный МР</c:v>
                </c:pt>
                <c:pt idx="11">
                  <c:v>Карасукский МР</c:v>
                </c:pt>
                <c:pt idx="12">
                  <c:v>Баганский МР</c:v>
                </c:pt>
                <c:pt idx="13">
                  <c:v>г. Обь</c:v>
                </c:pt>
                <c:pt idx="14">
                  <c:v>Северный МР</c:v>
                </c:pt>
                <c:pt idx="15">
                  <c:v>Колыванский МР</c:v>
                </c:pt>
                <c:pt idx="16">
                  <c:v>Ордынский МР</c:v>
                </c:pt>
                <c:pt idx="17">
                  <c:v>Чулымский МР</c:v>
                </c:pt>
                <c:pt idx="18">
                  <c:v>Коченевский МР</c:v>
                </c:pt>
                <c:pt idx="19">
                  <c:v>Татарский МР</c:v>
                </c:pt>
                <c:pt idx="20">
                  <c:v>г. Искитим</c:v>
                </c:pt>
                <c:pt idx="21">
                  <c:v>г. Бердск</c:v>
                </c:pt>
                <c:pt idx="22">
                  <c:v>Куйбышевский МР</c:v>
                </c:pt>
                <c:pt idx="23">
                  <c:v>г. Новосибирск</c:v>
                </c:pt>
                <c:pt idx="24">
                  <c:v>Маслянинский МР</c:v>
                </c:pt>
                <c:pt idx="25">
                  <c:v>Доволенский МР</c:v>
                </c:pt>
                <c:pt idx="26">
                  <c:v>Убинский МР</c:v>
                </c:pt>
                <c:pt idx="27">
                  <c:v>р. п. Кольцово</c:v>
                </c:pt>
                <c:pt idx="28">
                  <c:v>Сузунский МР</c:v>
                </c:pt>
                <c:pt idx="29">
                  <c:v>Искитимский МР</c:v>
                </c:pt>
                <c:pt idx="30">
                  <c:v>Чановский МР</c:v>
                </c:pt>
                <c:pt idx="31">
                  <c:v>Венгеровский МР</c:v>
                </c:pt>
                <c:pt idx="32">
                  <c:v>Каргатский МР</c:v>
                </c:pt>
                <c:pt idx="33">
                  <c:v>Новосибирский МР</c:v>
                </c:pt>
              </c:strCache>
            </c:strRef>
          </c:cat>
          <c:val>
            <c:numRef>
              <c:f>Лист1!$B$2:$B$35</c:f>
              <c:numCache>
                <c:formatCode>0.0%</c:formatCode>
                <c:ptCount val="34"/>
                <c:pt idx="0">
                  <c:v>1</c:v>
                </c:pt>
                <c:pt idx="1">
                  <c:v>0.84600000000000064</c:v>
                </c:pt>
                <c:pt idx="2">
                  <c:v>0.83300000000000063</c:v>
                </c:pt>
                <c:pt idx="3">
                  <c:v>0.8</c:v>
                </c:pt>
                <c:pt idx="4">
                  <c:v>0.69399999999999995</c:v>
                </c:pt>
                <c:pt idx="5">
                  <c:v>0.66700000000000825</c:v>
                </c:pt>
                <c:pt idx="6">
                  <c:v>0.62500000000000655</c:v>
                </c:pt>
                <c:pt idx="7">
                  <c:v>0.58299999999999996</c:v>
                </c:pt>
                <c:pt idx="8">
                  <c:v>0.57099999999999995</c:v>
                </c:pt>
                <c:pt idx="9">
                  <c:v>0.55600000000000005</c:v>
                </c:pt>
                <c:pt idx="10">
                  <c:v>0.54500000000000004</c:v>
                </c:pt>
                <c:pt idx="11">
                  <c:v>0.52900000000000003</c:v>
                </c:pt>
                <c:pt idx="12">
                  <c:v>0.5</c:v>
                </c:pt>
                <c:pt idx="13">
                  <c:v>0.5</c:v>
                </c:pt>
                <c:pt idx="14">
                  <c:v>0.5</c:v>
                </c:pt>
                <c:pt idx="15">
                  <c:v>0.47800000000000031</c:v>
                </c:pt>
                <c:pt idx="16">
                  <c:v>0.47400000000000031</c:v>
                </c:pt>
                <c:pt idx="17">
                  <c:v>0.46700000000000008</c:v>
                </c:pt>
                <c:pt idx="18">
                  <c:v>0.46200000000000002</c:v>
                </c:pt>
                <c:pt idx="19">
                  <c:v>0.44400000000000001</c:v>
                </c:pt>
                <c:pt idx="20">
                  <c:v>0.38900000000000362</c:v>
                </c:pt>
                <c:pt idx="21">
                  <c:v>0.38500000000000362</c:v>
                </c:pt>
                <c:pt idx="22">
                  <c:v>0.38500000000000362</c:v>
                </c:pt>
                <c:pt idx="23">
                  <c:v>0.36000000000000032</c:v>
                </c:pt>
                <c:pt idx="24">
                  <c:v>0.30800000000000038</c:v>
                </c:pt>
                <c:pt idx="25">
                  <c:v>0.28600000000000031</c:v>
                </c:pt>
                <c:pt idx="26">
                  <c:v>0.28600000000000031</c:v>
                </c:pt>
                <c:pt idx="27">
                  <c:v>0.25</c:v>
                </c:pt>
                <c:pt idx="28">
                  <c:v>0.25</c:v>
                </c:pt>
                <c:pt idx="29">
                  <c:v>0.17600000000000021</c:v>
                </c:pt>
                <c:pt idx="30">
                  <c:v>0.15200000000000041</c:v>
                </c:pt>
                <c:pt idx="31">
                  <c:v>0.14300000000000004</c:v>
                </c:pt>
                <c:pt idx="32">
                  <c:v>0</c:v>
                </c:pt>
                <c:pt idx="33">
                  <c:v>0</c:v>
                </c:pt>
              </c:numCache>
            </c:numRef>
          </c:val>
          <c:extLst xmlns:c16r2="http://schemas.microsoft.com/office/drawing/2015/06/chart">
            <c:ext xmlns:c16="http://schemas.microsoft.com/office/drawing/2014/chart" uri="{C3380CC4-5D6E-409C-BE32-E72D297353CC}">
              <c16:uniqueId val="{00000002-9B23-459E-9AC1-3AA661E47526}"/>
            </c:ext>
          </c:extLst>
        </c:ser>
        <c:ser>
          <c:idx val="1"/>
          <c:order val="1"/>
          <c:tx>
            <c:strRef>
              <c:f>Лист1!$C$1</c:f>
              <c:strCache>
                <c:ptCount val="1"/>
                <c:pt idx="0">
                  <c:v>Неудовлетворительно</c:v>
                </c:pt>
              </c:strCache>
            </c:strRef>
          </c:tx>
          <c:spPr>
            <a:solidFill>
              <a:srgbClr val="B28AB2"/>
            </a:solidFill>
          </c:spPr>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9B23-459E-9AC1-3AA661E47526}"/>
                </c:ext>
              </c:extLst>
            </c:dLbl>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9B23-459E-9AC1-3AA661E47526}"/>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Здвинский МР</c:v>
                </c:pt>
                <c:pt idx="1">
                  <c:v>Болотнинский МР</c:v>
                </c:pt>
                <c:pt idx="2">
                  <c:v>Усть-Таркский МР</c:v>
                </c:pt>
                <c:pt idx="3">
                  <c:v>Купинский МР</c:v>
                </c:pt>
                <c:pt idx="4">
                  <c:v>Черепановский МР</c:v>
                </c:pt>
                <c:pt idx="5">
                  <c:v>Кыштовский МР</c:v>
                </c:pt>
                <c:pt idx="6">
                  <c:v>Краснозерский МР</c:v>
                </c:pt>
                <c:pt idx="7">
                  <c:v>Тогучинский МР</c:v>
                </c:pt>
                <c:pt idx="8">
                  <c:v>Кочковский МР</c:v>
                </c:pt>
                <c:pt idx="9">
                  <c:v>Мошковский МР</c:v>
                </c:pt>
                <c:pt idx="10">
                  <c:v>Чистоозерный МР</c:v>
                </c:pt>
                <c:pt idx="11">
                  <c:v>Карасукский МР</c:v>
                </c:pt>
                <c:pt idx="12">
                  <c:v>Баганский МР</c:v>
                </c:pt>
                <c:pt idx="13">
                  <c:v>г. Обь</c:v>
                </c:pt>
                <c:pt idx="14">
                  <c:v>Северный МР</c:v>
                </c:pt>
                <c:pt idx="15">
                  <c:v>Колыванский МР</c:v>
                </c:pt>
                <c:pt idx="16">
                  <c:v>Ордынский МР</c:v>
                </c:pt>
                <c:pt idx="17">
                  <c:v>Чулымский МР</c:v>
                </c:pt>
                <c:pt idx="18">
                  <c:v>Коченевский МР</c:v>
                </c:pt>
                <c:pt idx="19">
                  <c:v>Татарский МР</c:v>
                </c:pt>
                <c:pt idx="20">
                  <c:v>г. Искитим</c:v>
                </c:pt>
                <c:pt idx="21">
                  <c:v>г. Бердск</c:v>
                </c:pt>
                <c:pt idx="22">
                  <c:v>Куйбышевский МР</c:v>
                </c:pt>
                <c:pt idx="23">
                  <c:v>г. Новосибирск</c:v>
                </c:pt>
                <c:pt idx="24">
                  <c:v>Маслянинский МР</c:v>
                </c:pt>
                <c:pt idx="25">
                  <c:v>Доволенский МР</c:v>
                </c:pt>
                <c:pt idx="26">
                  <c:v>Убинский МР</c:v>
                </c:pt>
                <c:pt idx="27">
                  <c:v>р. п. Кольцово</c:v>
                </c:pt>
                <c:pt idx="28">
                  <c:v>Сузунский МР</c:v>
                </c:pt>
                <c:pt idx="29">
                  <c:v>Искитимский МР</c:v>
                </c:pt>
                <c:pt idx="30">
                  <c:v>Чановский МР</c:v>
                </c:pt>
                <c:pt idx="31">
                  <c:v>Венгеровский МР</c:v>
                </c:pt>
                <c:pt idx="32">
                  <c:v>Каргатский МР</c:v>
                </c:pt>
                <c:pt idx="33">
                  <c:v>Новосибирский МР</c:v>
                </c:pt>
              </c:strCache>
            </c:strRef>
          </c:cat>
          <c:val>
            <c:numRef>
              <c:f>Лист1!$C$2:$C$35</c:f>
              <c:numCache>
                <c:formatCode>0.0%</c:formatCode>
                <c:ptCount val="34"/>
                <c:pt idx="0">
                  <c:v>0</c:v>
                </c:pt>
                <c:pt idx="1">
                  <c:v>0.15400000000000041</c:v>
                </c:pt>
                <c:pt idx="2">
                  <c:v>0</c:v>
                </c:pt>
                <c:pt idx="3">
                  <c:v>0.2</c:v>
                </c:pt>
                <c:pt idx="4">
                  <c:v>0.25</c:v>
                </c:pt>
                <c:pt idx="5">
                  <c:v>0.16700000000000001</c:v>
                </c:pt>
                <c:pt idx="6">
                  <c:v>0.125</c:v>
                </c:pt>
                <c:pt idx="7">
                  <c:v>0.33300000000000413</c:v>
                </c:pt>
                <c:pt idx="8">
                  <c:v>0.42900000000000038</c:v>
                </c:pt>
                <c:pt idx="9">
                  <c:v>0.222</c:v>
                </c:pt>
                <c:pt idx="10">
                  <c:v>0.36400000000000032</c:v>
                </c:pt>
                <c:pt idx="11">
                  <c:v>0.41200000000000031</c:v>
                </c:pt>
                <c:pt idx="12">
                  <c:v>0.37500000000000322</c:v>
                </c:pt>
                <c:pt idx="13">
                  <c:v>0.32100000000000362</c:v>
                </c:pt>
                <c:pt idx="14">
                  <c:v>0.5</c:v>
                </c:pt>
                <c:pt idx="15">
                  <c:v>0.43500000000000238</c:v>
                </c:pt>
                <c:pt idx="16">
                  <c:v>0.42100000000000032</c:v>
                </c:pt>
                <c:pt idx="17">
                  <c:v>0.53300000000000003</c:v>
                </c:pt>
                <c:pt idx="18">
                  <c:v>0.38500000000000362</c:v>
                </c:pt>
                <c:pt idx="19">
                  <c:v>0.38900000000000362</c:v>
                </c:pt>
                <c:pt idx="20">
                  <c:v>0.46300000000000002</c:v>
                </c:pt>
                <c:pt idx="21">
                  <c:v>0.56399999999999995</c:v>
                </c:pt>
                <c:pt idx="22">
                  <c:v>0.5</c:v>
                </c:pt>
                <c:pt idx="23">
                  <c:v>0.36000000000000032</c:v>
                </c:pt>
                <c:pt idx="24">
                  <c:v>0.46200000000000002</c:v>
                </c:pt>
                <c:pt idx="25">
                  <c:v>0.57099999999999995</c:v>
                </c:pt>
                <c:pt idx="26">
                  <c:v>0.42900000000000038</c:v>
                </c:pt>
                <c:pt idx="27">
                  <c:v>0.62500000000000655</c:v>
                </c:pt>
                <c:pt idx="28">
                  <c:v>0.62500000000000655</c:v>
                </c:pt>
                <c:pt idx="29">
                  <c:v>0.52900000000000003</c:v>
                </c:pt>
                <c:pt idx="30">
                  <c:v>0.45500000000000002</c:v>
                </c:pt>
                <c:pt idx="31">
                  <c:v>0.57099999999999995</c:v>
                </c:pt>
                <c:pt idx="32">
                  <c:v>0.66700000000000825</c:v>
                </c:pt>
                <c:pt idx="33">
                  <c:v>0.27300000000000002</c:v>
                </c:pt>
              </c:numCache>
            </c:numRef>
          </c:val>
          <c:extLst xmlns:c16r2="http://schemas.microsoft.com/office/drawing/2015/06/chart">
            <c:ext xmlns:c16="http://schemas.microsoft.com/office/drawing/2014/chart" uri="{C3380CC4-5D6E-409C-BE32-E72D297353CC}">
              <c16:uniqueId val="{00000005-9B23-459E-9AC1-3AA661E47526}"/>
            </c:ext>
          </c:extLst>
        </c:ser>
        <c:ser>
          <c:idx val="2"/>
          <c:order val="2"/>
          <c:tx>
            <c:strRef>
              <c:f>Лист1!$D$1</c:f>
              <c:strCache>
                <c:ptCount val="1"/>
                <c:pt idx="0">
                  <c:v>Затрудняюсь ответить</c:v>
                </c:pt>
              </c:strCache>
            </c:strRef>
          </c:tx>
          <c:spPr>
            <a:solidFill>
              <a:schemeClr val="bg1">
                <a:lumMod val="85000"/>
              </a:schemeClr>
            </a:solidFill>
          </c:spPr>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9B23-459E-9AC1-3AA661E47526}"/>
                </c:ext>
              </c:extLst>
            </c:dLbl>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9B23-459E-9AC1-3AA661E47526}"/>
                </c:ext>
              </c:extLst>
            </c:dLbl>
            <c:dLbl>
              <c:idx val="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9B23-459E-9AC1-3AA661E47526}"/>
                </c:ext>
              </c:extLst>
            </c:dLbl>
            <c:dLbl>
              <c:idx val="8"/>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9B23-459E-9AC1-3AA661E47526}"/>
                </c:ext>
              </c:extLst>
            </c:dLbl>
            <c:dLbl>
              <c:idx val="1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9B23-459E-9AC1-3AA661E47526}"/>
                </c:ext>
              </c:extLst>
            </c:dLbl>
            <c:dLbl>
              <c:idx val="17"/>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9B23-459E-9AC1-3AA661E47526}"/>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Лист1!$A$2:$A$35</c:f>
              <c:strCache>
                <c:ptCount val="34"/>
                <c:pt idx="0">
                  <c:v>Здвинский МР</c:v>
                </c:pt>
                <c:pt idx="1">
                  <c:v>Болотнинский МР</c:v>
                </c:pt>
                <c:pt idx="2">
                  <c:v>Усть-Таркский МР</c:v>
                </c:pt>
                <c:pt idx="3">
                  <c:v>Купинский МР</c:v>
                </c:pt>
                <c:pt idx="4">
                  <c:v>Черепановский МР</c:v>
                </c:pt>
                <c:pt idx="5">
                  <c:v>Кыштовский МР</c:v>
                </c:pt>
                <c:pt idx="6">
                  <c:v>Краснозерский МР</c:v>
                </c:pt>
                <c:pt idx="7">
                  <c:v>Тогучинский МР</c:v>
                </c:pt>
                <c:pt idx="8">
                  <c:v>Кочковский МР</c:v>
                </c:pt>
                <c:pt idx="9">
                  <c:v>Мошковский МР</c:v>
                </c:pt>
                <c:pt idx="10">
                  <c:v>Чистоозерный МР</c:v>
                </c:pt>
                <c:pt idx="11">
                  <c:v>Карасукский МР</c:v>
                </c:pt>
                <c:pt idx="12">
                  <c:v>Баганский МР</c:v>
                </c:pt>
                <c:pt idx="13">
                  <c:v>г. Обь</c:v>
                </c:pt>
                <c:pt idx="14">
                  <c:v>Северный МР</c:v>
                </c:pt>
                <c:pt idx="15">
                  <c:v>Колыванский МР</c:v>
                </c:pt>
                <c:pt idx="16">
                  <c:v>Ордынский МР</c:v>
                </c:pt>
                <c:pt idx="17">
                  <c:v>Чулымский МР</c:v>
                </c:pt>
                <c:pt idx="18">
                  <c:v>Коченевский МР</c:v>
                </c:pt>
                <c:pt idx="19">
                  <c:v>Татарский МР</c:v>
                </c:pt>
                <c:pt idx="20">
                  <c:v>г. Искитим</c:v>
                </c:pt>
                <c:pt idx="21">
                  <c:v>г. Бердск</c:v>
                </c:pt>
                <c:pt idx="22">
                  <c:v>Куйбышевский МР</c:v>
                </c:pt>
                <c:pt idx="23">
                  <c:v>г. Новосибирск</c:v>
                </c:pt>
                <c:pt idx="24">
                  <c:v>Маслянинский МР</c:v>
                </c:pt>
                <c:pt idx="25">
                  <c:v>Доволенский МР</c:v>
                </c:pt>
                <c:pt idx="26">
                  <c:v>Убинский МР</c:v>
                </c:pt>
                <c:pt idx="27">
                  <c:v>р. п. Кольцово</c:v>
                </c:pt>
                <c:pt idx="28">
                  <c:v>Сузунский МР</c:v>
                </c:pt>
                <c:pt idx="29">
                  <c:v>Искитимский МР</c:v>
                </c:pt>
                <c:pt idx="30">
                  <c:v>Чановский МР</c:v>
                </c:pt>
                <c:pt idx="31">
                  <c:v>Венгеровский МР</c:v>
                </c:pt>
                <c:pt idx="32">
                  <c:v>Каргатский МР</c:v>
                </c:pt>
                <c:pt idx="33">
                  <c:v>Новосибирский МР</c:v>
                </c:pt>
              </c:strCache>
            </c:strRef>
          </c:cat>
          <c:val>
            <c:numRef>
              <c:f>Лист1!$D$2:$D$35</c:f>
              <c:numCache>
                <c:formatCode>0.0%</c:formatCode>
                <c:ptCount val="34"/>
                <c:pt idx="0">
                  <c:v>0</c:v>
                </c:pt>
                <c:pt idx="1">
                  <c:v>0</c:v>
                </c:pt>
                <c:pt idx="2">
                  <c:v>0.16700000000000001</c:v>
                </c:pt>
                <c:pt idx="3">
                  <c:v>0</c:v>
                </c:pt>
                <c:pt idx="4">
                  <c:v>5.6000000000000001E-2</c:v>
                </c:pt>
                <c:pt idx="5">
                  <c:v>0.16700000000000001</c:v>
                </c:pt>
                <c:pt idx="6">
                  <c:v>0.25</c:v>
                </c:pt>
                <c:pt idx="7">
                  <c:v>8.3000000000000046E-2</c:v>
                </c:pt>
                <c:pt idx="8">
                  <c:v>0</c:v>
                </c:pt>
                <c:pt idx="9">
                  <c:v>0.222</c:v>
                </c:pt>
                <c:pt idx="10">
                  <c:v>9.1000000000000025E-2</c:v>
                </c:pt>
                <c:pt idx="11">
                  <c:v>5.9000000000000434E-2</c:v>
                </c:pt>
                <c:pt idx="12">
                  <c:v>0.125</c:v>
                </c:pt>
                <c:pt idx="13">
                  <c:v>0.17900000000000021</c:v>
                </c:pt>
                <c:pt idx="14">
                  <c:v>0</c:v>
                </c:pt>
                <c:pt idx="15">
                  <c:v>8.7000000000000022E-2</c:v>
                </c:pt>
                <c:pt idx="16">
                  <c:v>0.10500000000000002</c:v>
                </c:pt>
                <c:pt idx="17">
                  <c:v>0</c:v>
                </c:pt>
                <c:pt idx="18">
                  <c:v>0.15400000000000041</c:v>
                </c:pt>
                <c:pt idx="19">
                  <c:v>0.16700000000000001</c:v>
                </c:pt>
                <c:pt idx="20">
                  <c:v>0.14800000000000021</c:v>
                </c:pt>
                <c:pt idx="21">
                  <c:v>5.1000000000000004E-2</c:v>
                </c:pt>
                <c:pt idx="22">
                  <c:v>0.115</c:v>
                </c:pt>
                <c:pt idx="23">
                  <c:v>0.28100000000000008</c:v>
                </c:pt>
                <c:pt idx="24">
                  <c:v>0.23100000000000001</c:v>
                </c:pt>
                <c:pt idx="25">
                  <c:v>0.14300000000000004</c:v>
                </c:pt>
                <c:pt idx="26">
                  <c:v>0.28600000000000031</c:v>
                </c:pt>
                <c:pt idx="27">
                  <c:v>0.125</c:v>
                </c:pt>
                <c:pt idx="28">
                  <c:v>0.125</c:v>
                </c:pt>
                <c:pt idx="29">
                  <c:v>0.29400000000000032</c:v>
                </c:pt>
                <c:pt idx="30">
                  <c:v>0.39400000000000412</c:v>
                </c:pt>
                <c:pt idx="31">
                  <c:v>0.28600000000000031</c:v>
                </c:pt>
                <c:pt idx="32">
                  <c:v>0.33300000000000413</c:v>
                </c:pt>
                <c:pt idx="33">
                  <c:v>0.72700000000000065</c:v>
                </c:pt>
              </c:numCache>
            </c:numRef>
          </c:val>
          <c:extLst xmlns:c16r2="http://schemas.microsoft.com/office/drawing/2015/06/chart">
            <c:ext xmlns:c16="http://schemas.microsoft.com/office/drawing/2014/chart" uri="{C3380CC4-5D6E-409C-BE32-E72D297353CC}">
              <c16:uniqueId val="{0000000C-9B23-459E-9AC1-3AA661E47526}"/>
            </c:ext>
          </c:extLst>
        </c:ser>
        <c:overlap val="100"/>
        <c:axId val="98849152"/>
        <c:axId val="98850688"/>
      </c:barChart>
      <c:catAx>
        <c:axId val="98849152"/>
        <c:scaling>
          <c:orientation val="maxMin"/>
        </c:scaling>
        <c:axPos val="l"/>
        <c:numFmt formatCode="General" sourceLinked="1"/>
        <c:tickLblPos val="nextTo"/>
        <c:crossAx val="98850688"/>
        <c:crosses val="autoZero"/>
        <c:auto val="1"/>
        <c:lblAlgn val="ctr"/>
        <c:lblOffset val="100"/>
      </c:catAx>
      <c:valAx>
        <c:axId val="98850688"/>
        <c:scaling>
          <c:orientation val="minMax"/>
          <c:max val="1"/>
          <c:min val="0"/>
        </c:scaling>
        <c:axPos val="t"/>
        <c:majorGridlines/>
        <c:numFmt formatCode="0.0%" sourceLinked="1"/>
        <c:tickLblPos val="nextTo"/>
        <c:crossAx val="98849152"/>
        <c:crosses val="autoZero"/>
        <c:crossBetween val="between"/>
        <c:majorUnit val="0.2"/>
      </c:valAx>
    </c:plotArea>
    <c:legend>
      <c:legendPos val="t"/>
    </c:legend>
    <c:plotVisOnly val="1"/>
    <c:dispBlanksAs val="gap"/>
  </c:chart>
  <c:spPr>
    <a:ln>
      <a:noFill/>
    </a:ln>
  </c:spPr>
  <c:txPr>
    <a:bodyPr/>
    <a:lstStyle/>
    <a:p>
      <a:pPr>
        <a:defRPr>
          <a:latin typeface="Arial Narrow" pitchFamily="34" charset="0"/>
        </a:defRPr>
      </a:pPr>
      <a:endParaRPr lang="ru-RU"/>
    </a:p>
  </c:txPr>
  <c:externalData r:id="rId1"/>
</c:chartSpace>
</file>

<file path=word/charts/chart70.xml><?xml version="1.0" encoding="utf-8"?>
<c:chartSpace xmlns:c="http://schemas.openxmlformats.org/drawingml/2006/chart" xmlns:a="http://schemas.openxmlformats.org/drawingml/2006/main" xmlns:r="http://schemas.openxmlformats.org/officeDocument/2006/relationships">
  <c:date1904 val="1"/>
  <c:lang val="ru-RU"/>
  <c:style val="6"/>
  <c:chart>
    <c:plotArea>
      <c:layout>
        <c:manualLayout>
          <c:layoutTarget val="inner"/>
          <c:xMode val="edge"/>
          <c:yMode val="edge"/>
          <c:x val="0.27650257804892092"/>
          <c:y val="7.4255224134304909E-2"/>
          <c:w val="0.68250273990545041"/>
          <c:h val="0.91752053496057262"/>
        </c:manualLayout>
      </c:layout>
      <c:barChart>
        <c:barDir val="bar"/>
        <c:grouping val="stacked"/>
        <c:ser>
          <c:idx val="0"/>
          <c:order val="0"/>
          <c:tx>
            <c:strRef>
              <c:f>Лист1!$B$1</c:f>
              <c:strCache>
                <c:ptCount val="1"/>
                <c:pt idx="0">
                  <c:v>Удовлетворительно</c:v>
                </c:pt>
              </c:strCache>
            </c:strRef>
          </c:tx>
          <c:spPr>
            <a:solidFill>
              <a:schemeClr val="accent2">
                <a:lumMod val="40000"/>
                <a:lumOff val="60000"/>
              </a:schemeClr>
            </a:solidFill>
          </c:spPr>
          <c:dLbls>
            <c:spPr>
              <a:noFill/>
              <a:ln>
                <a:no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Убинский МР</c:v>
                </c:pt>
                <c:pt idx="1">
                  <c:v>Здвинский МР</c:v>
                </c:pt>
                <c:pt idx="2">
                  <c:v>Чистоозерный МР</c:v>
                </c:pt>
                <c:pt idx="3">
                  <c:v>Болотнинский МР</c:v>
                </c:pt>
                <c:pt idx="4">
                  <c:v>Каргатский МР</c:v>
                </c:pt>
                <c:pt idx="5">
                  <c:v>г. Искитим</c:v>
                </c:pt>
                <c:pt idx="6">
                  <c:v>Куйбышевский МР</c:v>
                </c:pt>
                <c:pt idx="7">
                  <c:v>Новосибирский МР</c:v>
                </c:pt>
                <c:pt idx="8">
                  <c:v>Кыштовский МР</c:v>
                </c:pt>
                <c:pt idx="9">
                  <c:v>Маслянинский МР</c:v>
                </c:pt>
                <c:pt idx="10">
                  <c:v>Купинский МР</c:v>
                </c:pt>
                <c:pt idx="11">
                  <c:v>Барабинский МР</c:v>
                </c:pt>
                <c:pt idx="12">
                  <c:v>Колыванский МР</c:v>
                </c:pt>
                <c:pt idx="13">
                  <c:v>Коченевский МР</c:v>
                </c:pt>
                <c:pt idx="14">
                  <c:v>Искитимский МР</c:v>
                </c:pt>
                <c:pt idx="15">
                  <c:v>Карасукский МР</c:v>
                </c:pt>
                <c:pt idx="16">
                  <c:v>Татарский МР</c:v>
                </c:pt>
                <c:pt idx="17">
                  <c:v>Сузунский МР</c:v>
                </c:pt>
                <c:pt idx="18">
                  <c:v>Чулымский МР</c:v>
                </c:pt>
                <c:pt idx="19">
                  <c:v>Черепановский МР</c:v>
                </c:pt>
                <c:pt idx="20">
                  <c:v>Баганский МР</c:v>
                </c:pt>
                <c:pt idx="21">
                  <c:v>Краснозерский МР</c:v>
                </c:pt>
                <c:pt idx="22">
                  <c:v>Мошковский МР</c:v>
                </c:pt>
                <c:pt idx="23">
                  <c:v>Усть-Таркский МР</c:v>
                </c:pt>
                <c:pt idx="24">
                  <c:v>г. Обь</c:v>
                </c:pt>
                <c:pt idx="25">
                  <c:v>Доволенский МР</c:v>
                </c:pt>
                <c:pt idx="26">
                  <c:v>г. Новосибирск</c:v>
                </c:pt>
                <c:pt idx="27">
                  <c:v>Венгеровский МР</c:v>
                </c:pt>
                <c:pt idx="28">
                  <c:v>Кочковский МР</c:v>
                </c:pt>
                <c:pt idx="29">
                  <c:v>Тогучинский МР</c:v>
                </c:pt>
                <c:pt idx="30">
                  <c:v>Чановский МР</c:v>
                </c:pt>
                <c:pt idx="31">
                  <c:v>Северный МР</c:v>
                </c:pt>
                <c:pt idx="32">
                  <c:v>г. Бердск</c:v>
                </c:pt>
                <c:pt idx="33">
                  <c:v>р. п. Кольцово</c:v>
                </c:pt>
                <c:pt idx="34">
                  <c:v>Ордынский МР</c:v>
                </c:pt>
              </c:strCache>
            </c:strRef>
          </c:cat>
          <c:val>
            <c:numRef>
              <c:f>Лист1!$B$2:$B$36</c:f>
              <c:numCache>
                <c:formatCode>0.0%</c:formatCode>
                <c:ptCount val="35"/>
                <c:pt idx="0">
                  <c:v>0.51400000000000001</c:v>
                </c:pt>
                <c:pt idx="1">
                  <c:v>0.47100000000000031</c:v>
                </c:pt>
                <c:pt idx="2">
                  <c:v>0.47100000000000031</c:v>
                </c:pt>
                <c:pt idx="3">
                  <c:v>0.45700000000000002</c:v>
                </c:pt>
                <c:pt idx="4">
                  <c:v>0.45700000000000002</c:v>
                </c:pt>
                <c:pt idx="5">
                  <c:v>0.443</c:v>
                </c:pt>
                <c:pt idx="6">
                  <c:v>0.443</c:v>
                </c:pt>
                <c:pt idx="7">
                  <c:v>0.443</c:v>
                </c:pt>
                <c:pt idx="8">
                  <c:v>0.42900000000000038</c:v>
                </c:pt>
                <c:pt idx="9">
                  <c:v>0.41400000000000031</c:v>
                </c:pt>
                <c:pt idx="10">
                  <c:v>0.38900000000000345</c:v>
                </c:pt>
                <c:pt idx="11">
                  <c:v>0.38600000000000345</c:v>
                </c:pt>
                <c:pt idx="12">
                  <c:v>0.38600000000000345</c:v>
                </c:pt>
                <c:pt idx="13">
                  <c:v>0.38600000000000345</c:v>
                </c:pt>
                <c:pt idx="14">
                  <c:v>0.37100000000000088</c:v>
                </c:pt>
                <c:pt idx="15">
                  <c:v>0.37100000000000088</c:v>
                </c:pt>
                <c:pt idx="16">
                  <c:v>0.37100000000000088</c:v>
                </c:pt>
                <c:pt idx="17">
                  <c:v>0.35700000000000032</c:v>
                </c:pt>
                <c:pt idx="18">
                  <c:v>0.34300000000000008</c:v>
                </c:pt>
                <c:pt idx="19">
                  <c:v>0.32400000000000345</c:v>
                </c:pt>
                <c:pt idx="20">
                  <c:v>0.31400000000000305</c:v>
                </c:pt>
                <c:pt idx="21">
                  <c:v>0.31400000000000305</c:v>
                </c:pt>
                <c:pt idx="22">
                  <c:v>0.31000000000000238</c:v>
                </c:pt>
                <c:pt idx="23">
                  <c:v>0.30000000000000032</c:v>
                </c:pt>
                <c:pt idx="24">
                  <c:v>0.29600000000000032</c:v>
                </c:pt>
                <c:pt idx="25">
                  <c:v>0.29600000000000032</c:v>
                </c:pt>
                <c:pt idx="26">
                  <c:v>0.28700000000000031</c:v>
                </c:pt>
                <c:pt idx="27">
                  <c:v>0.28600000000000031</c:v>
                </c:pt>
                <c:pt idx="28">
                  <c:v>0.28600000000000031</c:v>
                </c:pt>
                <c:pt idx="29">
                  <c:v>0.27100000000000002</c:v>
                </c:pt>
                <c:pt idx="30">
                  <c:v>0.26</c:v>
                </c:pt>
                <c:pt idx="31">
                  <c:v>0.24300000000000024</c:v>
                </c:pt>
                <c:pt idx="32">
                  <c:v>0.17800000000000021</c:v>
                </c:pt>
                <c:pt idx="33">
                  <c:v>0.15700000000000044</c:v>
                </c:pt>
                <c:pt idx="34">
                  <c:v>0.15500000000000044</c:v>
                </c:pt>
              </c:numCache>
            </c:numRef>
          </c:val>
          <c:extLst xmlns:c16r2="http://schemas.microsoft.com/office/drawing/2015/06/chart">
            <c:ext xmlns:c16="http://schemas.microsoft.com/office/drawing/2014/chart" uri="{C3380CC4-5D6E-409C-BE32-E72D297353CC}">
              <c16:uniqueId val="{00000000-C85D-4756-86FA-B3D8AB176071}"/>
            </c:ext>
          </c:extLst>
        </c:ser>
        <c:ser>
          <c:idx val="1"/>
          <c:order val="1"/>
          <c:tx>
            <c:strRef>
              <c:f>Лист1!$C$1</c:f>
              <c:strCache>
                <c:ptCount val="1"/>
                <c:pt idx="0">
                  <c:v>Неудовлетворительно</c:v>
                </c:pt>
              </c:strCache>
            </c:strRef>
          </c:tx>
          <c:spPr>
            <a:solidFill>
              <a:srgbClr val="B28AB2"/>
            </a:solidFill>
            <a:ln>
              <a:noFill/>
            </a:ln>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Убинский МР</c:v>
                </c:pt>
                <c:pt idx="1">
                  <c:v>Здвинский МР</c:v>
                </c:pt>
                <c:pt idx="2">
                  <c:v>Чистоозерный МР</c:v>
                </c:pt>
                <c:pt idx="3">
                  <c:v>Болотнинский МР</c:v>
                </c:pt>
                <c:pt idx="4">
                  <c:v>Каргатский МР</c:v>
                </c:pt>
                <c:pt idx="5">
                  <c:v>г. Искитим</c:v>
                </c:pt>
                <c:pt idx="6">
                  <c:v>Куйбышевский МР</c:v>
                </c:pt>
                <c:pt idx="7">
                  <c:v>Новосибирский МР</c:v>
                </c:pt>
                <c:pt idx="8">
                  <c:v>Кыштовский МР</c:v>
                </c:pt>
                <c:pt idx="9">
                  <c:v>Маслянинский МР</c:v>
                </c:pt>
                <c:pt idx="10">
                  <c:v>Купинский МР</c:v>
                </c:pt>
                <c:pt idx="11">
                  <c:v>Барабинский МР</c:v>
                </c:pt>
                <c:pt idx="12">
                  <c:v>Колыванский МР</c:v>
                </c:pt>
                <c:pt idx="13">
                  <c:v>Коченевский МР</c:v>
                </c:pt>
                <c:pt idx="14">
                  <c:v>Искитимский МР</c:v>
                </c:pt>
                <c:pt idx="15">
                  <c:v>Карасукский МР</c:v>
                </c:pt>
                <c:pt idx="16">
                  <c:v>Татарский МР</c:v>
                </c:pt>
                <c:pt idx="17">
                  <c:v>Сузунский МР</c:v>
                </c:pt>
                <c:pt idx="18">
                  <c:v>Чулымский МР</c:v>
                </c:pt>
                <c:pt idx="19">
                  <c:v>Черепановский МР</c:v>
                </c:pt>
                <c:pt idx="20">
                  <c:v>Баганский МР</c:v>
                </c:pt>
                <c:pt idx="21">
                  <c:v>Краснозерский МР</c:v>
                </c:pt>
                <c:pt idx="22">
                  <c:v>Мошковский МР</c:v>
                </c:pt>
                <c:pt idx="23">
                  <c:v>Усть-Таркский МР</c:v>
                </c:pt>
                <c:pt idx="24">
                  <c:v>г. Обь</c:v>
                </c:pt>
                <c:pt idx="25">
                  <c:v>Доволенский МР</c:v>
                </c:pt>
                <c:pt idx="26">
                  <c:v>г. Новосибирск</c:v>
                </c:pt>
                <c:pt idx="27">
                  <c:v>Венгеровский МР</c:v>
                </c:pt>
                <c:pt idx="28">
                  <c:v>Кочковский МР</c:v>
                </c:pt>
                <c:pt idx="29">
                  <c:v>Тогучинский МР</c:v>
                </c:pt>
                <c:pt idx="30">
                  <c:v>Чановский МР</c:v>
                </c:pt>
                <c:pt idx="31">
                  <c:v>Северный МР</c:v>
                </c:pt>
                <c:pt idx="32">
                  <c:v>г. Бердск</c:v>
                </c:pt>
                <c:pt idx="33">
                  <c:v>р. п. Кольцово</c:v>
                </c:pt>
                <c:pt idx="34">
                  <c:v>Ордынский МР</c:v>
                </c:pt>
              </c:strCache>
            </c:strRef>
          </c:cat>
          <c:val>
            <c:numRef>
              <c:f>Лист1!$C$2:$C$36</c:f>
              <c:numCache>
                <c:formatCode>0.0%</c:formatCode>
                <c:ptCount val="35"/>
                <c:pt idx="0">
                  <c:v>0.25700000000000001</c:v>
                </c:pt>
                <c:pt idx="1">
                  <c:v>0.30000000000000032</c:v>
                </c:pt>
                <c:pt idx="2">
                  <c:v>0.35700000000000032</c:v>
                </c:pt>
                <c:pt idx="3">
                  <c:v>0.30000000000000032</c:v>
                </c:pt>
                <c:pt idx="4">
                  <c:v>0.48600000000000032</c:v>
                </c:pt>
                <c:pt idx="5">
                  <c:v>0.41400000000000031</c:v>
                </c:pt>
                <c:pt idx="6">
                  <c:v>0.30000000000000032</c:v>
                </c:pt>
                <c:pt idx="7">
                  <c:v>0.31400000000000305</c:v>
                </c:pt>
                <c:pt idx="8">
                  <c:v>0.18600000000000044</c:v>
                </c:pt>
                <c:pt idx="9">
                  <c:v>0.38600000000000345</c:v>
                </c:pt>
                <c:pt idx="10">
                  <c:v>0.26400000000000001</c:v>
                </c:pt>
                <c:pt idx="11">
                  <c:v>0.35700000000000032</c:v>
                </c:pt>
                <c:pt idx="12">
                  <c:v>0.30000000000000032</c:v>
                </c:pt>
                <c:pt idx="13">
                  <c:v>0.30000000000000032</c:v>
                </c:pt>
                <c:pt idx="14">
                  <c:v>0.30000000000000032</c:v>
                </c:pt>
                <c:pt idx="15">
                  <c:v>0.37100000000000088</c:v>
                </c:pt>
                <c:pt idx="16">
                  <c:v>0.45700000000000002</c:v>
                </c:pt>
                <c:pt idx="17">
                  <c:v>0.129</c:v>
                </c:pt>
                <c:pt idx="18">
                  <c:v>0.31400000000000305</c:v>
                </c:pt>
                <c:pt idx="19">
                  <c:v>0.35200000000000031</c:v>
                </c:pt>
                <c:pt idx="20">
                  <c:v>0.30000000000000032</c:v>
                </c:pt>
                <c:pt idx="21">
                  <c:v>0.24300000000000024</c:v>
                </c:pt>
                <c:pt idx="22">
                  <c:v>0.32400000000000345</c:v>
                </c:pt>
                <c:pt idx="23">
                  <c:v>0.114</c:v>
                </c:pt>
                <c:pt idx="24">
                  <c:v>0.29600000000000032</c:v>
                </c:pt>
                <c:pt idx="25">
                  <c:v>0.22500000000000001</c:v>
                </c:pt>
                <c:pt idx="26">
                  <c:v>0.43300000000000038</c:v>
                </c:pt>
                <c:pt idx="27">
                  <c:v>0.27100000000000002</c:v>
                </c:pt>
                <c:pt idx="28">
                  <c:v>0.37100000000000088</c:v>
                </c:pt>
                <c:pt idx="29">
                  <c:v>0.21400000000000041</c:v>
                </c:pt>
                <c:pt idx="30">
                  <c:v>0.192</c:v>
                </c:pt>
                <c:pt idx="31">
                  <c:v>0.129</c:v>
                </c:pt>
                <c:pt idx="32">
                  <c:v>0.34200000000000008</c:v>
                </c:pt>
                <c:pt idx="33">
                  <c:v>0.37100000000000088</c:v>
                </c:pt>
                <c:pt idx="34">
                  <c:v>0.26800000000000002</c:v>
                </c:pt>
              </c:numCache>
            </c:numRef>
          </c:val>
          <c:extLst xmlns:c16r2="http://schemas.microsoft.com/office/drawing/2015/06/chart">
            <c:ext xmlns:c16="http://schemas.microsoft.com/office/drawing/2014/chart" uri="{C3380CC4-5D6E-409C-BE32-E72D297353CC}">
              <c16:uniqueId val="{00000001-C85D-4756-86FA-B3D8AB176071}"/>
            </c:ext>
          </c:extLst>
        </c:ser>
        <c:ser>
          <c:idx val="2"/>
          <c:order val="2"/>
          <c:tx>
            <c:strRef>
              <c:f>Лист1!$D$1</c:f>
              <c:strCache>
                <c:ptCount val="1"/>
                <c:pt idx="0">
                  <c:v>Затрудняюсь ответить</c:v>
                </c:pt>
              </c:strCache>
            </c:strRef>
          </c:tx>
          <c:spPr>
            <a:solidFill>
              <a:schemeClr val="bg1">
                <a:lumMod val="85000"/>
              </a:scheme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Убинский МР</c:v>
                </c:pt>
                <c:pt idx="1">
                  <c:v>Здвинский МР</c:v>
                </c:pt>
                <c:pt idx="2">
                  <c:v>Чистоозерный МР</c:v>
                </c:pt>
                <c:pt idx="3">
                  <c:v>Болотнинский МР</c:v>
                </c:pt>
                <c:pt idx="4">
                  <c:v>Каргатский МР</c:v>
                </c:pt>
                <c:pt idx="5">
                  <c:v>г. Искитим</c:v>
                </c:pt>
                <c:pt idx="6">
                  <c:v>Куйбышевский МР</c:v>
                </c:pt>
                <c:pt idx="7">
                  <c:v>Новосибирский МР</c:v>
                </c:pt>
                <c:pt idx="8">
                  <c:v>Кыштовский МР</c:v>
                </c:pt>
                <c:pt idx="9">
                  <c:v>Маслянинский МР</c:v>
                </c:pt>
                <c:pt idx="10">
                  <c:v>Купинский МР</c:v>
                </c:pt>
                <c:pt idx="11">
                  <c:v>Барабинский МР</c:v>
                </c:pt>
                <c:pt idx="12">
                  <c:v>Колыванский МР</c:v>
                </c:pt>
                <c:pt idx="13">
                  <c:v>Коченевский МР</c:v>
                </c:pt>
                <c:pt idx="14">
                  <c:v>Искитимский МР</c:v>
                </c:pt>
                <c:pt idx="15">
                  <c:v>Карасукский МР</c:v>
                </c:pt>
                <c:pt idx="16">
                  <c:v>Татарский МР</c:v>
                </c:pt>
                <c:pt idx="17">
                  <c:v>Сузунский МР</c:v>
                </c:pt>
                <c:pt idx="18">
                  <c:v>Чулымский МР</c:v>
                </c:pt>
                <c:pt idx="19">
                  <c:v>Черепановский МР</c:v>
                </c:pt>
                <c:pt idx="20">
                  <c:v>Баганский МР</c:v>
                </c:pt>
                <c:pt idx="21">
                  <c:v>Краснозерский МР</c:v>
                </c:pt>
                <c:pt idx="22">
                  <c:v>Мошковский МР</c:v>
                </c:pt>
                <c:pt idx="23">
                  <c:v>Усть-Таркский МР</c:v>
                </c:pt>
                <c:pt idx="24">
                  <c:v>г. Обь</c:v>
                </c:pt>
                <c:pt idx="25">
                  <c:v>Доволенский МР</c:v>
                </c:pt>
                <c:pt idx="26">
                  <c:v>г. Новосибирск</c:v>
                </c:pt>
                <c:pt idx="27">
                  <c:v>Венгеровский МР</c:v>
                </c:pt>
                <c:pt idx="28">
                  <c:v>Кочковский МР</c:v>
                </c:pt>
                <c:pt idx="29">
                  <c:v>Тогучинский МР</c:v>
                </c:pt>
                <c:pt idx="30">
                  <c:v>Чановский МР</c:v>
                </c:pt>
                <c:pt idx="31">
                  <c:v>Северный МР</c:v>
                </c:pt>
                <c:pt idx="32">
                  <c:v>г. Бердск</c:v>
                </c:pt>
                <c:pt idx="33">
                  <c:v>р. п. Кольцово</c:v>
                </c:pt>
                <c:pt idx="34">
                  <c:v>Ордынский МР</c:v>
                </c:pt>
              </c:strCache>
            </c:strRef>
          </c:cat>
          <c:val>
            <c:numRef>
              <c:f>Лист1!$D$2:$D$36</c:f>
              <c:numCache>
                <c:formatCode>0.0%</c:formatCode>
                <c:ptCount val="35"/>
                <c:pt idx="0">
                  <c:v>0.22900000000000001</c:v>
                </c:pt>
                <c:pt idx="1">
                  <c:v>0.22900000000000001</c:v>
                </c:pt>
                <c:pt idx="2">
                  <c:v>0.17100000000000001</c:v>
                </c:pt>
                <c:pt idx="3">
                  <c:v>0.24300000000000024</c:v>
                </c:pt>
                <c:pt idx="4">
                  <c:v>5.7000000000000023E-2</c:v>
                </c:pt>
                <c:pt idx="5">
                  <c:v>0.14300000000000004</c:v>
                </c:pt>
                <c:pt idx="6">
                  <c:v>0.25700000000000001</c:v>
                </c:pt>
                <c:pt idx="7">
                  <c:v>0.24300000000000024</c:v>
                </c:pt>
                <c:pt idx="8">
                  <c:v>0.38600000000000345</c:v>
                </c:pt>
                <c:pt idx="9">
                  <c:v>0.2</c:v>
                </c:pt>
                <c:pt idx="10">
                  <c:v>0.34700000000000031</c:v>
                </c:pt>
                <c:pt idx="11">
                  <c:v>0.25700000000000001</c:v>
                </c:pt>
                <c:pt idx="12">
                  <c:v>0.31400000000000305</c:v>
                </c:pt>
                <c:pt idx="13">
                  <c:v>0.31400000000000305</c:v>
                </c:pt>
                <c:pt idx="14">
                  <c:v>0.32900000000000357</c:v>
                </c:pt>
                <c:pt idx="15">
                  <c:v>0.25700000000000001</c:v>
                </c:pt>
                <c:pt idx="16">
                  <c:v>0.17100000000000001</c:v>
                </c:pt>
                <c:pt idx="17">
                  <c:v>0.51400000000000001</c:v>
                </c:pt>
                <c:pt idx="18">
                  <c:v>0.34300000000000008</c:v>
                </c:pt>
                <c:pt idx="19">
                  <c:v>0.32400000000000345</c:v>
                </c:pt>
                <c:pt idx="20">
                  <c:v>0.38600000000000345</c:v>
                </c:pt>
                <c:pt idx="21">
                  <c:v>0.443</c:v>
                </c:pt>
                <c:pt idx="22">
                  <c:v>0.36600000000000038</c:v>
                </c:pt>
                <c:pt idx="23">
                  <c:v>0.58599999999999997</c:v>
                </c:pt>
                <c:pt idx="24">
                  <c:v>0.40800000000000008</c:v>
                </c:pt>
                <c:pt idx="25">
                  <c:v>0.47900000000000031</c:v>
                </c:pt>
                <c:pt idx="26">
                  <c:v>0.28000000000000008</c:v>
                </c:pt>
                <c:pt idx="27">
                  <c:v>0.443</c:v>
                </c:pt>
                <c:pt idx="28">
                  <c:v>0.34300000000000008</c:v>
                </c:pt>
                <c:pt idx="29">
                  <c:v>0.51400000000000001</c:v>
                </c:pt>
                <c:pt idx="30">
                  <c:v>0.54800000000000004</c:v>
                </c:pt>
                <c:pt idx="31">
                  <c:v>0.62900000000000666</c:v>
                </c:pt>
                <c:pt idx="32">
                  <c:v>0.47900000000000031</c:v>
                </c:pt>
                <c:pt idx="33">
                  <c:v>0.47100000000000031</c:v>
                </c:pt>
                <c:pt idx="34">
                  <c:v>0.57700000000000062</c:v>
                </c:pt>
              </c:numCache>
            </c:numRef>
          </c:val>
          <c:extLst xmlns:c16r2="http://schemas.microsoft.com/office/drawing/2015/06/chart">
            <c:ext xmlns:c16="http://schemas.microsoft.com/office/drawing/2014/chart" uri="{C3380CC4-5D6E-409C-BE32-E72D297353CC}">
              <c16:uniqueId val="{00000002-C85D-4756-86FA-B3D8AB176071}"/>
            </c:ext>
          </c:extLst>
        </c:ser>
        <c:overlap val="100"/>
        <c:axId val="143689600"/>
        <c:axId val="143691136"/>
      </c:barChart>
      <c:catAx>
        <c:axId val="143689600"/>
        <c:scaling>
          <c:orientation val="maxMin"/>
        </c:scaling>
        <c:axPos val="l"/>
        <c:numFmt formatCode="General" sourceLinked="1"/>
        <c:tickLblPos val="nextTo"/>
        <c:crossAx val="143691136"/>
        <c:crosses val="autoZero"/>
        <c:auto val="1"/>
        <c:lblAlgn val="ctr"/>
        <c:lblOffset val="100"/>
      </c:catAx>
      <c:valAx>
        <c:axId val="143691136"/>
        <c:scaling>
          <c:orientation val="minMax"/>
          <c:max val="1"/>
          <c:min val="0"/>
        </c:scaling>
        <c:axPos val="t"/>
        <c:majorGridlines/>
        <c:numFmt formatCode="0.0%" sourceLinked="1"/>
        <c:tickLblPos val="nextTo"/>
        <c:txPr>
          <a:bodyPr/>
          <a:lstStyle/>
          <a:p>
            <a:pPr>
              <a:defRPr sz="800"/>
            </a:pPr>
            <a:endParaRPr lang="ru-RU"/>
          </a:p>
        </c:txPr>
        <c:crossAx val="143689600"/>
        <c:crosses val="autoZero"/>
        <c:crossBetween val="between"/>
        <c:majorUnit val="0.2"/>
      </c:valAx>
      <c:spPr>
        <a:noFill/>
        <a:ln>
          <a:solidFill>
            <a:schemeClr val="accent1"/>
          </a:solidFill>
        </a:ln>
      </c:spPr>
    </c:plotArea>
    <c:legend>
      <c:legendPos val="t"/>
    </c:legend>
    <c:plotVisOnly val="1"/>
    <c:dispBlanksAs val="gap"/>
  </c:chart>
  <c:spPr>
    <a:ln>
      <a:noFill/>
    </a:ln>
  </c:spPr>
  <c:txPr>
    <a:bodyPr/>
    <a:lstStyle/>
    <a:p>
      <a:pPr algn="just">
        <a:defRPr>
          <a:latin typeface="Arial Narrow" panose="020B0606020202030204" pitchFamily="34" charset="0"/>
        </a:defRPr>
      </a:pPr>
      <a:endParaRPr lang="ru-RU"/>
    </a:p>
  </c:txPr>
  <c:externalData r:id="rId1"/>
</c:chartSpace>
</file>

<file path=word/charts/chart71.xml><?xml version="1.0" encoding="utf-8"?>
<c:chartSpace xmlns:c="http://schemas.openxmlformats.org/drawingml/2006/chart" xmlns:a="http://schemas.openxmlformats.org/drawingml/2006/main" xmlns:r="http://schemas.openxmlformats.org/officeDocument/2006/relationships">
  <c:date1904 val="1"/>
  <c:lang val="ru-RU"/>
  <c:style val="6"/>
  <c:chart>
    <c:plotArea>
      <c:layout>
        <c:manualLayout>
          <c:layoutTarget val="inner"/>
          <c:xMode val="edge"/>
          <c:yMode val="edge"/>
          <c:x val="0.27650257804892092"/>
          <c:y val="0.2343312283984304"/>
          <c:w val="0.68250275481088496"/>
          <c:h val="0.76045684883448972"/>
        </c:manualLayout>
      </c:layout>
      <c:barChart>
        <c:barDir val="bar"/>
        <c:grouping val="stacked"/>
        <c:ser>
          <c:idx val="0"/>
          <c:order val="0"/>
          <c:tx>
            <c:strRef>
              <c:f>Лист1!$B$1</c:f>
              <c:strCache>
                <c:ptCount val="1"/>
                <c:pt idx="0">
                  <c:v>Удовлетворительно</c:v>
                </c:pt>
              </c:strCache>
            </c:strRef>
          </c:tx>
          <c:spPr>
            <a:solidFill>
              <a:schemeClr val="accent2">
                <a:lumMod val="40000"/>
                <a:lumOff val="60000"/>
              </a:schemeClr>
            </a:solidFill>
          </c:spPr>
          <c:dLbls>
            <c:numFmt formatCode="0.0%" sourceLinked="0"/>
            <c:spPr>
              <a:noFill/>
              <a:ln>
                <a:no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Электроснабжение</c:v>
                </c:pt>
                <c:pt idx="1">
                  <c:v>Водоснабжение, водоотведение</c:v>
                </c:pt>
                <c:pt idx="2">
                  <c:v>Теплоснабжение</c:v>
                </c:pt>
                <c:pt idx="3">
                  <c:v>Газоснабжение</c:v>
                </c:pt>
              </c:strCache>
            </c:strRef>
          </c:cat>
          <c:val>
            <c:numRef>
              <c:f>Лист1!$B$2:$B$5</c:f>
              <c:numCache>
                <c:formatCode>0.00%</c:formatCode>
                <c:ptCount val="4"/>
                <c:pt idx="0">
                  <c:v>0.83800000000000063</c:v>
                </c:pt>
                <c:pt idx="1">
                  <c:v>0.61700000000000643</c:v>
                </c:pt>
                <c:pt idx="2">
                  <c:v>0.60700000000000065</c:v>
                </c:pt>
                <c:pt idx="3">
                  <c:v>0.53</c:v>
                </c:pt>
              </c:numCache>
            </c:numRef>
          </c:val>
          <c:extLst xmlns:c16r2="http://schemas.microsoft.com/office/drawing/2015/06/chart">
            <c:ext xmlns:c16="http://schemas.microsoft.com/office/drawing/2014/chart" uri="{C3380CC4-5D6E-409C-BE32-E72D297353CC}">
              <c16:uniqueId val="{00000000-7DBC-4FA7-A16B-28E33DDAE2E9}"/>
            </c:ext>
          </c:extLst>
        </c:ser>
        <c:ser>
          <c:idx val="1"/>
          <c:order val="1"/>
          <c:tx>
            <c:strRef>
              <c:f>Лист1!$C$1</c:f>
              <c:strCache>
                <c:ptCount val="1"/>
                <c:pt idx="0">
                  <c:v>Неудовлетворительно</c:v>
                </c:pt>
              </c:strCache>
            </c:strRef>
          </c:tx>
          <c:spPr>
            <a:solidFill>
              <a:srgbClr val="B28AB2"/>
            </a:solidFill>
            <a:ln>
              <a:noFill/>
            </a:ln>
          </c:spPr>
          <c:dLbls>
            <c:numFmt formatCode="0.0%" sourceLinked="0"/>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Электроснабжение</c:v>
                </c:pt>
                <c:pt idx="1">
                  <c:v>Водоснабжение, водоотведение</c:v>
                </c:pt>
                <c:pt idx="2">
                  <c:v>Теплоснабжение</c:v>
                </c:pt>
                <c:pt idx="3">
                  <c:v>Газоснабжение</c:v>
                </c:pt>
              </c:strCache>
            </c:strRef>
          </c:cat>
          <c:val>
            <c:numRef>
              <c:f>Лист1!$C$2:$C$5</c:f>
              <c:numCache>
                <c:formatCode>0.00%</c:formatCode>
                <c:ptCount val="4"/>
                <c:pt idx="0">
                  <c:v>0.15400000000000041</c:v>
                </c:pt>
                <c:pt idx="1">
                  <c:v>0.32300000000000362</c:v>
                </c:pt>
                <c:pt idx="2">
                  <c:v>0.14300000000000004</c:v>
                </c:pt>
                <c:pt idx="3">
                  <c:v>0.13100000000000001</c:v>
                </c:pt>
              </c:numCache>
            </c:numRef>
          </c:val>
          <c:extLst xmlns:c16r2="http://schemas.microsoft.com/office/drawing/2015/06/chart">
            <c:ext xmlns:c16="http://schemas.microsoft.com/office/drawing/2014/chart" uri="{C3380CC4-5D6E-409C-BE32-E72D297353CC}">
              <c16:uniqueId val="{00000001-7DBC-4FA7-A16B-28E33DDAE2E9}"/>
            </c:ext>
          </c:extLst>
        </c:ser>
        <c:ser>
          <c:idx val="2"/>
          <c:order val="2"/>
          <c:tx>
            <c:strRef>
              <c:f>Лист1!$D$1</c:f>
              <c:strCache>
                <c:ptCount val="1"/>
                <c:pt idx="0">
                  <c:v>Затрудняюсь ответить</c:v>
                </c:pt>
              </c:strCache>
            </c:strRef>
          </c:tx>
          <c:spPr>
            <a:solidFill>
              <a:schemeClr val="bg1">
                <a:lumMod val="85000"/>
              </a:schemeClr>
            </a:solidFill>
          </c:spPr>
          <c:dLbls>
            <c:numFmt formatCode="0.0%" sourceLinked="0"/>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Электроснабжение</c:v>
                </c:pt>
                <c:pt idx="1">
                  <c:v>Водоснабжение, водоотведение</c:v>
                </c:pt>
                <c:pt idx="2">
                  <c:v>Теплоснабжение</c:v>
                </c:pt>
                <c:pt idx="3">
                  <c:v>Газоснабжение</c:v>
                </c:pt>
              </c:strCache>
            </c:strRef>
          </c:cat>
          <c:val>
            <c:numRef>
              <c:f>Лист1!$D$2:$D$5</c:f>
              <c:numCache>
                <c:formatCode>0.00%</c:formatCode>
                <c:ptCount val="4"/>
                <c:pt idx="0">
                  <c:v>8.0000000000000227E-3</c:v>
                </c:pt>
                <c:pt idx="1">
                  <c:v>6.0000000000000032E-2</c:v>
                </c:pt>
                <c:pt idx="2">
                  <c:v>0.25</c:v>
                </c:pt>
                <c:pt idx="3">
                  <c:v>0.33900000000000413</c:v>
                </c:pt>
              </c:numCache>
            </c:numRef>
          </c:val>
          <c:extLst xmlns:c16r2="http://schemas.microsoft.com/office/drawing/2015/06/chart">
            <c:ext xmlns:c16="http://schemas.microsoft.com/office/drawing/2014/chart" uri="{C3380CC4-5D6E-409C-BE32-E72D297353CC}">
              <c16:uniqueId val="{00000002-7DBC-4FA7-A16B-28E33DDAE2E9}"/>
            </c:ext>
          </c:extLst>
        </c:ser>
        <c:overlap val="100"/>
        <c:axId val="144046720"/>
        <c:axId val="143942016"/>
      </c:barChart>
      <c:catAx>
        <c:axId val="144046720"/>
        <c:scaling>
          <c:orientation val="maxMin"/>
        </c:scaling>
        <c:axPos val="l"/>
        <c:numFmt formatCode="General" sourceLinked="1"/>
        <c:tickLblPos val="nextTo"/>
        <c:crossAx val="143942016"/>
        <c:crosses val="autoZero"/>
        <c:auto val="1"/>
        <c:lblAlgn val="ctr"/>
        <c:lblOffset val="100"/>
      </c:catAx>
      <c:valAx>
        <c:axId val="143942016"/>
        <c:scaling>
          <c:orientation val="minMax"/>
          <c:max val="1"/>
          <c:min val="0"/>
        </c:scaling>
        <c:axPos val="t"/>
        <c:majorGridlines/>
        <c:numFmt formatCode="0.00%" sourceLinked="1"/>
        <c:tickLblPos val="nextTo"/>
        <c:txPr>
          <a:bodyPr/>
          <a:lstStyle/>
          <a:p>
            <a:pPr>
              <a:defRPr sz="800"/>
            </a:pPr>
            <a:endParaRPr lang="ru-RU"/>
          </a:p>
        </c:txPr>
        <c:crossAx val="144046720"/>
        <c:crosses val="autoZero"/>
        <c:crossBetween val="between"/>
        <c:majorUnit val="0.2"/>
      </c:valAx>
      <c:spPr>
        <a:noFill/>
        <a:ln>
          <a:solidFill>
            <a:schemeClr val="accent1"/>
          </a:solidFill>
        </a:ln>
      </c:spPr>
    </c:plotArea>
    <c:legend>
      <c:legendPos val="t"/>
      <c:layout>
        <c:manualLayout>
          <c:xMode val="edge"/>
          <c:yMode val="edge"/>
          <c:x val="0.14536404680305673"/>
          <c:y val="0"/>
          <c:w val="0.70506032766119064"/>
          <c:h val="0.12632464061258367"/>
        </c:manualLayout>
      </c:layout>
    </c:legend>
    <c:plotVisOnly val="1"/>
    <c:dispBlanksAs val="gap"/>
  </c:chart>
  <c:spPr>
    <a:ln>
      <a:noFill/>
    </a:ln>
  </c:spPr>
  <c:txPr>
    <a:bodyPr/>
    <a:lstStyle/>
    <a:p>
      <a:pPr>
        <a:defRPr>
          <a:latin typeface="Arial Narrow" panose="020B0606020202030204" pitchFamily="34" charset="0"/>
        </a:defRPr>
      </a:pPr>
      <a:endParaRPr lang="ru-RU"/>
    </a:p>
  </c:txPr>
</c:chartSpace>
</file>

<file path=word/charts/chart72.xml><?xml version="1.0" encoding="utf-8"?>
<c:chartSpace xmlns:c="http://schemas.openxmlformats.org/drawingml/2006/chart" xmlns:a="http://schemas.openxmlformats.org/drawingml/2006/main" xmlns:r="http://schemas.openxmlformats.org/officeDocument/2006/relationships">
  <c:date1904 val="1"/>
  <c:lang val="ru-RU"/>
  <c:style val="6"/>
  <c:chart>
    <c:plotArea>
      <c:layout>
        <c:manualLayout>
          <c:layoutTarget val="inner"/>
          <c:xMode val="edge"/>
          <c:yMode val="edge"/>
          <c:x val="0.17964013973932644"/>
          <c:y val="6.3910208592347015E-2"/>
          <c:w val="0.77936523727333507"/>
          <c:h val="0.92233609614587664"/>
        </c:manualLayout>
      </c:layout>
      <c:barChart>
        <c:barDir val="bar"/>
        <c:grouping val="stacked"/>
        <c:ser>
          <c:idx val="0"/>
          <c:order val="0"/>
          <c:tx>
            <c:strRef>
              <c:f>Лист1!$B$1</c:f>
              <c:strCache>
                <c:ptCount val="1"/>
                <c:pt idx="0">
                  <c:v>Удовлетворительно</c:v>
                </c:pt>
              </c:strCache>
            </c:strRef>
          </c:tx>
          <c:spPr>
            <a:solidFill>
              <a:schemeClr val="accent2">
                <a:lumMod val="40000"/>
                <a:lumOff val="60000"/>
              </a:schemeClr>
            </a:solidFill>
          </c:spPr>
          <c:dLbls>
            <c:spPr>
              <a:noFill/>
              <a:ln>
                <a:noFill/>
              </a:ln>
              <a:effectLst/>
            </c:spPr>
            <c:txPr>
              <a:bodyPr/>
              <a:lstStyle/>
              <a:p>
                <a:pPr>
                  <a:defRPr sz="900">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Здвинский МР</c:v>
                </c:pt>
                <c:pt idx="1">
                  <c:v>Маслянинский МР</c:v>
                </c:pt>
                <c:pt idx="2">
                  <c:v>Усть-Таркский МР</c:v>
                </c:pt>
                <c:pt idx="3">
                  <c:v>Баганский МР</c:v>
                </c:pt>
                <c:pt idx="4">
                  <c:v>Карасукский МР</c:v>
                </c:pt>
                <c:pt idx="5">
                  <c:v>р. п. Кольцово</c:v>
                </c:pt>
                <c:pt idx="6">
                  <c:v>Доволенский МР</c:v>
                </c:pt>
                <c:pt idx="7">
                  <c:v>Кочковский МР</c:v>
                </c:pt>
                <c:pt idx="8">
                  <c:v>Татарский МР</c:v>
                </c:pt>
                <c:pt idx="9">
                  <c:v>Убинский МР</c:v>
                </c:pt>
                <c:pt idx="10">
                  <c:v>г. Обь</c:v>
                </c:pt>
                <c:pt idx="11">
                  <c:v>Каргатский МР</c:v>
                </c:pt>
                <c:pt idx="12">
                  <c:v>Новосибирский МР</c:v>
                </c:pt>
                <c:pt idx="13">
                  <c:v>Сузунский МР</c:v>
                </c:pt>
                <c:pt idx="14">
                  <c:v>Чистоозерный МР</c:v>
                </c:pt>
                <c:pt idx="15">
                  <c:v>Краснозерский МР</c:v>
                </c:pt>
                <c:pt idx="16">
                  <c:v>г. Бердск</c:v>
                </c:pt>
                <c:pt idx="17">
                  <c:v>Искитимский МР</c:v>
                </c:pt>
                <c:pt idx="18">
                  <c:v>Кыштовский МР</c:v>
                </c:pt>
                <c:pt idx="19">
                  <c:v>г. Новосибирск</c:v>
                </c:pt>
                <c:pt idx="20">
                  <c:v>Чановский МР</c:v>
                </c:pt>
                <c:pt idx="21">
                  <c:v>Купинский МР</c:v>
                </c:pt>
                <c:pt idx="22">
                  <c:v>г. Искитим</c:v>
                </c:pt>
                <c:pt idx="23">
                  <c:v>Черепановский МР</c:v>
                </c:pt>
                <c:pt idx="24">
                  <c:v>Северный МР</c:v>
                </c:pt>
                <c:pt idx="25">
                  <c:v>Венгеровский МР</c:v>
                </c:pt>
                <c:pt idx="26">
                  <c:v>Мошковский МР</c:v>
                </c:pt>
                <c:pt idx="27">
                  <c:v>Тогучинский МР</c:v>
                </c:pt>
                <c:pt idx="28">
                  <c:v>Болотнинский МР</c:v>
                </c:pt>
                <c:pt idx="29">
                  <c:v>Чулымский МР</c:v>
                </c:pt>
                <c:pt idx="30">
                  <c:v>Ордынский МР</c:v>
                </c:pt>
                <c:pt idx="31">
                  <c:v>Коченевский МР</c:v>
                </c:pt>
                <c:pt idx="32">
                  <c:v>Колыванский МР</c:v>
                </c:pt>
                <c:pt idx="33">
                  <c:v>Куйбышевский МР</c:v>
                </c:pt>
                <c:pt idx="34">
                  <c:v>Барабинский МР</c:v>
                </c:pt>
              </c:strCache>
            </c:strRef>
          </c:cat>
          <c:val>
            <c:numRef>
              <c:f>Лист1!$B$2:$B$36</c:f>
              <c:numCache>
                <c:formatCode>0.0%</c:formatCode>
                <c:ptCount val="35"/>
                <c:pt idx="0">
                  <c:v>0.97100000000000064</c:v>
                </c:pt>
                <c:pt idx="1">
                  <c:v>0.95700000000000063</c:v>
                </c:pt>
                <c:pt idx="2">
                  <c:v>0.95700000000000063</c:v>
                </c:pt>
                <c:pt idx="3">
                  <c:v>0.94299999999999995</c:v>
                </c:pt>
                <c:pt idx="4">
                  <c:v>0.94299999999999995</c:v>
                </c:pt>
                <c:pt idx="5">
                  <c:v>0.94299999999999995</c:v>
                </c:pt>
                <c:pt idx="6">
                  <c:v>0.90100000000000002</c:v>
                </c:pt>
                <c:pt idx="7">
                  <c:v>0.9</c:v>
                </c:pt>
                <c:pt idx="8">
                  <c:v>0.88600000000000001</c:v>
                </c:pt>
                <c:pt idx="9">
                  <c:v>0.88600000000000001</c:v>
                </c:pt>
                <c:pt idx="10">
                  <c:v>0.8730000000000061</c:v>
                </c:pt>
                <c:pt idx="11">
                  <c:v>0.8710000000000061</c:v>
                </c:pt>
                <c:pt idx="12">
                  <c:v>0.8710000000000061</c:v>
                </c:pt>
                <c:pt idx="13">
                  <c:v>0.8710000000000061</c:v>
                </c:pt>
                <c:pt idx="14">
                  <c:v>0.8710000000000061</c:v>
                </c:pt>
                <c:pt idx="15">
                  <c:v>0.85700000000000065</c:v>
                </c:pt>
                <c:pt idx="16">
                  <c:v>0.84900000000000064</c:v>
                </c:pt>
                <c:pt idx="17">
                  <c:v>0.84300000000000064</c:v>
                </c:pt>
                <c:pt idx="18">
                  <c:v>0.84300000000000064</c:v>
                </c:pt>
                <c:pt idx="19">
                  <c:v>0.84000000000000064</c:v>
                </c:pt>
                <c:pt idx="20">
                  <c:v>0.83600000000000063</c:v>
                </c:pt>
                <c:pt idx="21">
                  <c:v>0.83300000000000063</c:v>
                </c:pt>
                <c:pt idx="22">
                  <c:v>0.82900000000000063</c:v>
                </c:pt>
                <c:pt idx="23">
                  <c:v>0.81699999999999995</c:v>
                </c:pt>
                <c:pt idx="24">
                  <c:v>0.8</c:v>
                </c:pt>
                <c:pt idx="25">
                  <c:v>0.78600000000000003</c:v>
                </c:pt>
                <c:pt idx="26">
                  <c:v>0.77500000000000702</c:v>
                </c:pt>
                <c:pt idx="27">
                  <c:v>0.7710000000000069</c:v>
                </c:pt>
                <c:pt idx="28">
                  <c:v>0.75700000000000689</c:v>
                </c:pt>
                <c:pt idx="29">
                  <c:v>0.7430000000000061</c:v>
                </c:pt>
                <c:pt idx="30">
                  <c:v>0.73200000000000065</c:v>
                </c:pt>
                <c:pt idx="31">
                  <c:v>0.72900000000000065</c:v>
                </c:pt>
                <c:pt idx="32">
                  <c:v>0.71400000000000063</c:v>
                </c:pt>
                <c:pt idx="33">
                  <c:v>0.68600000000000005</c:v>
                </c:pt>
                <c:pt idx="34">
                  <c:v>0.6430000000000069</c:v>
                </c:pt>
              </c:numCache>
            </c:numRef>
          </c:val>
          <c:extLst xmlns:c16r2="http://schemas.microsoft.com/office/drawing/2015/06/chart">
            <c:ext xmlns:c16="http://schemas.microsoft.com/office/drawing/2014/chart" uri="{C3380CC4-5D6E-409C-BE32-E72D297353CC}">
              <c16:uniqueId val="{00000000-4B1B-46B9-9502-97AE05F1B15A}"/>
            </c:ext>
          </c:extLst>
        </c:ser>
        <c:ser>
          <c:idx val="1"/>
          <c:order val="1"/>
          <c:tx>
            <c:strRef>
              <c:f>Лист1!$C$1</c:f>
              <c:strCache>
                <c:ptCount val="1"/>
                <c:pt idx="0">
                  <c:v>Неудовлетворительно</c:v>
                </c:pt>
              </c:strCache>
            </c:strRef>
          </c:tx>
          <c:spPr>
            <a:solidFill>
              <a:srgbClr val="B28AB2"/>
            </a:solidFill>
            <a:ln>
              <a:noFill/>
            </a:ln>
          </c:spPr>
          <c:dLbls>
            <c:dLbl>
              <c:idx val="0"/>
              <c:layout>
                <c:manualLayout>
                  <c:x val="1.8010806483890335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B1B-46B9-9502-97AE05F1B15A}"/>
                </c:ext>
              </c:extLst>
            </c:dLbl>
            <c:dLbl>
              <c:idx val="1"/>
              <c:layout>
                <c:manualLayout>
                  <c:x val="1.8010806483890335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4B1B-46B9-9502-97AE05F1B15A}"/>
                </c:ext>
              </c:extLst>
            </c:dLbl>
            <c:dLbl>
              <c:idx val="2"/>
              <c:layout>
                <c:manualLayout>
                  <c:x val="1.200720432259355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4B1B-46B9-9502-97AE05F1B15A}"/>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Здвинский МР</c:v>
                </c:pt>
                <c:pt idx="1">
                  <c:v>Маслянинский МР</c:v>
                </c:pt>
                <c:pt idx="2">
                  <c:v>Усть-Таркский МР</c:v>
                </c:pt>
                <c:pt idx="3">
                  <c:v>Баганский МР</c:v>
                </c:pt>
                <c:pt idx="4">
                  <c:v>Карасукский МР</c:v>
                </c:pt>
                <c:pt idx="5">
                  <c:v>р. п. Кольцово</c:v>
                </c:pt>
                <c:pt idx="6">
                  <c:v>Доволенский МР</c:v>
                </c:pt>
                <c:pt idx="7">
                  <c:v>Кочковский МР</c:v>
                </c:pt>
                <c:pt idx="8">
                  <c:v>Татарский МР</c:v>
                </c:pt>
                <c:pt idx="9">
                  <c:v>Убинский МР</c:v>
                </c:pt>
                <c:pt idx="10">
                  <c:v>г. Обь</c:v>
                </c:pt>
                <c:pt idx="11">
                  <c:v>Каргатский МР</c:v>
                </c:pt>
                <c:pt idx="12">
                  <c:v>Новосибирский МР</c:v>
                </c:pt>
                <c:pt idx="13">
                  <c:v>Сузунский МР</c:v>
                </c:pt>
                <c:pt idx="14">
                  <c:v>Чистоозерный МР</c:v>
                </c:pt>
                <c:pt idx="15">
                  <c:v>Краснозерский МР</c:v>
                </c:pt>
                <c:pt idx="16">
                  <c:v>г. Бердск</c:v>
                </c:pt>
                <c:pt idx="17">
                  <c:v>Искитимский МР</c:v>
                </c:pt>
                <c:pt idx="18">
                  <c:v>Кыштовский МР</c:v>
                </c:pt>
                <c:pt idx="19">
                  <c:v>г. Новосибирск</c:v>
                </c:pt>
                <c:pt idx="20">
                  <c:v>Чановский МР</c:v>
                </c:pt>
                <c:pt idx="21">
                  <c:v>Купинский МР</c:v>
                </c:pt>
                <c:pt idx="22">
                  <c:v>г. Искитим</c:v>
                </c:pt>
                <c:pt idx="23">
                  <c:v>Черепановский МР</c:v>
                </c:pt>
                <c:pt idx="24">
                  <c:v>Северный МР</c:v>
                </c:pt>
                <c:pt idx="25">
                  <c:v>Венгеровский МР</c:v>
                </c:pt>
                <c:pt idx="26">
                  <c:v>Мошковский МР</c:v>
                </c:pt>
                <c:pt idx="27">
                  <c:v>Тогучинский МР</c:v>
                </c:pt>
                <c:pt idx="28">
                  <c:v>Болотнинский МР</c:v>
                </c:pt>
                <c:pt idx="29">
                  <c:v>Чулымский МР</c:v>
                </c:pt>
                <c:pt idx="30">
                  <c:v>Ордынский МР</c:v>
                </c:pt>
                <c:pt idx="31">
                  <c:v>Коченевский МР</c:v>
                </c:pt>
                <c:pt idx="32">
                  <c:v>Колыванский МР</c:v>
                </c:pt>
                <c:pt idx="33">
                  <c:v>Куйбышевский МР</c:v>
                </c:pt>
                <c:pt idx="34">
                  <c:v>Барабинский МР</c:v>
                </c:pt>
              </c:strCache>
            </c:strRef>
          </c:cat>
          <c:val>
            <c:numRef>
              <c:f>Лист1!$C$2:$C$36</c:f>
              <c:numCache>
                <c:formatCode>0.0%</c:formatCode>
                <c:ptCount val="35"/>
                <c:pt idx="0">
                  <c:v>2.9000000000000001E-2</c:v>
                </c:pt>
                <c:pt idx="1">
                  <c:v>4.3000000000000003E-2</c:v>
                </c:pt>
                <c:pt idx="2">
                  <c:v>4.3000000000000003E-2</c:v>
                </c:pt>
                <c:pt idx="3">
                  <c:v>5.7000000000000023E-2</c:v>
                </c:pt>
                <c:pt idx="4">
                  <c:v>5.7000000000000023E-2</c:v>
                </c:pt>
                <c:pt idx="5">
                  <c:v>5.7000000000000023E-2</c:v>
                </c:pt>
                <c:pt idx="6">
                  <c:v>9.9000000000000046E-2</c:v>
                </c:pt>
                <c:pt idx="7">
                  <c:v>8.6000000000000021E-2</c:v>
                </c:pt>
                <c:pt idx="8">
                  <c:v>0.1</c:v>
                </c:pt>
                <c:pt idx="9">
                  <c:v>0.114</c:v>
                </c:pt>
                <c:pt idx="10">
                  <c:v>0.127</c:v>
                </c:pt>
                <c:pt idx="11">
                  <c:v>0.1</c:v>
                </c:pt>
                <c:pt idx="12">
                  <c:v>0.129</c:v>
                </c:pt>
                <c:pt idx="13">
                  <c:v>0.129</c:v>
                </c:pt>
                <c:pt idx="14">
                  <c:v>0.129</c:v>
                </c:pt>
                <c:pt idx="15">
                  <c:v>0.14300000000000004</c:v>
                </c:pt>
                <c:pt idx="16">
                  <c:v>0.15100000000000041</c:v>
                </c:pt>
                <c:pt idx="17">
                  <c:v>0.114</c:v>
                </c:pt>
                <c:pt idx="18">
                  <c:v>0.14300000000000004</c:v>
                </c:pt>
                <c:pt idx="19">
                  <c:v>0.14700000000000021</c:v>
                </c:pt>
                <c:pt idx="20">
                  <c:v>0.16400000000000001</c:v>
                </c:pt>
                <c:pt idx="21">
                  <c:v>0.16700000000000001</c:v>
                </c:pt>
                <c:pt idx="22">
                  <c:v>0.17100000000000001</c:v>
                </c:pt>
                <c:pt idx="23">
                  <c:v>0.18300000000000041</c:v>
                </c:pt>
                <c:pt idx="24">
                  <c:v>0.114</c:v>
                </c:pt>
                <c:pt idx="25">
                  <c:v>0.21400000000000041</c:v>
                </c:pt>
                <c:pt idx="26">
                  <c:v>0.22500000000000001</c:v>
                </c:pt>
                <c:pt idx="27">
                  <c:v>0.21400000000000041</c:v>
                </c:pt>
                <c:pt idx="28">
                  <c:v>0.24300000000000024</c:v>
                </c:pt>
                <c:pt idx="29">
                  <c:v>0.24300000000000024</c:v>
                </c:pt>
                <c:pt idx="30">
                  <c:v>0.254</c:v>
                </c:pt>
                <c:pt idx="31">
                  <c:v>0.27100000000000002</c:v>
                </c:pt>
                <c:pt idx="32">
                  <c:v>0.27100000000000002</c:v>
                </c:pt>
                <c:pt idx="33">
                  <c:v>0.31400000000000305</c:v>
                </c:pt>
                <c:pt idx="34">
                  <c:v>0.34300000000000008</c:v>
                </c:pt>
              </c:numCache>
            </c:numRef>
          </c:val>
          <c:extLst xmlns:c16r2="http://schemas.microsoft.com/office/drawing/2015/06/chart">
            <c:ext xmlns:c16="http://schemas.microsoft.com/office/drawing/2014/chart" uri="{C3380CC4-5D6E-409C-BE32-E72D297353CC}">
              <c16:uniqueId val="{00000004-4B1B-46B9-9502-97AE05F1B15A}"/>
            </c:ext>
          </c:extLst>
        </c:ser>
        <c:ser>
          <c:idx val="2"/>
          <c:order val="2"/>
          <c:tx>
            <c:strRef>
              <c:f>Лист1!$D$1</c:f>
              <c:strCache>
                <c:ptCount val="1"/>
                <c:pt idx="0">
                  <c:v>Затрудняюсь ответить</c:v>
                </c:pt>
              </c:strCache>
            </c:strRef>
          </c:tx>
          <c:spPr>
            <a:solidFill>
              <a:schemeClr val="bg1">
                <a:lumMod val="85000"/>
              </a:schemeClr>
            </a:solidFill>
          </c:spPr>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4B1B-46B9-9502-97AE05F1B15A}"/>
                </c:ext>
              </c:extLst>
            </c:dLbl>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4B1B-46B9-9502-97AE05F1B15A}"/>
                </c:ext>
              </c:extLst>
            </c:dLbl>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4B1B-46B9-9502-97AE05F1B15A}"/>
                </c:ext>
              </c:extLst>
            </c:dLbl>
            <c:dLbl>
              <c:idx val="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4B1B-46B9-9502-97AE05F1B15A}"/>
                </c:ext>
              </c:extLst>
            </c:dLbl>
            <c:dLbl>
              <c:idx val="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4B1B-46B9-9502-97AE05F1B15A}"/>
                </c:ext>
              </c:extLst>
            </c:dLbl>
            <c:dLbl>
              <c:idx val="5"/>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4B1B-46B9-9502-97AE05F1B15A}"/>
                </c:ext>
              </c:extLst>
            </c:dLbl>
            <c:dLbl>
              <c:idx val="6"/>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4B1B-46B9-9502-97AE05F1B15A}"/>
                </c:ext>
              </c:extLst>
            </c:dLbl>
            <c:dLbl>
              <c:idx val="9"/>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4B1B-46B9-9502-97AE05F1B15A}"/>
                </c:ext>
              </c:extLst>
            </c:dLbl>
            <c:dLbl>
              <c:idx val="1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4B1B-46B9-9502-97AE05F1B15A}"/>
                </c:ext>
              </c:extLst>
            </c:dLbl>
            <c:dLbl>
              <c:idx val="1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4B1B-46B9-9502-97AE05F1B15A}"/>
                </c:ext>
              </c:extLst>
            </c:dLbl>
            <c:dLbl>
              <c:idx val="1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4B1B-46B9-9502-97AE05F1B15A}"/>
                </c:ext>
              </c:extLst>
            </c:dLbl>
            <c:dLbl>
              <c:idx val="1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4B1B-46B9-9502-97AE05F1B15A}"/>
                </c:ext>
              </c:extLst>
            </c:dLbl>
            <c:dLbl>
              <c:idx val="15"/>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4B1B-46B9-9502-97AE05F1B15A}"/>
                </c:ext>
              </c:extLst>
            </c:dLbl>
            <c:dLbl>
              <c:idx val="16"/>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4B1B-46B9-9502-97AE05F1B15A}"/>
                </c:ext>
              </c:extLst>
            </c:dLbl>
            <c:dLbl>
              <c:idx val="2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A13B-4527-8AF6-C6A4DD4E53D4}"/>
                </c:ext>
              </c:extLst>
            </c:dLbl>
            <c:dLbl>
              <c:idx val="2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A13B-4527-8AF6-C6A4DD4E53D4}"/>
                </c:ext>
              </c:extLst>
            </c:dLbl>
            <c:dLbl>
              <c:idx val="2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A13B-4527-8AF6-C6A4DD4E53D4}"/>
                </c:ext>
              </c:extLst>
            </c:dLbl>
            <c:dLbl>
              <c:idx val="2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A13B-4527-8AF6-C6A4DD4E53D4}"/>
                </c:ext>
              </c:extLst>
            </c:dLbl>
            <c:dLbl>
              <c:idx val="25"/>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A13B-4527-8AF6-C6A4DD4E53D4}"/>
                </c:ext>
              </c:extLst>
            </c:dLbl>
            <c:dLbl>
              <c:idx val="3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A13B-4527-8AF6-C6A4DD4E53D4}"/>
                </c:ext>
              </c:extLst>
            </c:dLbl>
            <c:dLbl>
              <c:idx val="3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A13B-4527-8AF6-C6A4DD4E53D4}"/>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Здвинский МР</c:v>
                </c:pt>
                <c:pt idx="1">
                  <c:v>Маслянинский МР</c:v>
                </c:pt>
                <c:pt idx="2">
                  <c:v>Усть-Таркский МР</c:v>
                </c:pt>
                <c:pt idx="3">
                  <c:v>Баганский МР</c:v>
                </c:pt>
                <c:pt idx="4">
                  <c:v>Карасукский МР</c:v>
                </c:pt>
                <c:pt idx="5">
                  <c:v>р. п. Кольцово</c:v>
                </c:pt>
                <c:pt idx="6">
                  <c:v>Доволенский МР</c:v>
                </c:pt>
                <c:pt idx="7">
                  <c:v>Кочковский МР</c:v>
                </c:pt>
                <c:pt idx="8">
                  <c:v>Татарский МР</c:v>
                </c:pt>
                <c:pt idx="9">
                  <c:v>Убинский МР</c:v>
                </c:pt>
                <c:pt idx="10">
                  <c:v>г. Обь</c:v>
                </c:pt>
                <c:pt idx="11">
                  <c:v>Каргатский МР</c:v>
                </c:pt>
                <c:pt idx="12">
                  <c:v>Новосибирский МР</c:v>
                </c:pt>
                <c:pt idx="13">
                  <c:v>Сузунский МР</c:v>
                </c:pt>
                <c:pt idx="14">
                  <c:v>Чистоозерный МР</c:v>
                </c:pt>
                <c:pt idx="15">
                  <c:v>Краснозерский МР</c:v>
                </c:pt>
                <c:pt idx="16">
                  <c:v>г. Бердск</c:v>
                </c:pt>
                <c:pt idx="17">
                  <c:v>Искитимский МР</c:v>
                </c:pt>
                <c:pt idx="18">
                  <c:v>Кыштовский МР</c:v>
                </c:pt>
                <c:pt idx="19">
                  <c:v>г. Новосибирск</c:v>
                </c:pt>
                <c:pt idx="20">
                  <c:v>Чановский МР</c:v>
                </c:pt>
                <c:pt idx="21">
                  <c:v>Купинский МР</c:v>
                </c:pt>
                <c:pt idx="22">
                  <c:v>г. Искитим</c:v>
                </c:pt>
                <c:pt idx="23">
                  <c:v>Черепановский МР</c:v>
                </c:pt>
                <c:pt idx="24">
                  <c:v>Северный МР</c:v>
                </c:pt>
                <c:pt idx="25">
                  <c:v>Венгеровский МР</c:v>
                </c:pt>
                <c:pt idx="26">
                  <c:v>Мошковский МР</c:v>
                </c:pt>
                <c:pt idx="27">
                  <c:v>Тогучинский МР</c:v>
                </c:pt>
                <c:pt idx="28">
                  <c:v>Болотнинский МР</c:v>
                </c:pt>
                <c:pt idx="29">
                  <c:v>Чулымский МР</c:v>
                </c:pt>
                <c:pt idx="30">
                  <c:v>Ордынский МР</c:v>
                </c:pt>
                <c:pt idx="31">
                  <c:v>Коченевский МР</c:v>
                </c:pt>
                <c:pt idx="32">
                  <c:v>Колыванский МР</c:v>
                </c:pt>
                <c:pt idx="33">
                  <c:v>Куйбышевский МР</c:v>
                </c:pt>
                <c:pt idx="34">
                  <c:v>Барабинский МР</c:v>
                </c:pt>
              </c:strCache>
            </c:strRef>
          </c:cat>
          <c:val>
            <c:numRef>
              <c:f>Лист1!$D$2:$D$36</c:f>
              <c:numCache>
                <c:formatCode>0.0%</c:formatCode>
                <c:ptCount val="35"/>
                <c:pt idx="0">
                  <c:v>0</c:v>
                </c:pt>
                <c:pt idx="1">
                  <c:v>0</c:v>
                </c:pt>
                <c:pt idx="2">
                  <c:v>0</c:v>
                </c:pt>
                <c:pt idx="3">
                  <c:v>0</c:v>
                </c:pt>
                <c:pt idx="4">
                  <c:v>0</c:v>
                </c:pt>
                <c:pt idx="5">
                  <c:v>0</c:v>
                </c:pt>
                <c:pt idx="6">
                  <c:v>0</c:v>
                </c:pt>
                <c:pt idx="7">
                  <c:v>1.4E-2</c:v>
                </c:pt>
                <c:pt idx="8">
                  <c:v>1.4E-2</c:v>
                </c:pt>
                <c:pt idx="9">
                  <c:v>0</c:v>
                </c:pt>
                <c:pt idx="10">
                  <c:v>0</c:v>
                </c:pt>
                <c:pt idx="11">
                  <c:v>2.9000000000000001E-2</c:v>
                </c:pt>
                <c:pt idx="12">
                  <c:v>0</c:v>
                </c:pt>
                <c:pt idx="13">
                  <c:v>0</c:v>
                </c:pt>
                <c:pt idx="14">
                  <c:v>0</c:v>
                </c:pt>
                <c:pt idx="15">
                  <c:v>0</c:v>
                </c:pt>
                <c:pt idx="16">
                  <c:v>0</c:v>
                </c:pt>
                <c:pt idx="17">
                  <c:v>4.3000000000000003E-2</c:v>
                </c:pt>
                <c:pt idx="18">
                  <c:v>1.4E-2</c:v>
                </c:pt>
                <c:pt idx="19">
                  <c:v>1.2999999999999998E-2</c:v>
                </c:pt>
                <c:pt idx="20">
                  <c:v>0</c:v>
                </c:pt>
                <c:pt idx="21">
                  <c:v>0</c:v>
                </c:pt>
                <c:pt idx="22">
                  <c:v>0</c:v>
                </c:pt>
                <c:pt idx="23">
                  <c:v>0</c:v>
                </c:pt>
                <c:pt idx="24">
                  <c:v>8.6000000000000021E-2</c:v>
                </c:pt>
                <c:pt idx="25">
                  <c:v>0</c:v>
                </c:pt>
                <c:pt idx="26">
                  <c:v>0</c:v>
                </c:pt>
                <c:pt idx="27">
                  <c:v>1.4E-2</c:v>
                </c:pt>
                <c:pt idx="28">
                  <c:v>0</c:v>
                </c:pt>
                <c:pt idx="29">
                  <c:v>1.4E-2</c:v>
                </c:pt>
                <c:pt idx="30">
                  <c:v>1.4E-2</c:v>
                </c:pt>
                <c:pt idx="31">
                  <c:v>0</c:v>
                </c:pt>
                <c:pt idx="32">
                  <c:v>1.4E-2</c:v>
                </c:pt>
                <c:pt idx="33">
                  <c:v>0</c:v>
                </c:pt>
                <c:pt idx="34">
                  <c:v>1.4E-2</c:v>
                </c:pt>
              </c:numCache>
            </c:numRef>
          </c:val>
          <c:extLst xmlns:c16r2="http://schemas.microsoft.com/office/drawing/2015/06/chart">
            <c:ext xmlns:c16="http://schemas.microsoft.com/office/drawing/2014/chart" uri="{C3380CC4-5D6E-409C-BE32-E72D297353CC}">
              <c16:uniqueId val="{00000013-4B1B-46B9-9502-97AE05F1B15A}"/>
            </c:ext>
          </c:extLst>
        </c:ser>
        <c:overlap val="100"/>
        <c:axId val="144024704"/>
        <c:axId val="144026240"/>
      </c:barChart>
      <c:catAx>
        <c:axId val="144024704"/>
        <c:scaling>
          <c:orientation val="maxMin"/>
        </c:scaling>
        <c:axPos val="l"/>
        <c:numFmt formatCode="General" sourceLinked="1"/>
        <c:tickLblPos val="nextTo"/>
        <c:crossAx val="144026240"/>
        <c:crosses val="autoZero"/>
        <c:auto val="1"/>
        <c:lblAlgn val="ctr"/>
        <c:lblOffset val="100"/>
      </c:catAx>
      <c:valAx>
        <c:axId val="144026240"/>
        <c:scaling>
          <c:orientation val="minMax"/>
          <c:max val="1"/>
          <c:min val="0"/>
        </c:scaling>
        <c:axPos val="t"/>
        <c:majorGridlines/>
        <c:numFmt formatCode="0.0%" sourceLinked="1"/>
        <c:tickLblPos val="nextTo"/>
        <c:txPr>
          <a:bodyPr/>
          <a:lstStyle/>
          <a:p>
            <a:pPr>
              <a:defRPr sz="600"/>
            </a:pPr>
            <a:endParaRPr lang="ru-RU"/>
          </a:p>
        </c:txPr>
        <c:crossAx val="144024704"/>
        <c:crosses val="autoZero"/>
        <c:crossBetween val="between"/>
        <c:majorUnit val="0.2"/>
      </c:valAx>
      <c:spPr>
        <a:noFill/>
        <a:ln>
          <a:solidFill>
            <a:schemeClr val="accent1"/>
          </a:solidFill>
        </a:ln>
      </c:spPr>
    </c:plotArea>
    <c:legend>
      <c:legendPos val="t"/>
    </c:legend>
    <c:plotVisOnly val="1"/>
    <c:dispBlanksAs val="gap"/>
  </c:chart>
  <c:spPr>
    <a:ln>
      <a:noFill/>
    </a:ln>
  </c:spPr>
  <c:txPr>
    <a:bodyPr/>
    <a:lstStyle/>
    <a:p>
      <a:pPr>
        <a:defRPr>
          <a:latin typeface="Arial Narrow" panose="020B0606020202030204" pitchFamily="34" charset="0"/>
        </a:defRPr>
      </a:pPr>
      <a:endParaRPr lang="ru-RU"/>
    </a:p>
  </c:txPr>
  <c:externalData r:id="rId1"/>
</c:chartSpace>
</file>

<file path=word/charts/chart73.xml><?xml version="1.0" encoding="utf-8"?>
<c:chartSpace xmlns:c="http://schemas.openxmlformats.org/drawingml/2006/chart" xmlns:a="http://schemas.openxmlformats.org/drawingml/2006/main" xmlns:r="http://schemas.openxmlformats.org/officeDocument/2006/relationships">
  <c:date1904 val="1"/>
  <c:lang val="ru-RU"/>
  <c:style val="6"/>
  <c:chart>
    <c:plotArea>
      <c:layout>
        <c:manualLayout>
          <c:layoutTarget val="inner"/>
          <c:xMode val="edge"/>
          <c:yMode val="edge"/>
          <c:x val="0.27650257804892092"/>
          <c:y val="5.5981122797606496E-2"/>
          <c:w val="0.68250275481088496"/>
          <c:h val="0.93249050073119999"/>
        </c:manualLayout>
      </c:layout>
      <c:barChart>
        <c:barDir val="bar"/>
        <c:grouping val="stacked"/>
        <c:ser>
          <c:idx val="0"/>
          <c:order val="0"/>
          <c:tx>
            <c:strRef>
              <c:f>Лист1!$B$1</c:f>
              <c:strCache>
                <c:ptCount val="1"/>
                <c:pt idx="0">
                  <c:v>Удовлетворительно</c:v>
                </c:pt>
              </c:strCache>
            </c:strRef>
          </c:tx>
          <c:spPr>
            <a:solidFill>
              <a:schemeClr val="accent2">
                <a:lumMod val="40000"/>
                <a:lumOff val="60000"/>
              </a:schemeClr>
            </a:solidFill>
          </c:spPr>
          <c:dLbls>
            <c:spPr>
              <a:noFill/>
              <a:ln>
                <a:noFill/>
              </a:ln>
              <a:effectLst/>
            </c:spPr>
            <c:txPr>
              <a:bodyPr/>
              <a:lstStyle/>
              <a:p>
                <a:pPr>
                  <a:defRPr sz="900">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Здвинский МР</c:v>
                </c:pt>
                <c:pt idx="1">
                  <c:v>р. п. Кольцово</c:v>
                </c:pt>
                <c:pt idx="2">
                  <c:v>Баганский МР</c:v>
                </c:pt>
                <c:pt idx="3">
                  <c:v>Карасукский МР</c:v>
                </c:pt>
                <c:pt idx="4">
                  <c:v>г. Бердск</c:v>
                </c:pt>
                <c:pt idx="5">
                  <c:v>Купинский МР</c:v>
                </c:pt>
                <c:pt idx="6">
                  <c:v>г. Искитим</c:v>
                </c:pt>
                <c:pt idx="7">
                  <c:v>г. Новосибирск</c:v>
                </c:pt>
                <c:pt idx="8">
                  <c:v>Каргатский МР</c:v>
                </c:pt>
                <c:pt idx="9">
                  <c:v>Маслянинский МР</c:v>
                </c:pt>
                <c:pt idx="10">
                  <c:v>Чистоозерный МР</c:v>
                </c:pt>
                <c:pt idx="11">
                  <c:v>Искитимский МР</c:v>
                </c:pt>
                <c:pt idx="12">
                  <c:v>Убинский МР</c:v>
                </c:pt>
                <c:pt idx="13">
                  <c:v>Болотнинский МР</c:v>
                </c:pt>
                <c:pt idx="14">
                  <c:v>Новосибирский МР</c:v>
                </c:pt>
                <c:pt idx="15">
                  <c:v>Сузунский МР</c:v>
                </c:pt>
                <c:pt idx="16">
                  <c:v>г. Обь</c:v>
                </c:pt>
                <c:pt idx="17">
                  <c:v>Усть-Таркский МР</c:v>
                </c:pt>
                <c:pt idx="18">
                  <c:v>Черепановский МР</c:v>
                </c:pt>
                <c:pt idx="19">
                  <c:v>Чановский МР</c:v>
                </c:pt>
                <c:pt idx="20">
                  <c:v>Татарский МР</c:v>
                </c:pt>
                <c:pt idx="21">
                  <c:v>Чулымский МР</c:v>
                </c:pt>
                <c:pt idx="22">
                  <c:v>Тогучинский МР</c:v>
                </c:pt>
                <c:pt idx="23">
                  <c:v>Коченевский МР</c:v>
                </c:pt>
                <c:pt idx="24">
                  <c:v>Доволенский МР</c:v>
                </c:pt>
                <c:pt idx="25">
                  <c:v>Кочковский МР</c:v>
                </c:pt>
                <c:pt idx="26">
                  <c:v>Венгеровский МР</c:v>
                </c:pt>
                <c:pt idx="27">
                  <c:v>Мошковский МР</c:v>
                </c:pt>
                <c:pt idx="28">
                  <c:v>Барабинский МР</c:v>
                </c:pt>
                <c:pt idx="29">
                  <c:v>Ордынский МР</c:v>
                </c:pt>
                <c:pt idx="30">
                  <c:v>Краснозерский МР</c:v>
                </c:pt>
                <c:pt idx="31">
                  <c:v>Куйбышевский МР</c:v>
                </c:pt>
                <c:pt idx="32">
                  <c:v>Кыштовский МР</c:v>
                </c:pt>
                <c:pt idx="33">
                  <c:v>Колыванский МР</c:v>
                </c:pt>
                <c:pt idx="34">
                  <c:v>Северный МР</c:v>
                </c:pt>
              </c:strCache>
            </c:strRef>
          </c:cat>
          <c:val>
            <c:numRef>
              <c:f>Лист1!$B$2:$B$36</c:f>
              <c:numCache>
                <c:formatCode>0.0%</c:formatCode>
                <c:ptCount val="35"/>
                <c:pt idx="0">
                  <c:v>0.95700000000000063</c:v>
                </c:pt>
                <c:pt idx="1">
                  <c:v>0.9</c:v>
                </c:pt>
                <c:pt idx="2">
                  <c:v>0.85700000000000065</c:v>
                </c:pt>
                <c:pt idx="3">
                  <c:v>0.82900000000000063</c:v>
                </c:pt>
                <c:pt idx="4">
                  <c:v>0.82199999999999995</c:v>
                </c:pt>
                <c:pt idx="5">
                  <c:v>0.80600000000000005</c:v>
                </c:pt>
                <c:pt idx="6">
                  <c:v>0.8</c:v>
                </c:pt>
                <c:pt idx="7">
                  <c:v>0.78700000000000003</c:v>
                </c:pt>
                <c:pt idx="8">
                  <c:v>0.75700000000000689</c:v>
                </c:pt>
                <c:pt idx="9">
                  <c:v>0.75700000000000689</c:v>
                </c:pt>
                <c:pt idx="10">
                  <c:v>0.71400000000000063</c:v>
                </c:pt>
                <c:pt idx="11">
                  <c:v>0.70000000000000062</c:v>
                </c:pt>
                <c:pt idx="12">
                  <c:v>0.70000000000000062</c:v>
                </c:pt>
                <c:pt idx="13">
                  <c:v>0.68600000000000005</c:v>
                </c:pt>
                <c:pt idx="14">
                  <c:v>0.68600000000000005</c:v>
                </c:pt>
                <c:pt idx="15">
                  <c:v>0.68600000000000005</c:v>
                </c:pt>
                <c:pt idx="16">
                  <c:v>0.6480000000000069</c:v>
                </c:pt>
                <c:pt idx="17">
                  <c:v>0.6430000000000069</c:v>
                </c:pt>
                <c:pt idx="18">
                  <c:v>0.63400000000000689</c:v>
                </c:pt>
                <c:pt idx="19">
                  <c:v>0.61600000000000465</c:v>
                </c:pt>
                <c:pt idx="20">
                  <c:v>0.60000000000000064</c:v>
                </c:pt>
                <c:pt idx="21">
                  <c:v>0.60000000000000064</c:v>
                </c:pt>
                <c:pt idx="22">
                  <c:v>0.58599999999999997</c:v>
                </c:pt>
                <c:pt idx="23">
                  <c:v>0.5</c:v>
                </c:pt>
                <c:pt idx="24">
                  <c:v>0.47900000000000031</c:v>
                </c:pt>
                <c:pt idx="25">
                  <c:v>0.47100000000000031</c:v>
                </c:pt>
                <c:pt idx="26">
                  <c:v>0.443</c:v>
                </c:pt>
                <c:pt idx="27">
                  <c:v>0.43700000000000305</c:v>
                </c:pt>
                <c:pt idx="28">
                  <c:v>0.42900000000000038</c:v>
                </c:pt>
                <c:pt idx="29">
                  <c:v>0.38000000000000328</c:v>
                </c:pt>
                <c:pt idx="30">
                  <c:v>0.37100000000000088</c:v>
                </c:pt>
                <c:pt idx="31">
                  <c:v>0.34300000000000008</c:v>
                </c:pt>
                <c:pt idx="32">
                  <c:v>0.31400000000000305</c:v>
                </c:pt>
                <c:pt idx="33">
                  <c:v>0.28600000000000031</c:v>
                </c:pt>
                <c:pt idx="34">
                  <c:v>0.27100000000000002</c:v>
                </c:pt>
              </c:numCache>
            </c:numRef>
          </c:val>
          <c:extLst xmlns:c16r2="http://schemas.microsoft.com/office/drawing/2015/06/chart">
            <c:ext xmlns:c16="http://schemas.microsoft.com/office/drawing/2014/chart" uri="{C3380CC4-5D6E-409C-BE32-E72D297353CC}">
              <c16:uniqueId val="{00000000-5B23-4D0E-B069-D43F7E972E29}"/>
            </c:ext>
          </c:extLst>
        </c:ser>
        <c:ser>
          <c:idx val="1"/>
          <c:order val="1"/>
          <c:tx>
            <c:strRef>
              <c:f>Лист1!$C$1</c:f>
              <c:strCache>
                <c:ptCount val="1"/>
                <c:pt idx="0">
                  <c:v>Неудовлетворительно</c:v>
                </c:pt>
              </c:strCache>
            </c:strRef>
          </c:tx>
          <c:spPr>
            <a:solidFill>
              <a:srgbClr val="B28AB2"/>
            </a:solidFill>
            <a:ln>
              <a:noFill/>
            </a:ln>
          </c:spPr>
          <c:dLbls>
            <c:dLbl>
              <c:idx val="0"/>
              <c:layout>
                <c:manualLayout>
                  <c:x val="1.403227423073068E-2"/>
                  <c:y val="1.6220600162206327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5B23-4D0E-B069-D43F7E972E29}"/>
                </c:ext>
              </c:extLst>
            </c:dLbl>
            <c:spPr>
              <a:noFill/>
              <a:ln>
                <a:noFill/>
              </a:ln>
              <a:effectLst/>
            </c:spPr>
            <c:txPr>
              <a:bodyPr wrap="square" lIns="38100" tIns="19050" rIns="38100" bIns="19050" anchor="ctr">
                <a:spAutoFit/>
              </a:bodyPr>
              <a:lstStyle/>
              <a:p>
                <a:pPr>
                  <a:defRPr sz="9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Здвинский МР</c:v>
                </c:pt>
                <c:pt idx="1">
                  <c:v>р. п. Кольцово</c:v>
                </c:pt>
                <c:pt idx="2">
                  <c:v>Баганский МР</c:v>
                </c:pt>
                <c:pt idx="3">
                  <c:v>Карасукский МР</c:v>
                </c:pt>
                <c:pt idx="4">
                  <c:v>г. Бердск</c:v>
                </c:pt>
                <c:pt idx="5">
                  <c:v>Купинский МР</c:v>
                </c:pt>
                <c:pt idx="6">
                  <c:v>г. Искитим</c:v>
                </c:pt>
                <c:pt idx="7">
                  <c:v>г. Новосибирск</c:v>
                </c:pt>
                <c:pt idx="8">
                  <c:v>Каргатский МР</c:v>
                </c:pt>
                <c:pt idx="9">
                  <c:v>Маслянинский МР</c:v>
                </c:pt>
                <c:pt idx="10">
                  <c:v>Чистоозерный МР</c:v>
                </c:pt>
                <c:pt idx="11">
                  <c:v>Искитимский МР</c:v>
                </c:pt>
                <c:pt idx="12">
                  <c:v>Убинский МР</c:v>
                </c:pt>
                <c:pt idx="13">
                  <c:v>Болотнинский МР</c:v>
                </c:pt>
                <c:pt idx="14">
                  <c:v>Новосибирский МР</c:v>
                </c:pt>
                <c:pt idx="15">
                  <c:v>Сузунский МР</c:v>
                </c:pt>
                <c:pt idx="16">
                  <c:v>г. Обь</c:v>
                </c:pt>
                <c:pt idx="17">
                  <c:v>Усть-Таркский МР</c:v>
                </c:pt>
                <c:pt idx="18">
                  <c:v>Черепановский МР</c:v>
                </c:pt>
                <c:pt idx="19">
                  <c:v>Чановский МР</c:v>
                </c:pt>
                <c:pt idx="20">
                  <c:v>Татарский МР</c:v>
                </c:pt>
                <c:pt idx="21">
                  <c:v>Чулымский МР</c:v>
                </c:pt>
                <c:pt idx="22">
                  <c:v>Тогучинский МР</c:v>
                </c:pt>
                <c:pt idx="23">
                  <c:v>Коченевский МР</c:v>
                </c:pt>
                <c:pt idx="24">
                  <c:v>Доволенский МР</c:v>
                </c:pt>
                <c:pt idx="25">
                  <c:v>Кочковский МР</c:v>
                </c:pt>
                <c:pt idx="26">
                  <c:v>Венгеровский МР</c:v>
                </c:pt>
                <c:pt idx="27">
                  <c:v>Мошковский МР</c:v>
                </c:pt>
                <c:pt idx="28">
                  <c:v>Барабинский МР</c:v>
                </c:pt>
                <c:pt idx="29">
                  <c:v>Ордынский МР</c:v>
                </c:pt>
                <c:pt idx="30">
                  <c:v>Краснозерский МР</c:v>
                </c:pt>
                <c:pt idx="31">
                  <c:v>Куйбышевский МР</c:v>
                </c:pt>
                <c:pt idx="32">
                  <c:v>Кыштовский МР</c:v>
                </c:pt>
                <c:pt idx="33">
                  <c:v>Колыванский МР</c:v>
                </c:pt>
                <c:pt idx="34">
                  <c:v>Северный МР</c:v>
                </c:pt>
              </c:strCache>
            </c:strRef>
          </c:cat>
          <c:val>
            <c:numRef>
              <c:f>Лист1!$C$2:$C$36</c:f>
              <c:numCache>
                <c:formatCode>0.0%</c:formatCode>
                <c:ptCount val="35"/>
                <c:pt idx="0">
                  <c:v>4.3000000000000003E-2</c:v>
                </c:pt>
                <c:pt idx="1">
                  <c:v>0.1</c:v>
                </c:pt>
                <c:pt idx="2">
                  <c:v>0.14300000000000004</c:v>
                </c:pt>
                <c:pt idx="3">
                  <c:v>0.15700000000000044</c:v>
                </c:pt>
                <c:pt idx="4">
                  <c:v>0.16400000000000001</c:v>
                </c:pt>
                <c:pt idx="5">
                  <c:v>0.19400000000000001</c:v>
                </c:pt>
                <c:pt idx="6">
                  <c:v>0.2</c:v>
                </c:pt>
                <c:pt idx="7">
                  <c:v>0.193</c:v>
                </c:pt>
                <c:pt idx="8">
                  <c:v>0.21400000000000041</c:v>
                </c:pt>
                <c:pt idx="9">
                  <c:v>0.21400000000000041</c:v>
                </c:pt>
                <c:pt idx="10">
                  <c:v>0.28600000000000031</c:v>
                </c:pt>
                <c:pt idx="11">
                  <c:v>0.25</c:v>
                </c:pt>
                <c:pt idx="12">
                  <c:v>0.28600000000000031</c:v>
                </c:pt>
                <c:pt idx="13">
                  <c:v>0.28600000000000031</c:v>
                </c:pt>
                <c:pt idx="14">
                  <c:v>0.21400000000000041</c:v>
                </c:pt>
                <c:pt idx="15">
                  <c:v>0.31400000000000305</c:v>
                </c:pt>
                <c:pt idx="16">
                  <c:v>0.28200000000000008</c:v>
                </c:pt>
                <c:pt idx="17">
                  <c:v>0.30000000000000032</c:v>
                </c:pt>
                <c:pt idx="18">
                  <c:v>0.28200000000000008</c:v>
                </c:pt>
                <c:pt idx="19">
                  <c:v>0.35600000000000032</c:v>
                </c:pt>
                <c:pt idx="20">
                  <c:v>0.37100000000000088</c:v>
                </c:pt>
                <c:pt idx="21">
                  <c:v>0.31400000000000305</c:v>
                </c:pt>
                <c:pt idx="22">
                  <c:v>0.25700000000000001</c:v>
                </c:pt>
                <c:pt idx="23">
                  <c:v>0.5</c:v>
                </c:pt>
                <c:pt idx="24">
                  <c:v>0.46500000000000002</c:v>
                </c:pt>
                <c:pt idx="25">
                  <c:v>0.443</c:v>
                </c:pt>
                <c:pt idx="26">
                  <c:v>0.52900000000000003</c:v>
                </c:pt>
                <c:pt idx="27">
                  <c:v>0.47900000000000031</c:v>
                </c:pt>
                <c:pt idx="28">
                  <c:v>0.54300000000000004</c:v>
                </c:pt>
                <c:pt idx="29">
                  <c:v>0.53500000000000003</c:v>
                </c:pt>
                <c:pt idx="30">
                  <c:v>0.5</c:v>
                </c:pt>
                <c:pt idx="31">
                  <c:v>0.60000000000000064</c:v>
                </c:pt>
                <c:pt idx="32">
                  <c:v>0.62900000000000666</c:v>
                </c:pt>
                <c:pt idx="33">
                  <c:v>0.57099999999999995</c:v>
                </c:pt>
                <c:pt idx="34">
                  <c:v>0.18600000000000044</c:v>
                </c:pt>
              </c:numCache>
            </c:numRef>
          </c:val>
          <c:extLst xmlns:c16r2="http://schemas.microsoft.com/office/drawing/2015/06/chart">
            <c:ext xmlns:c16="http://schemas.microsoft.com/office/drawing/2014/chart" uri="{C3380CC4-5D6E-409C-BE32-E72D297353CC}">
              <c16:uniqueId val="{00000002-5B23-4D0E-B069-D43F7E972E29}"/>
            </c:ext>
          </c:extLst>
        </c:ser>
        <c:ser>
          <c:idx val="2"/>
          <c:order val="2"/>
          <c:tx>
            <c:strRef>
              <c:f>Лист1!$D$1</c:f>
              <c:strCache>
                <c:ptCount val="1"/>
                <c:pt idx="0">
                  <c:v>Затрудняюсь ответить</c:v>
                </c:pt>
              </c:strCache>
            </c:strRef>
          </c:tx>
          <c:spPr>
            <a:solidFill>
              <a:schemeClr val="bg1">
                <a:lumMod val="85000"/>
              </a:schemeClr>
            </a:solidFill>
          </c:spPr>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5B23-4D0E-B069-D43F7E972E29}"/>
                </c:ext>
              </c:extLst>
            </c:dLbl>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5B23-4D0E-B069-D43F7E972E29}"/>
                </c:ext>
              </c:extLst>
            </c:dLbl>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5B23-4D0E-B069-D43F7E972E29}"/>
                </c:ext>
              </c:extLst>
            </c:dLbl>
            <c:dLbl>
              <c:idx val="5"/>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F94E-4C0B-86ED-3168B8DA8BB6}"/>
                </c:ext>
              </c:extLst>
            </c:dLbl>
            <c:dLbl>
              <c:idx val="6"/>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F94E-4C0B-86ED-3168B8DA8BB6}"/>
                </c:ext>
              </c:extLst>
            </c:dLbl>
            <c:dLbl>
              <c:idx val="1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F94E-4C0B-86ED-3168B8DA8BB6}"/>
                </c:ext>
              </c:extLst>
            </c:dLbl>
            <c:dLbl>
              <c:idx val="15"/>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F94E-4C0B-86ED-3168B8DA8BB6}"/>
                </c:ext>
              </c:extLst>
            </c:dLbl>
            <c:dLbl>
              <c:idx val="2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F94E-4C0B-86ED-3168B8DA8BB6}"/>
                </c:ext>
              </c:extLst>
            </c:dLbl>
            <c:spPr>
              <a:noFill/>
              <a:ln>
                <a:noFill/>
              </a:ln>
              <a:effectLst/>
            </c:spPr>
            <c:txPr>
              <a:bodyPr wrap="square" lIns="38100" tIns="19050" rIns="38100" bIns="19050" anchor="ctr">
                <a:spAutoFit/>
              </a:bodyPr>
              <a:lstStyle/>
              <a:p>
                <a:pPr>
                  <a:defRPr sz="9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Здвинский МР</c:v>
                </c:pt>
                <c:pt idx="1">
                  <c:v>р. п. Кольцово</c:v>
                </c:pt>
                <c:pt idx="2">
                  <c:v>Баганский МР</c:v>
                </c:pt>
                <c:pt idx="3">
                  <c:v>Карасукский МР</c:v>
                </c:pt>
                <c:pt idx="4">
                  <c:v>г. Бердск</c:v>
                </c:pt>
                <c:pt idx="5">
                  <c:v>Купинский МР</c:v>
                </c:pt>
                <c:pt idx="6">
                  <c:v>г. Искитим</c:v>
                </c:pt>
                <c:pt idx="7">
                  <c:v>г. Новосибирск</c:v>
                </c:pt>
                <c:pt idx="8">
                  <c:v>Каргатский МР</c:v>
                </c:pt>
                <c:pt idx="9">
                  <c:v>Маслянинский МР</c:v>
                </c:pt>
                <c:pt idx="10">
                  <c:v>Чистоозерный МР</c:v>
                </c:pt>
                <c:pt idx="11">
                  <c:v>Искитимский МР</c:v>
                </c:pt>
                <c:pt idx="12">
                  <c:v>Убинский МР</c:v>
                </c:pt>
                <c:pt idx="13">
                  <c:v>Болотнинский МР</c:v>
                </c:pt>
                <c:pt idx="14">
                  <c:v>Новосибирский МР</c:v>
                </c:pt>
                <c:pt idx="15">
                  <c:v>Сузунский МР</c:v>
                </c:pt>
                <c:pt idx="16">
                  <c:v>г. Обь</c:v>
                </c:pt>
                <c:pt idx="17">
                  <c:v>Усть-Таркский МР</c:v>
                </c:pt>
                <c:pt idx="18">
                  <c:v>Черепановский МР</c:v>
                </c:pt>
                <c:pt idx="19">
                  <c:v>Чановский МР</c:v>
                </c:pt>
                <c:pt idx="20">
                  <c:v>Татарский МР</c:v>
                </c:pt>
                <c:pt idx="21">
                  <c:v>Чулымский МР</c:v>
                </c:pt>
                <c:pt idx="22">
                  <c:v>Тогучинский МР</c:v>
                </c:pt>
                <c:pt idx="23">
                  <c:v>Коченевский МР</c:v>
                </c:pt>
                <c:pt idx="24">
                  <c:v>Доволенский МР</c:v>
                </c:pt>
                <c:pt idx="25">
                  <c:v>Кочковский МР</c:v>
                </c:pt>
                <c:pt idx="26">
                  <c:v>Венгеровский МР</c:v>
                </c:pt>
                <c:pt idx="27">
                  <c:v>Мошковский МР</c:v>
                </c:pt>
                <c:pt idx="28">
                  <c:v>Барабинский МР</c:v>
                </c:pt>
                <c:pt idx="29">
                  <c:v>Ордынский МР</c:v>
                </c:pt>
                <c:pt idx="30">
                  <c:v>Краснозерский МР</c:v>
                </c:pt>
                <c:pt idx="31">
                  <c:v>Куйбышевский МР</c:v>
                </c:pt>
                <c:pt idx="32">
                  <c:v>Кыштовский МР</c:v>
                </c:pt>
                <c:pt idx="33">
                  <c:v>Колыванский МР</c:v>
                </c:pt>
                <c:pt idx="34">
                  <c:v>Северный МР</c:v>
                </c:pt>
              </c:strCache>
            </c:strRef>
          </c:cat>
          <c:val>
            <c:numRef>
              <c:f>Лист1!$D$2:$D$36</c:f>
              <c:numCache>
                <c:formatCode>0.0%</c:formatCode>
                <c:ptCount val="35"/>
                <c:pt idx="0">
                  <c:v>0</c:v>
                </c:pt>
                <c:pt idx="1">
                  <c:v>0</c:v>
                </c:pt>
                <c:pt idx="2">
                  <c:v>0</c:v>
                </c:pt>
                <c:pt idx="3">
                  <c:v>1.4E-2</c:v>
                </c:pt>
                <c:pt idx="4">
                  <c:v>1.4E-2</c:v>
                </c:pt>
                <c:pt idx="5">
                  <c:v>0</c:v>
                </c:pt>
                <c:pt idx="6">
                  <c:v>0</c:v>
                </c:pt>
                <c:pt idx="7">
                  <c:v>2.0000000000000011E-2</c:v>
                </c:pt>
                <c:pt idx="8">
                  <c:v>2.9000000000000001E-2</c:v>
                </c:pt>
                <c:pt idx="9">
                  <c:v>2.9000000000000001E-2</c:v>
                </c:pt>
                <c:pt idx="10">
                  <c:v>0</c:v>
                </c:pt>
                <c:pt idx="11">
                  <c:v>0.05</c:v>
                </c:pt>
                <c:pt idx="12">
                  <c:v>1.4E-2</c:v>
                </c:pt>
                <c:pt idx="13">
                  <c:v>2.9000000000000001E-2</c:v>
                </c:pt>
                <c:pt idx="14">
                  <c:v>0.1</c:v>
                </c:pt>
                <c:pt idx="15">
                  <c:v>0</c:v>
                </c:pt>
                <c:pt idx="16">
                  <c:v>7.0000000000000021E-2</c:v>
                </c:pt>
                <c:pt idx="17">
                  <c:v>5.7000000000000023E-2</c:v>
                </c:pt>
                <c:pt idx="18">
                  <c:v>8.5000000000000006E-2</c:v>
                </c:pt>
                <c:pt idx="19">
                  <c:v>2.7000000000000256E-2</c:v>
                </c:pt>
                <c:pt idx="20">
                  <c:v>2.9000000000000001E-2</c:v>
                </c:pt>
                <c:pt idx="21">
                  <c:v>8.6000000000000021E-2</c:v>
                </c:pt>
                <c:pt idx="22">
                  <c:v>0.15700000000000044</c:v>
                </c:pt>
                <c:pt idx="23">
                  <c:v>0</c:v>
                </c:pt>
                <c:pt idx="24">
                  <c:v>5.6000000000000001E-2</c:v>
                </c:pt>
                <c:pt idx="25">
                  <c:v>8.6000000000000021E-2</c:v>
                </c:pt>
                <c:pt idx="26">
                  <c:v>2.9000000000000001E-2</c:v>
                </c:pt>
                <c:pt idx="27">
                  <c:v>8.5000000000000006E-2</c:v>
                </c:pt>
                <c:pt idx="28">
                  <c:v>2.9000000000000001E-2</c:v>
                </c:pt>
                <c:pt idx="29">
                  <c:v>8.5000000000000006E-2</c:v>
                </c:pt>
                <c:pt idx="30">
                  <c:v>0.129</c:v>
                </c:pt>
                <c:pt idx="31">
                  <c:v>5.7000000000000023E-2</c:v>
                </c:pt>
                <c:pt idx="32">
                  <c:v>5.7000000000000023E-2</c:v>
                </c:pt>
                <c:pt idx="33">
                  <c:v>0.14300000000000004</c:v>
                </c:pt>
                <c:pt idx="34">
                  <c:v>0.54300000000000004</c:v>
                </c:pt>
              </c:numCache>
            </c:numRef>
          </c:val>
          <c:extLst xmlns:c16r2="http://schemas.microsoft.com/office/drawing/2015/06/chart">
            <c:ext xmlns:c16="http://schemas.microsoft.com/office/drawing/2014/chart" uri="{C3380CC4-5D6E-409C-BE32-E72D297353CC}">
              <c16:uniqueId val="{00000006-5B23-4D0E-B069-D43F7E972E29}"/>
            </c:ext>
          </c:extLst>
        </c:ser>
        <c:overlap val="100"/>
        <c:axId val="143664640"/>
        <c:axId val="143666176"/>
      </c:barChart>
      <c:catAx>
        <c:axId val="143664640"/>
        <c:scaling>
          <c:orientation val="maxMin"/>
        </c:scaling>
        <c:axPos val="l"/>
        <c:numFmt formatCode="General" sourceLinked="1"/>
        <c:tickLblPos val="nextTo"/>
        <c:crossAx val="143666176"/>
        <c:crosses val="autoZero"/>
        <c:auto val="1"/>
        <c:lblAlgn val="ctr"/>
        <c:lblOffset val="100"/>
      </c:catAx>
      <c:valAx>
        <c:axId val="143666176"/>
        <c:scaling>
          <c:orientation val="minMax"/>
          <c:max val="1"/>
          <c:min val="0"/>
        </c:scaling>
        <c:axPos val="t"/>
        <c:majorGridlines/>
        <c:numFmt formatCode="0.0%" sourceLinked="1"/>
        <c:tickLblPos val="nextTo"/>
        <c:txPr>
          <a:bodyPr/>
          <a:lstStyle/>
          <a:p>
            <a:pPr>
              <a:defRPr sz="600"/>
            </a:pPr>
            <a:endParaRPr lang="ru-RU"/>
          </a:p>
        </c:txPr>
        <c:crossAx val="143664640"/>
        <c:crosses val="autoZero"/>
        <c:crossBetween val="between"/>
        <c:majorUnit val="0.2"/>
      </c:valAx>
      <c:spPr>
        <a:noFill/>
        <a:ln>
          <a:solidFill>
            <a:schemeClr val="accent1"/>
          </a:solidFill>
        </a:ln>
      </c:spPr>
    </c:plotArea>
    <c:legend>
      <c:legendPos val="t"/>
      <c:layout>
        <c:manualLayout>
          <c:xMode val="edge"/>
          <c:yMode val="edge"/>
          <c:x val="0.17441801182089145"/>
          <c:y val="0"/>
          <c:w val="0.67121008240212365"/>
          <c:h val="2.7918462746901171E-2"/>
        </c:manualLayout>
      </c:layout>
    </c:legend>
    <c:plotVisOnly val="1"/>
    <c:dispBlanksAs val="gap"/>
  </c:chart>
  <c:spPr>
    <a:ln>
      <a:noFill/>
    </a:ln>
  </c:spPr>
  <c:txPr>
    <a:bodyPr/>
    <a:lstStyle/>
    <a:p>
      <a:pPr>
        <a:defRPr>
          <a:latin typeface="Arial Narrow" panose="020B0606020202030204" pitchFamily="34" charset="0"/>
        </a:defRPr>
      </a:pPr>
      <a:endParaRPr lang="ru-RU"/>
    </a:p>
  </c:txPr>
  <c:externalData r:id="rId1"/>
</c:chartSpace>
</file>

<file path=word/charts/chart74.xml><?xml version="1.0" encoding="utf-8"?>
<c:chartSpace xmlns:c="http://schemas.openxmlformats.org/drawingml/2006/chart" xmlns:a="http://schemas.openxmlformats.org/drawingml/2006/main" xmlns:r="http://schemas.openxmlformats.org/officeDocument/2006/relationships">
  <c:date1904 val="1"/>
  <c:lang val="ru-RU"/>
  <c:style val="6"/>
  <c:chart>
    <c:plotArea>
      <c:layout>
        <c:manualLayout>
          <c:layoutTarget val="inner"/>
          <c:xMode val="edge"/>
          <c:yMode val="edge"/>
          <c:x val="0.16775674817651279"/>
          <c:y val="7.0470315936984898E-2"/>
          <c:w val="0.79261167266985033"/>
          <c:h val="0.92133243738405779"/>
        </c:manualLayout>
      </c:layout>
      <c:barChart>
        <c:barDir val="bar"/>
        <c:grouping val="stacked"/>
        <c:ser>
          <c:idx val="0"/>
          <c:order val="0"/>
          <c:tx>
            <c:strRef>
              <c:f>Лист1!$B$1</c:f>
              <c:strCache>
                <c:ptCount val="1"/>
                <c:pt idx="0">
                  <c:v>Удовлетворительно</c:v>
                </c:pt>
              </c:strCache>
            </c:strRef>
          </c:tx>
          <c:spPr>
            <a:solidFill>
              <a:schemeClr val="accent2">
                <a:lumMod val="40000"/>
                <a:lumOff val="60000"/>
              </a:schemeClr>
            </a:solidFill>
          </c:spPr>
          <c:dLbls>
            <c:spPr>
              <a:noFill/>
              <a:ln>
                <a:noFill/>
              </a:ln>
              <a:effectLst/>
            </c:spPr>
            <c:txPr>
              <a:bodyPr/>
              <a:lstStyle/>
              <a:p>
                <a:pPr>
                  <a:defRPr sz="900">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р. п. Кольцово</c:v>
                </c:pt>
                <c:pt idx="1">
                  <c:v>Здвинский МР</c:v>
                </c:pt>
                <c:pt idx="2">
                  <c:v>г. Новосибирск</c:v>
                </c:pt>
                <c:pt idx="3">
                  <c:v>г. Искитим</c:v>
                </c:pt>
                <c:pt idx="4">
                  <c:v>Каргатский МР</c:v>
                </c:pt>
                <c:pt idx="5">
                  <c:v>Татарский МР</c:v>
                </c:pt>
                <c:pt idx="6">
                  <c:v>Баганский МР</c:v>
                </c:pt>
                <c:pt idx="7">
                  <c:v>Карасукский МР</c:v>
                </c:pt>
                <c:pt idx="8">
                  <c:v>Новосибирский МР</c:v>
                </c:pt>
                <c:pt idx="9">
                  <c:v>г. Бердск</c:v>
                </c:pt>
                <c:pt idx="10">
                  <c:v>Венгеровский МР</c:v>
                </c:pt>
                <c:pt idx="11">
                  <c:v>г. Обь</c:v>
                </c:pt>
                <c:pt idx="12">
                  <c:v>Маслянинский МР</c:v>
                </c:pt>
                <c:pt idx="13">
                  <c:v>Кочковский МР</c:v>
                </c:pt>
                <c:pt idx="14">
                  <c:v>Доволенский МР</c:v>
                </c:pt>
                <c:pt idx="15">
                  <c:v>Куйбышевский МР</c:v>
                </c:pt>
                <c:pt idx="16">
                  <c:v>Коченевский МР</c:v>
                </c:pt>
                <c:pt idx="17">
                  <c:v>Чистоозерный МР</c:v>
                </c:pt>
                <c:pt idx="18">
                  <c:v>Купинский МР</c:v>
                </c:pt>
                <c:pt idx="19">
                  <c:v>Искитимский МР</c:v>
                </c:pt>
                <c:pt idx="20">
                  <c:v>Болотнинский МР</c:v>
                </c:pt>
                <c:pt idx="21">
                  <c:v>Барабинский МР</c:v>
                </c:pt>
                <c:pt idx="22">
                  <c:v>Тогучинский МР</c:v>
                </c:pt>
                <c:pt idx="23">
                  <c:v>Сузунский МР</c:v>
                </c:pt>
                <c:pt idx="24">
                  <c:v>Убинский МР</c:v>
                </c:pt>
                <c:pt idx="25">
                  <c:v>Мошковский МР</c:v>
                </c:pt>
                <c:pt idx="26">
                  <c:v>Черепановский МР</c:v>
                </c:pt>
                <c:pt idx="27">
                  <c:v>Колыванский МР</c:v>
                </c:pt>
                <c:pt idx="28">
                  <c:v>Чановский МР</c:v>
                </c:pt>
                <c:pt idx="29">
                  <c:v>Чулымский МР</c:v>
                </c:pt>
                <c:pt idx="30">
                  <c:v>Кыштовский МР</c:v>
                </c:pt>
                <c:pt idx="31">
                  <c:v>Усть-Таркский МР</c:v>
                </c:pt>
                <c:pt idx="32">
                  <c:v>Краснозерский МР</c:v>
                </c:pt>
                <c:pt idx="33">
                  <c:v>Северный МР</c:v>
                </c:pt>
                <c:pt idx="34">
                  <c:v>Ордынский МР</c:v>
                </c:pt>
              </c:strCache>
            </c:strRef>
          </c:cat>
          <c:val>
            <c:numRef>
              <c:f>Лист1!$B$2:$B$36</c:f>
              <c:numCache>
                <c:formatCode>0.0%</c:formatCode>
                <c:ptCount val="35"/>
                <c:pt idx="0">
                  <c:v>0.95700000000000063</c:v>
                </c:pt>
                <c:pt idx="1">
                  <c:v>0.8710000000000061</c:v>
                </c:pt>
                <c:pt idx="2">
                  <c:v>0.80700000000000005</c:v>
                </c:pt>
                <c:pt idx="3">
                  <c:v>0.78600000000000003</c:v>
                </c:pt>
                <c:pt idx="4">
                  <c:v>0.7710000000000069</c:v>
                </c:pt>
                <c:pt idx="5">
                  <c:v>0.7710000000000069</c:v>
                </c:pt>
                <c:pt idx="6">
                  <c:v>0.75700000000000689</c:v>
                </c:pt>
                <c:pt idx="7">
                  <c:v>0.72900000000000065</c:v>
                </c:pt>
                <c:pt idx="8">
                  <c:v>0.72900000000000065</c:v>
                </c:pt>
                <c:pt idx="9">
                  <c:v>0.72600000000000064</c:v>
                </c:pt>
                <c:pt idx="10">
                  <c:v>0.71400000000000063</c:v>
                </c:pt>
                <c:pt idx="11">
                  <c:v>0.70400000000000063</c:v>
                </c:pt>
                <c:pt idx="12">
                  <c:v>0.70000000000000062</c:v>
                </c:pt>
                <c:pt idx="13">
                  <c:v>0.65700000000000791</c:v>
                </c:pt>
                <c:pt idx="14">
                  <c:v>0.6480000000000069</c:v>
                </c:pt>
                <c:pt idx="15">
                  <c:v>0.6430000000000069</c:v>
                </c:pt>
                <c:pt idx="16">
                  <c:v>0.62900000000000666</c:v>
                </c:pt>
                <c:pt idx="17">
                  <c:v>0.62900000000000666</c:v>
                </c:pt>
                <c:pt idx="18">
                  <c:v>0.62500000000000622</c:v>
                </c:pt>
                <c:pt idx="19">
                  <c:v>0.60000000000000064</c:v>
                </c:pt>
                <c:pt idx="20">
                  <c:v>0.58599999999999997</c:v>
                </c:pt>
                <c:pt idx="21">
                  <c:v>0.57099999999999995</c:v>
                </c:pt>
                <c:pt idx="22">
                  <c:v>0.52900000000000003</c:v>
                </c:pt>
                <c:pt idx="23">
                  <c:v>0.51400000000000001</c:v>
                </c:pt>
                <c:pt idx="24">
                  <c:v>0.5</c:v>
                </c:pt>
                <c:pt idx="25">
                  <c:v>0.49300000000000038</c:v>
                </c:pt>
                <c:pt idx="26">
                  <c:v>0.49300000000000038</c:v>
                </c:pt>
                <c:pt idx="27">
                  <c:v>0.48600000000000032</c:v>
                </c:pt>
                <c:pt idx="28">
                  <c:v>0.45200000000000001</c:v>
                </c:pt>
                <c:pt idx="29">
                  <c:v>0.42900000000000038</c:v>
                </c:pt>
                <c:pt idx="30">
                  <c:v>0.38600000000000345</c:v>
                </c:pt>
                <c:pt idx="31">
                  <c:v>0.35700000000000032</c:v>
                </c:pt>
                <c:pt idx="32">
                  <c:v>0.32900000000000357</c:v>
                </c:pt>
                <c:pt idx="33">
                  <c:v>0.31400000000000305</c:v>
                </c:pt>
                <c:pt idx="34">
                  <c:v>0.14100000000000001</c:v>
                </c:pt>
              </c:numCache>
            </c:numRef>
          </c:val>
          <c:extLst xmlns:c16r2="http://schemas.microsoft.com/office/drawing/2015/06/chart">
            <c:ext xmlns:c16="http://schemas.microsoft.com/office/drawing/2014/chart" uri="{C3380CC4-5D6E-409C-BE32-E72D297353CC}">
              <c16:uniqueId val="{00000000-CF3E-42F9-8F12-46A5D8011E09}"/>
            </c:ext>
          </c:extLst>
        </c:ser>
        <c:ser>
          <c:idx val="1"/>
          <c:order val="1"/>
          <c:tx>
            <c:strRef>
              <c:f>Лист1!$C$1</c:f>
              <c:strCache>
                <c:ptCount val="1"/>
                <c:pt idx="0">
                  <c:v>Неудовлетворительно</c:v>
                </c:pt>
              </c:strCache>
            </c:strRef>
          </c:tx>
          <c:spPr>
            <a:solidFill>
              <a:srgbClr val="B28AB2"/>
            </a:solidFill>
            <a:ln>
              <a:noFill/>
            </a:ln>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р. п. Кольцово</c:v>
                </c:pt>
                <c:pt idx="1">
                  <c:v>Здвинский МР</c:v>
                </c:pt>
                <c:pt idx="2">
                  <c:v>г. Новосибирск</c:v>
                </c:pt>
                <c:pt idx="3">
                  <c:v>г. Искитим</c:v>
                </c:pt>
                <c:pt idx="4">
                  <c:v>Каргатский МР</c:v>
                </c:pt>
                <c:pt idx="5">
                  <c:v>Татарский МР</c:v>
                </c:pt>
                <c:pt idx="6">
                  <c:v>Баганский МР</c:v>
                </c:pt>
                <c:pt idx="7">
                  <c:v>Карасукский МР</c:v>
                </c:pt>
                <c:pt idx="8">
                  <c:v>Новосибирский МР</c:v>
                </c:pt>
                <c:pt idx="9">
                  <c:v>г. Бердск</c:v>
                </c:pt>
                <c:pt idx="10">
                  <c:v>Венгеровский МР</c:v>
                </c:pt>
                <c:pt idx="11">
                  <c:v>г. Обь</c:v>
                </c:pt>
                <c:pt idx="12">
                  <c:v>Маслянинский МР</c:v>
                </c:pt>
                <c:pt idx="13">
                  <c:v>Кочковский МР</c:v>
                </c:pt>
                <c:pt idx="14">
                  <c:v>Доволенский МР</c:v>
                </c:pt>
                <c:pt idx="15">
                  <c:v>Куйбышевский МР</c:v>
                </c:pt>
                <c:pt idx="16">
                  <c:v>Коченевский МР</c:v>
                </c:pt>
                <c:pt idx="17">
                  <c:v>Чистоозерный МР</c:v>
                </c:pt>
                <c:pt idx="18">
                  <c:v>Купинский МР</c:v>
                </c:pt>
                <c:pt idx="19">
                  <c:v>Искитимский МР</c:v>
                </c:pt>
                <c:pt idx="20">
                  <c:v>Болотнинский МР</c:v>
                </c:pt>
                <c:pt idx="21">
                  <c:v>Барабинский МР</c:v>
                </c:pt>
                <c:pt idx="22">
                  <c:v>Тогучинский МР</c:v>
                </c:pt>
                <c:pt idx="23">
                  <c:v>Сузунский МР</c:v>
                </c:pt>
                <c:pt idx="24">
                  <c:v>Убинский МР</c:v>
                </c:pt>
                <c:pt idx="25">
                  <c:v>Мошковский МР</c:v>
                </c:pt>
                <c:pt idx="26">
                  <c:v>Черепановский МР</c:v>
                </c:pt>
                <c:pt idx="27">
                  <c:v>Колыванский МР</c:v>
                </c:pt>
                <c:pt idx="28">
                  <c:v>Чановский МР</c:v>
                </c:pt>
                <c:pt idx="29">
                  <c:v>Чулымский МР</c:v>
                </c:pt>
                <c:pt idx="30">
                  <c:v>Кыштовский МР</c:v>
                </c:pt>
                <c:pt idx="31">
                  <c:v>Усть-Таркский МР</c:v>
                </c:pt>
                <c:pt idx="32">
                  <c:v>Краснозерский МР</c:v>
                </c:pt>
                <c:pt idx="33">
                  <c:v>Северный МР</c:v>
                </c:pt>
                <c:pt idx="34">
                  <c:v>Ордынский МР</c:v>
                </c:pt>
              </c:strCache>
            </c:strRef>
          </c:cat>
          <c:val>
            <c:numRef>
              <c:f>Лист1!$C$2:$C$36</c:f>
              <c:numCache>
                <c:formatCode>0.0%</c:formatCode>
                <c:ptCount val="35"/>
                <c:pt idx="0">
                  <c:v>4.3000000000000003E-2</c:v>
                </c:pt>
                <c:pt idx="1">
                  <c:v>8.6000000000000021E-2</c:v>
                </c:pt>
                <c:pt idx="2">
                  <c:v>0.14700000000000021</c:v>
                </c:pt>
                <c:pt idx="3">
                  <c:v>0.21400000000000041</c:v>
                </c:pt>
                <c:pt idx="4">
                  <c:v>0.129</c:v>
                </c:pt>
                <c:pt idx="5">
                  <c:v>0.15700000000000044</c:v>
                </c:pt>
                <c:pt idx="6">
                  <c:v>0.18600000000000044</c:v>
                </c:pt>
                <c:pt idx="7">
                  <c:v>0.129</c:v>
                </c:pt>
                <c:pt idx="8">
                  <c:v>7.0999999999999994E-2</c:v>
                </c:pt>
                <c:pt idx="9">
                  <c:v>0.26</c:v>
                </c:pt>
                <c:pt idx="10">
                  <c:v>0.17100000000000001</c:v>
                </c:pt>
                <c:pt idx="11">
                  <c:v>0.16900000000000001</c:v>
                </c:pt>
                <c:pt idx="12">
                  <c:v>8.6000000000000021E-2</c:v>
                </c:pt>
                <c:pt idx="13">
                  <c:v>0.1</c:v>
                </c:pt>
                <c:pt idx="14">
                  <c:v>0.14100000000000001</c:v>
                </c:pt>
                <c:pt idx="15">
                  <c:v>0.2</c:v>
                </c:pt>
                <c:pt idx="16">
                  <c:v>0.21400000000000041</c:v>
                </c:pt>
                <c:pt idx="17">
                  <c:v>0.15700000000000044</c:v>
                </c:pt>
                <c:pt idx="18">
                  <c:v>0.125</c:v>
                </c:pt>
                <c:pt idx="19">
                  <c:v>0.18600000000000044</c:v>
                </c:pt>
                <c:pt idx="20">
                  <c:v>0.129</c:v>
                </c:pt>
                <c:pt idx="21">
                  <c:v>0.30000000000000032</c:v>
                </c:pt>
                <c:pt idx="22">
                  <c:v>0.1</c:v>
                </c:pt>
                <c:pt idx="23">
                  <c:v>2.9000000000000001E-2</c:v>
                </c:pt>
                <c:pt idx="24">
                  <c:v>0.129</c:v>
                </c:pt>
                <c:pt idx="25">
                  <c:v>0.22500000000000001</c:v>
                </c:pt>
                <c:pt idx="26">
                  <c:v>0.16900000000000001</c:v>
                </c:pt>
                <c:pt idx="27">
                  <c:v>5.7000000000000023E-2</c:v>
                </c:pt>
                <c:pt idx="28">
                  <c:v>0.13700000000000001</c:v>
                </c:pt>
                <c:pt idx="29">
                  <c:v>0.15700000000000044</c:v>
                </c:pt>
                <c:pt idx="30">
                  <c:v>0.15700000000000044</c:v>
                </c:pt>
                <c:pt idx="31">
                  <c:v>7.0999999999999994E-2</c:v>
                </c:pt>
                <c:pt idx="32">
                  <c:v>7.0999999999999994E-2</c:v>
                </c:pt>
                <c:pt idx="33">
                  <c:v>8.6000000000000021E-2</c:v>
                </c:pt>
                <c:pt idx="34">
                  <c:v>0.21100000000000024</c:v>
                </c:pt>
              </c:numCache>
            </c:numRef>
          </c:val>
          <c:extLst xmlns:c16r2="http://schemas.microsoft.com/office/drawing/2015/06/chart">
            <c:ext xmlns:c16="http://schemas.microsoft.com/office/drawing/2014/chart" uri="{C3380CC4-5D6E-409C-BE32-E72D297353CC}">
              <c16:uniqueId val="{00000001-CF3E-42F9-8F12-46A5D8011E09}"/>
            </c:ext>
          </c:extLst>
        </c:ser>
        <c:ser>
          <c:idx val="2"/>
          <c:order val="2"/>
          <c:tx>
            <c:strRef>
              <c:f>Лист1!$D$1</c:f>
              <c:strCache>
                <c:ptCount val="1"/>
                <c:pt idx="0">
                  <c:v>Затрудняюсь ответить</c:v>
                </c:pt>
              </c:strCache>
            </c:strRef>
          </c:tx>
          <c:spPr>
            <a:solidFill>
              <a:schemeClr val="bg1">
                <a:lumMod val="85000"/>
              </a:schemeClr>
            </a:solidFill>
          </c:spPr>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CF3E-42F9-8F12-46A5D8011E09}"/>
                </c:ext>
              </c:extLst>
            </c:dLbl>
            <c:dLbl>
              <c:idx val="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CF3E-42F9-8F12-46A5D8011E09}"/>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р. п. Кольцово</c:v>
                </c:pt>
                <c:pt idx="1">
                  <c:v>Здвинский МР</c:v>
                </c:pt>
                <c:pt idx="2">
                  <c:v>г. Новосибирск</c:v>
                </c:pt>
                <c:pt idx="3">
                  <c:v>г. Искитим</c:v>
                </c:pt>
                <c:pt idx="4">
                  <c:v>Каргатский МР</c:v>
                </c:pt>
                <c:pt idx="5">
                  <c:v>Татарский МР</c:v>
                </c:pt>
                <c:pt idx="6">
                  <c:v>Баганский МР</c:v>
                </c:pt>
                <c:pt idx="7">
                  <c:v>Карасукский МР</c:v>
                </c:pt>
                <c:pt idx="8">
                  <c:v>Новосибирский МР</c:v>
                </c:pt>
                <c:pt idx="9">
                  <c:v>г. Бердск</c:v>
                </c:pt>
                <c:pt idx="10">
                  <c:v>Венгеровский МР</c:v>
                </c:pt>
                <c:pt idx="11">
                  <c:v>г. Обь</c:v>
                </c:pt>
                <c:pt idx="12">
                  <c:v>Маслянинский МР</c:v>
                </c:pt>
                <c:pt idx="13">
                  <c:v>Кочковский МР</c:v>
                </c:pt>
                <c:pt idx="14">
                  <c:v>Доволенский МР</c:v>
                </c:pt>
                <c:pt idx="15">
                  <c:v>Куйбышевский МР</c:v>
                </c:pt>
                <c:pt idx="16">
                  <c:v>Коченевский МР</c:v>
                </c:pt>
                <c:pt idx="17">
                  <c:v>Чистоозерный МР</c:v>
                </c:pt>
                <c:pt idx="18">
                  <c:v>Купинский МР</c:v>
                </c:pt>
                <c:pt idx="19">
                  <c:v>Искитимский МР</c:v>
                </c:pt>
                <c:pt idx="20">
                  <c:v>Болотнинский МР</c:v>
                </c:pt>
                <c:pt idx="21">
                  <c:v>Барабинский МР</c:v>
                </c:pt>
                <c:pt idx="22">
                  <c:v>Тогучинский МР</c:v>
                </c:pt>
                <c:pt idx="23">
                  <c:v>Сузунский МР</c:v>
                </c:pt>
                <c:pt idx="24">
                  <c:v>Убинский МР</c:v>
                </c:pt>
                <c:pt idx="25">
                  <c:v>Мошковский МР</c:v>
                </c:pt>
                <c:pt idx="26">
                  <c:v>Черепановский МР</c:v>
                </c:pt>
                <c:pt idx="27">
                  <c:v>Колыванский МР</c:v>
                </c:pt>
                <c:pt idx="28">
                  <c:v>Чановский МР</c:v>
                </c:pt>
                <c:pt idx="29">
                  <c:v>Чулымский МР</c:v>
                </c:pt>
                <c:pt idx="30">
                  <c:v>Кыштовский МР</c:v>
                </c:pt>
                <c:pt idx="31">
                  <c:v>Усть-Таркский МР</c:v>
                </c:pt>
                <c:pt idx="32">
                  <c:v>Краснозерский МР</c:v>
                </c:pt>
                <c:pt idx="33">
                  <c:v>Северный МР</c:v>
                </c:pt>
                <c:pt idx="34">
                  <c:v>Ордынский МР</c:v>
                </c:pt>
              </c:strCache>
            </c:strRef>
          </c:cat>
          <c:val>
            <c:numRef>
              <c:f>Лист1!$D$2:$D$36</c:f>
              <c:numCache>
                <c:formatCode>0.0%</c:formatCode>
                <c:ptCount val="35"/>
                <c:pt idx="0">
                  <c:v>0</c:v>
                </c:pt>
                <c:pt idx="1">
                  <c:v>4.3000000000000003E-2</c:v>
                </c:pt>
                <c:pt idx="2">
                  <c:v>4.7000000000000014E-2</c:v>
                </c:pt>
                <c:pt idx="3">
                  <c:v>0</c:v>
                </c:pt>
                <c:pt idx="4">
                  <c:v>0.1</c:v>
                </c:pt>
                <c:pt idx="5">
                  <c:v>7.0999999999999994E-2</c:v>
                </c:pt>
                <c:pt idx="6">
                  <c:v>5.7000000000000023E-2</c:v>
                </c:pt>
                <c:pt idx="7">
                  <c:v>0.14300000000000004</c:v>
                </c:pt>
                <c:pt idx="8">
                  <c:v>0.2</c:v>
                </c:pt>
                <c:pt idx="9">
                  <c:v>1.4E-2</c:v>
                </c:pt>
                <c:pt idx="10">
                  <c:v>0.114</c:v>
                </c:pt>
                <c:pt idx="11">
                  <c:v>0.127</c:v>
                </c:pt>
                <c:pt idx="12">
                  <c:v>0.21400000000000041</c:v>
                </c:pt>
                <c:pt idx="13">
                  <c:v>0.24300000000000024</c:v>
                </c:pt>
                <c:pt idx="14">
                  <c:v>0.21100000000000024</c:v>
                </c:pt>
                <c:pt idx="15">
                  <c:v>0.15700000000000044</c:v>
                </c:pt>
                <c:pt idx="16">
                  <c:v>0.15700000000000044</c:v>
                </c:pt>
                <c:pt idx="17">
                  <c:v>0.21400000000000041</c:v>
                </c:pt>
                <c:pt idx="18">
                  <c:v>0.25</c:v>
                </c:pt>
                <c:pt idx="19">
                  <c:v>0.21400000000000041</c:v>
                </c:pt>
                <c:pt idx="20">
                  <c:v>0.28600000000000031</c:v>
                </c:pt>
                <c:pt idx="21">
                  <c:v>0.129</c:v>
                </c:pt>
                <c:pt idx="22">
                  <c:v>0.37100000000000088</c:v>
                </c:pt>
                <c:pt idx="23">
                  <c:v>0.45700000000000002</c:v>
                </c:pt>
                <c:pt idx="24">
                  <c:v>0.37100000000000088</c:v>
                </c:pt>
                <c:pt idx="25">
                  <c:v>0.28200000000000008</c:v>
                </c:pt>
                <c:pt idx="26">
                  <c:v>0.33800000000000396</c:v>
                </c:pt>
                <c:pt idx="27">
                  <c:v>0.45700000000000002</c:v>
                </c:pt>
                <c:pt idx="28">
                  <c:v>0.41100000000000031</c:v>
                </c:pt>
                <c:pt idx="29">
                  <c:v>0.41400000000000031</c:v>
                </c:pt>
                <c:pt idx="30">
                  <c:v>0.45700000000000002</c:v>
                </c:pt>
                <c:pt idx="31">
                  <c:v>0.57099999999999995</c:v>
                </c:pt>
                <c:pt idx="32">
                  <c:v>0.60000000000000064</c:v>
                </c:pt>
                <c:pt idx="33">
                  <c:v>0.60000000000000064</c:v>
                </c:pt>
                <c:pt idx="34">
                  <c:v>0.6480000000000069</c:v>
                </c:pt>
              </c:numCache>
            </c:numRef>
          </c:val>
          <c:extLst xmlns:c16r2="http://schemas.microsoft.com/office/drawing/2015/06/chart">
            <c:ext xmlns:c16="http://schemas.microsoft.com/office/drawing/2014/chart" uri="{C3380CC4-5D6E-409C-BE32-E72D297353CC}">
              <c16:uniqueId val="{00000004-CF3E-42F9-8F12-46A5D8011E09}"/>
            </c:ext>
          </c:extLst>
        </c:ser>
        <c:overlap val="100"/>
        <c:axId val="144452608"/>
        <c:axId val="144462592"/>
      </c:barChart>
      <c:catAx>
        <c:axId val="144452608"/>
        <c:scaling>
          <c:orientation val="maxMin"/>
        </c:scaling>
        <c:axPos val="l"/>
        <c:numFmt formatCode="General" sourceLinked="1"/>
        <c:tickLblPos val="nextTo"/>
        <c:crossAx val="144462592"/>
        <c:crosses val="autoZero"/>
        <c:auto val="1"/>
        <c:lblAlgn val="ctr"/>
        <c:lblOffset val="100"/>
      </c:catAx>
      <c:valAx>
        <c:axId val="144462592"/>
        <c:scaling>
          <c:orientation val="minMax"/>
          <c:max val="1"/>
          <c:min val="0"/>
        </c:scaling>
        <c:axPos val="t"/>
        <c:majorGridlines/>
        <c:numFmt formatCode="0.0%" sourceLinked="1"/>
        <c:tickLblPos val="nextTo"/>
        <c:txPr>
          <a:bodyPr/>
          <a:lstStyle/>
          <a:p>
            <a:pPr>
              <a:defRPr sz="900"/>
            </a:pPr>
            <a:endParaRPr lang="ru-RU"/>
          </a:p>
        </c:txPr>
        <c:crossAx val="144452608"/>
        <c:crosses val="autoZero"/>
        <c:crossBetween val="between"/>
        <c:majorUnit val="0.2"/>
      </c:valAx>
      <c:spPr>
        <a:noFill/>
        <a:ln>
          <a:solidFill>
            <a:schemeClr val="accent1"/>
          </a:solidFill>
        </a:ln>
      </c:spPr>
    </c:plotArea>
    <c:legend>
      <c:legendPos val="t"/>
    </c:legend>
    <c:plotVisOnly val="1"/>
    <c:dispBlanksAs val="gap"/>
  </c:chart>
  <c:spPr>
    <a:ln>
      <a:noFill/>
    </a:ln>
  </c:spPr>
  <c:txPr>
    <a:bodyPr/>
    <a:lstStyle/>
    <a:p>
      <a:pPr>
        <a:defRPr>
          <a:latin typeface="Arial Narrow" panose="020B0606020202030204" pitchFamily="34" charset="0"/>
        </a:defRPr>
      </a:pPr>
      <a:endParaRPr lang="ru-RU"/>
    </a:p>
  </c:txPr>
  <c:externalData r:id="rId1"/>
</c:chartSpace>
</file>

<file path=word/charts/chart75.xml><?xml version="1.0" encoding="utf-8"?>
<c:chartSpace xmlns:c="http://schemas.openxmlformats.org/drawingml/2006/chart" xmlns:a="http://schemas.openxmlformats.org/drawingml/2006/main" xmlns:r="http://schemas.openxmlformats.org/officeDocument/2006/relationships">
  <c:date1904 val="1"/>
  <c:lang val="ru-RU"/>
  <c:style val="6"/>
  <c:chart>
    <c:plotArea>
      <c:layout>
        <c:manualLayout>
          <c:layoutTarget val="inner"/>
          <c:xMode val="edge"/>
          <c:yMode val="edge"/>
          <c:x val="0.19569846585495304"/>
          <c:y val="6.4904699901557922E-2"/>
          <c:w val="0.76330683832042412"/>
          <c:h val="0.92273702485154929"/>
        </c:manualLayout>
      </c:layout>
      <c:barChart>
        <c:barDir val="bar"/>
        <c:grouping val="stacked"/>
        <c:ser>
          <c:idx val="0"/>
          <c:order val="0"/>
          <c:tx>
            <c:strRef>
              <c:f>Лист1!$B$1</c:f>
              <c:strCache>
                <c:ptCount val="1"/>
                <c:pt idx="0">
                  <c:v>Удовлетворительно</c:v>
                </c:pt>
              </c:strCache>
            </c:strRef>
          </c:tx>
          <c:spPr>
            <a:solidFill>
              <a:schemeClr val="accent2">
                <a:lumMod val="40000"/>
                <a:lumOff val="60000"/>
              </a:schemeClr>
            </a:solidFill>
          </c:spPr>
          <c:dLbls>
            <c:spPr>
              <a:noFill/>
              <a:ln>
                <a:no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Каргатский МР</c:v>
                </c:pt>
                <c:pt idx="1">
                  <c:v>Чистоозерный МР</c:v>
                </c:pt>
                <c:pt idx="2">
                  <c:v>Маслянинский МР</c:v>
                </c:pt>
                <c:pt idx="3">
                  <c:v>Новосибирский МР</c:v>
                </c:pt>
                <c:pt idx="4">
                  <c:v>Здвинский МР</c:v>
                </c:pt>
                <c:pt idx="5">
                  <c:v>Колыванский МР</c:v>
                </c:pt>
                <c:pt idx="6">
                  <c:v>Болотнинский МР</c:v>
                </c:pt>
                <c:pt idx="7">
                  <c:v>Татарский МР</c:v>
                </c:pt>
                <c:pt idx="8">
                  <c:v>г. Искитим</c:v>
                </c:pt>
                <c:pt idx="9">
                  <c:v>Убинский МР</c:v>
                </c:pt>
                <c:pt idx="10">
                  <c:v>Баганский МР</c:v>
                </c:pt>
                <c:pt idx="11">
                  <c:v>Куйбышевский МР</c:v>
                </c:pt>
                <c:pt idx="12">
                  <c:v>Купинский МР</c:v>
                </c:pt>
                <c:pt idx="13">
                  <c:v>Карасукский МР</c:v>
                </c:pt>
                <c:pt idx="14">
                  <c:v>г. Новосибирск</c:v>
                </c:pt>
                <c:pt idx="15">
                  <c:v>Искитимский МР</c:v>
                </c:pt>
                <c:pt idx="16">
                  <c:v>Коченевский МР</c:v>
                </c:pt>
                <c:pt idx="17">
                  <c:v>р. п. Кольцово</c:v>
                </c:pt>
                <c:pt idx="18">
                  <c:v>Черепановский МР</c:v>
                </c:pt>
                <c:pt idx="19">
                  <c:v>Мошковский МР</c:v>
                </c:pt>
                <c:pt idx="20">
                  <c:v>г. Бердск</c:v>
                </c:pt>
                <c:pt idx="21">
                  <c:v>г. Обь</c:v>
                </c:pt>
                <c:pt idx="22">
                  <c:v>Венгеровский МР</c:v>
                </c:pt>
                <c:pt idx="23">
                  <c:v>Барабинский МР</c:v>
                </c:pt>
                <c:pt idx="24">
                  <c:v>Кочковский МР</c:v>
                </c:pt>
                <c:pt idx="25">
                  <c:v>Чулымский МР</c:v>
                </c:pt>
                <c:pt idx="26">
                  <c:v>Доволенский МР</c:v>
                </c:pt>
                <c:pt idx="27">
                  <c:v>Сузунский МР</c:v>
                </c:pt>
                <c:pt idx="28">
                  <c:v>Краснозерский МР</c:v>
                </c:pt>
                <c:pt idx="29">
                  <c:v>Кыштовский МР</c:v>
                </c:pt>
                <c:pt idx="30">
                  <c:v>Чановский МР</c:v>
                </c:pt>
                <c:pt idx="31">
                  <c:v>Тогучинский МР</c:v>
                </c:pt>
                <c:pt idx="32">
                  <c:v>Усть-Таркский МР</c:v>
                </c:pt>
                <c:pt idx="33">
                  <c:v>Северный МР</c:v>
                </c:pt>
                <c:pt idx="34">
                  <c:v>Ордынский МР</c:v>
                </c:pt>
              </c:strCache>
            </c:strRef>
          </c:cat>
          <c:val>
            <c:numRef>
              <c:f>Лист1!$B$2:$B$36</c:f>
              <c:numCache>
                <c:formatCode>0.0%</c:formatCode>
                <c:ptCount val="35"/>
                <c:pt idx="0">
                  <c:v>0.7430000000000061</c:v>
                </c:pt>
                <c:pt idx="1">
                  <c:v>0.72900000000000065</c:v>
                </c:pt>
                <c:pt idx="2">
                  <c:v>0.71400000000000063</c:v>
                </c:pt>
                <c:pt idx="3">
                  <c:v>0.71400000000000063</c:v>
                </c:pt>
                <c:pt idx="4">
                  <c:v>0.68600000000000005</c:v>
                </c:pt>
                <c:pt idx="5">
                  <c:v>0.67100000000000792</c:v>
                </c:pt>
                <c:pt idx="6">
                  <c:v>0.65700000000000791</c:v>
                </c:pt>
                <c:pt idx="7">
                  <c:v>0.65700000000000791</c:v>
                </c:pt>
                <c:pt idx="8">
                  <c:v>0.6430000000000069</c:v>
                </c:pt>
                <c:pt idx="9">
                  <c:v>0.62900000000000666</c:v>
                </c:pt>
                <c:pt idx="10">
                  <c:v>0.60000000000000064</c:v>
                </c:pt>
                <c:pt idx="11">
                  <c:v>0.60000000000000064</c:v>
                </c:pt>
                <c:pt idx="12">
                  <c:v>0.58299999999999996</c:v>
                </c:pt>
                <c:pt idx="13">
                  <c:v>0.57099999999999995</c:v>
                </c:pt>
                <c:pt idx="14">
                  <c:v>0.56000000000000005</c:v>
                </c:pt>
                <c:pt idx="15">
                  <c:v>0.54300000000000004</c:v>
                </c:pt>
                <c:pt idx="16">
                  <c:v>0.54300000000000004</c:v>
                </c:pt>
                <c:pt idx="17">
                  <c:v>0.54300000000000004</c:v>
                </c:pt>
                <c:pt idx="18">
                  <c:v>0.52100000000000002</c:v>
                </c:pt>
                <c:pt idx="19">
                  <c:v>0.50700000000000001</c:v>
                </c:pt>
                <c:pt idx="20">
                  <c:v>0.47900000000000031</c:v>
                </c:pt>
                <c:pt idx="21">
                  <c:v>0.47900000000000031</c:v>
                </c:pt>
                <c:pt idx="22">
                  <c:v>0.47100000000000031</c:v>
                </c:pt>
                <c:pt idx="23">
                  <c:v>0.45700000000000002</c:v>
                </c:pt>
                <c:pt idx="24">
                  <c:v>0.45700000000000002</c:v>
                </c:pt>
                <c:pt idx="25">
                  <c:v>0.45700000000000002</c:v>
                </c:pt>
                <c:pt idx="26">
                  <c:v>0.45100000000000001</c:v>
                </c:pt>
                <c:pt idx="27">
                  <c:v>0.443</c:v>
                </c:pt>
                <c:pt idx="28">
                  <c:v>0.42900000000000038</c:v>
                </c:pt>
                <c:pt idx="29">
                  <c:v>0.42900000000000038</c:v>
                </c:pt>
                <c:pt idx="30">
                  <c:v>0.39700000000000396</c:v>
                </c:pt>
                <c:pt idx="31">
                  <c:v>0.37100000000000088</c:v>
                </c:pt>
                <c:pt idx="32">
                  <c:v>0.28600000000000031</c:v>
                </c:pt>
                <c:pt idx="33">
                  <c:v>0.27100000000000002</c:v>
                </c:pt>
                <c:pt idx="34">
                  <c:v>0.23900000000000021</c:v>
                </c:pt>
              </c:numCache>
            </c:numRef>
          </c:val>
          <c:extLst xmlns:c16r2="http://schemas.microsoft.com/office/drawing/2015/06/chart">
            <c:ext xmlns:c16="http://schemas.microsoft.com/office/drawing/2014/chart" uri="{C3380CC4-5D6E-409C-BE32-E72D297353CC}">
              <c16:uniqueId val="{00000000-D355-468F-BF59-C1ADDA9082CC}"/>
            </c:ext>
          </c:extLst>
        </c:ser>
        <c:ser>
          <c:idx val="1"/>
          <c:order val="1"/>
          <c:tx>
            <c:strRef>
              <c:f>Лист1!$C$1</c:f>
              <c:strCache>
                <c:ptCount val="1"/>
                <c:pt idx="0">
                  <c:v>Неудовлетворительно</c:v>
                </c:pt>
              </c:strCache>
            </c:strRef>
          </c:tx>
          <c:spPr>
            <a:solidFill>
              <a:srgbClr val="B28AB2"/>
            </a:solidFill>
            <a:ln>
              <a:noFill/>
            </a:ln>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Каргатский МР</c:v>
                </c:pt>
                <c:pt idx="1">
                  <c:v>Чистоозерный МР</c:v>
                </c:pt>
                <c:pt idx="2">
                  <c:v>Маслянинский МР</c:v>
                </c:pt>
                <c:pt idx="3">
                  <c:v>Новосибирский МР</c:v>
                </c:pt>
                <c:pt idx="4">
                  <c:v>Здвинский МР</c:v>
                </c:pt>
                <c:pt idx="5">
                  <c:v>Колыванский МР</c:v>
                </c:pt>
                <c:pt idx="6">
                  <c:v>Болотнинский МР</c:v>
                </c:pt>
                <c:pt idx="7">
                  <c:v>Татарский МР</c:v>
                </c:pt>
                <c:pt idx="8">
                  <c:v>г. Искитим</c:v>
                </c:pt>
                <c:pt idx="9">
                  <c:v>Убинский МР</c:v>
                </c:pt>
                <c:pt idx="10">
                  <c:v>Баганский МР</c:v>
                </c:pt>
                <c:pt idx="11">
                  <c:v>Куйбышевский МР</c:v>
                </c:pt>
                <c:pt idx="12">
                  <c:v>Купинский МР</c:v>
                </c:pt>
                <c:pt idx="13">
                  <c:v>Карасукский МР</c:v>
                </c:pt>
                <c:pt idx="14">
                  <c:v>г. Новосибирск</c:v>
                </c:pt>
                <c:pt idx="15">
                  <c:v>Искитимский МР</c:v>
                </c:pt>
                <c:pt idx="16">
                  <c:v>Коченевский МР</c:v>
                </c:pt>
                <c:pt idx="17">
                  <c:v>р. п. Кольцово</c:v>
                </c:pt>
                <c:pt idx="18">
                  <c:v>Черепановский МР</c:v>
                </c:pt>
                <c:pt idx="19">
                  <c:v>Мошковский МР</c:v>
                </c:pt>
                <c:pt idx="20">
                  <c:v>г. Бердск</c:v>
                </c:pt>
                <c:pt idx="21">
                  <c:v>г. Обь</c:v>
                </c:pt>
                <c:pt idx="22">
                  <c:v>Венгеровский МР</c:v>
                </c:pt>
                <c:pt idx="23">
                  <c:v>Барабинский МР</c:v>
                </c:pt>
                <c:pt idx="24">
                  <c:v>Кочковский МР</c:v>
                </c:pt>
                <c:pt idx="25">
                  <c:v>Чулымский МР</c:v>
                </c:pt>
                <c:pt idx="26">
                  <c:v>Доволенский МР</c:v>
                </c:pt>
                <c:pt idx="27">
                  <c:v>Сузунский МР</c:v>
                </c:pt>
                <c:pt idx="28">
                  <c:v>Краснозерский МР</c:v>
                </c:pt>
                <c:pt idx="29">
                  <c:v>Кыштовский МР</c:v>
                </c:pt>
                <c:pt idx="30">
                  <c:v>Чановский МР</c:v>
                </c:pt>
                <c:pt idx="31">
                  <c:v>Тогучинский МР</c:v>
                </c:pt>
                <c:pt idx="32">
                  <c:v>Усть-Таркский МР</c:v>
                </c:pt>
                <c:pt idx="33">
                  <c:v>Северный МР</c:v>
                </c:pt>
                <c:pt idx="34">
                  <c:v>Ордынский МР</c:v>
                </c:pt>
              </c:strCache>
            </c:strRef>
          </c:cat>
          <c:val>
            <c:numRef>
              <c:f>Лист1!$C$2:$C$36</c:f>
              <c:numCache>
                <c:formatCode>0.0%</c:formatCode>
                <c:ptCount val="35"/>
                <c:pt idx="0">
                  <c:v>0.17100000000000001</c:v>
                </c:pt>
                <c:pt idx="1">
                  <c:v>0.14300000000000004</c:v>
                </c:pt>
                <c:pt idx="2">
                  <c:v>0.114</c:v>
                </c:pt>
                <c:pt idx="3">
                  <c:v>4.3000000000000003E-2</c:v>
                </c:pt>
                <c:pt idx="4">
                  <c:v>0.18600000000000044</c:v>
                </c:pt>
                <c:pt idx="5">
                  <c:v>2.9000000000000001E-2</c:v>
                </c:pt>
                <c:pt idx="6">
                  <c:v>0.129</c:v>
                </c:pt>
                <c:pt idx="7">
                  <c:v>0.15700000000000044</c:v>
                </c:pt>
                <c:pt idx="8">
                  <c:v>0.17100000000000001</c:v>
                </c:pt>
                <c:pt idx="9">
                  <c:v>0.15700000000000044</c:v>
                </c:pt>
                <c:pt idx="10">
                  <c:v>5.7000000000000023E-2</c:v>
                </c:pt>
                <c:pt idx="11">
                  <c:v>0.2</c:v>
                </c:pt>
                <c:pt idx="12">
                  <c:v>0.111</c:v>
                </c:pt>
                <c:pt idx="13">
                  <c:v>0.17100000000000001</c:v>
                </c:pt>
                <c:pt idx="14">
                  <c:v>0.127</c:v>
                </c:pt>
                <c:pt idx="15">
                  <c:v>0.14300000000000004</c:v>
                </c:pt>
                <c:pt idx="16">
                  <c:v>0.14300000000000004</c:v>
                </c:pt>
                <c:pt idx="17">
                  <c:v>7.0999999999999994E-2</c:v>
                </c:pt>
                <c:pt idx="18">
                  <c:v>0.15500000000000044</c:v>
                </c:pt>
                <c:pt idx="19">
                  <c:v>0.113</c:v>
                </c:pt>
                <c:pt idx="20">
                  <c:v>0.12300000000000012</c:v>
                </c:pt>
                <c:pt idx="21">
                  <c:v>9.9000000000000046E-2</c:v>
                </c:pt>
                <c:pt idx="22">
                  <c:v>8.6000000000000021E-2</c:v>
                </c:pt>
                <c:pt idx="23">
                  <c:v>0.28600000000000031</c:v>
                </c:pt>
                <c:pt idx="24">
                  <c:v>0.18600000000000044</c:v>
                </c:pt>
                <c:pt idx="25">
                  <c:v>0.22900000000000001</c:v>
                </c:pt>
                <c:pt idx="26">
                  <c:v>9.9000000000000046E-2</c:v>
                </c:pt>
                <c:pt idx="27">
                  <c:v>5.7000000000000023E-2</c:v>
                </c:pt>
                <c:pt idx="28">
                  <c:v>0.15700000000000044</c:v>
                </c:pt>
                <c:pt idx="29">
                  <c:v>0.17100000000000001</c:v>
                </c:pt>
                <c:pt idx="30">
                  <c:v>8.2000000000000003E-2</c:v>
                </c:pt>
                <c:pt idx="31">
                  <c:v>0.114</c:v>
                </c:pt>
                <c:pt idx="32">
                  <c:v>8.6000000000000021E-2</c:v>
                </c:pt>
                <c:pt idx="33">
                  <c:v>7.0999999999999994E-2</c:v>
                </c:pt>
                <c:pt idx="34">
                  <c:v>0.16900000000000001</c:v>
                </c:pt>
              </c:numCache>
            </c:numRef>
          </c:val>
          <c:extLst xmlns:c16r2="http://schemas.microsoft.com/office/drawing/2015/06/chart">
            <c:ext xmlns:c16="http://schemas.microsoft.com/office/drawing/2014/chart" uri="{C3380CC4-5D6E-409C-BE32-E72D297353CC}">
              <c16:uniqueId val="{00000001-D355-468F-BF59-C1ADDA9082CC}"/>
            </c:ext>
          </c:extLst>
        </c:ser>
        <c:ser>
          <c:idx val="2"/>
          <c:order val="2"/>
          <c:tx>
            <c:strRef>
              <c:f>Лист1!$D$1</c:f>
              <c:strCache>
                <c:ptCount val="1"/>
                <c:pt idx="0">
                  <c:v>Затрудняюсь ответить</c:v>
                </c:pt>
              </c:strCache>
            </c:strRef>
          </c:tx>
          <c:spPr>
            <a:solidFill>
              <a:schemeClr val="bg1">
                <a:lumMod val="85000"/>
              </a:scheme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Каргатский МР</c:v>
                </c:pt>
                <c:pt idx="1">
                  <c:v>Чистоозерный МР</c:v>
                </c:pt>
                <c:pt idx="2">
                  <c:v>Маслянинский МР</c:v>
                </c:pt>
                <c:pt idx="3">
                  <c:v>Новосибирский МР</c:v>
                </c:pt>
                <c:pt idx="4">
                  <c:v>Здвинский МР</c:v>
                </c:pt>
                <c:pt idx="5">
                  <c:v>Колыванский МР</c:v>
                </c:pt>
                <c:pt idx="6">
                  <c:v>Болотнинский МР</c:v>
                </c:pt>
                <c:pt idx="7">
                  <c:v>Татарский МР</c:v>
                </c:pt>
                <c:pt idx="8">
                  <c:v>г. Искитим</c:v>
                </c:pt>
                <c:pt idx="9">
                  <c:v>Убинский МР</c:v>
                </c:pt>
                <c:pt idx="10">
                  <c:v>Баганский МР</c:v>
                </c:pt>
                <c:pt idx="11">
                  <c:v>Куйбышевский МР</c:v>
                </c:pt>
                <c:pt idx="12">
                  <c:v>Купинский МР</c:v>
                </c:pt>
                <c:pt idx="13">
                  <c:v>Карасукский МР</c:v>
                </c:pt>
                <c:pt idx="14">
                  <c:v>г. Новосибирск</c:v>
                </c:pt>
                <c:pt idx="15">
                  <c:v>Искитимский МР</c:v>
                </c:pt>
                <c:pt idx="16">
                  <c:v>Коченевский МР</c:v>
                </c:pt>
                <c:pt idx="17">
                  <c:v>р. п. Кольцово</c:v>
                </c:pt>
                <c:pt idx="18">
                  <c:v>Черепановский МР</c:v>
                </c:pt>
                <c:pt idx="19">
                  <c:v>Мошковский МР</c:v>
                </c:pt>
                <c:pt idx="20">
                  <c:v>г. Бердск</c:v>
                </c:pt>
                <c:pt idx="21">
                  <c:v>г. Обь</c:v>
                </c:pt>
                <c:pt idx="22">
                  <c:v>Венгеровский МР</c:v>
                </c:pt>
                <c:pt idx="23">
                  <c:v>Барабинский МР</c:v>
                </c:pt>
                <c:pt idx="24">
                  <c:v>Кочковский МР</c:v>
                </c:pt>
                <c:pt idx="25">
                  <c:v>Чулымский МР</c:v>
                </c:pt>
                <c:pt idx="26">
                  <c:v>Доволенский МР</c:v>
                </c:pt>
                <c:pt idx="27">
                  <c:v>Сузунский МР</c:v>
                </c:pt>
                <c:pt idx="28">
                  <c:v>Краснозерский МР</c:v>
                </c:pt>
                <c:pt idx="29">
                  <c:v>Кыштовский МР</c:v>
                </c:pt>
                <c:pt idx="30">
                  <c:v>Чановский МР</c:v>
                </c:pt>
                <c:pt idx="31">
                  <c:v>Тогучинский МР</c:v>
                </c:pt>
                <c:pt idx="32">
                  <c:v>Усть-Таркский МР</c:v>
                </c:pt>
                <c:pt idx="33">
                  <c:v>Северный МР</c:v>
                </c:pt>
                <c:pt idx="34">
                  <c:v>Ордынский МР</c:v>
                </c:pt>
              </c:strCache>
            </c:strRef>
          </c:cat>
          <c:val>
            <c:numRef>
              <c:f>Лист1!$D$2:$D$36</c:f>
              <c:numCache>
                <c:formatCode>0.0%</c:formatCode>
                <c:ptCount val="35"/>
                <c:pt idx="0">
                  <c:v>8.6000000000000021E-2</c:v>
                </c:pt>
                <c:pt idx="1">
                  <c:v>0.129</c:v>
                </c:pt>
                <c:pt idx="2">
                  <c:v>0.17100000000000001</c:v>
                </c:pt>
                <c:pt idx="3">
                  <c:v>0.24300000000000024</c:v>
                </c:pt>
                <c:pt idx="4">
                  <c:v>0.129</c:v>
                </c:pt>
                <c:pt idx="5">
                  <c:v>0.30000000000000032</c:v>
                </c:pt>
                <c:pt idx="6">
                  <c:v>0.21400000000000041</c:v>
                </c:pt>
                <c:pt idx="7">
                  <c:v>0.18600000000000044</c:v>
                </c:pt>
                <c:pt idx="8">
                  <c:v>0.18600000000000044</c:v>
                </c:pt>
                <c:pt idx="9">
                  <c:v>0.21400000000000041</c:v>
                </c:pt>
                <c:pt idx="10">
                  <c:v>0.34300000000000008</c:v>
                </c:pt>
                <c:pt idx="11">
                  <c:v>0.2</c:v>
                </c:pt>
                <c:pt idx="12">
                  <c:v>0.30600000000000038</c:v>
                </c:pt>
                <c:pt idx="13">
                  <c:v>0.25700000000000001</c:v>
                </c:pt>
                <c:pt idx="14">
                  <c:v>0.31300000000000305</c:v>
                </c:pt>
                <c:pt idx="15">
                  <c:v>0.31400000000000305</c:v>
                </c:pt>
                <c:pt idx="16">
                  <c:v>0.31400000000000305</c:v>
                </c:pt>
                <c:pt idx="17">
                  <c:v>0.38600000000000345</c:v>
                </c:pt>
                <c:pt idx="18">
                  <c:v>0.32400000000000345</c:v>
                </c:pt>
                <c:pt idx="19">
                  <c:v>0.38000000000000328</c:v>
                </c:pt>
                <c:pt idx="20">
                  <c:v>0.39700000000000396</c:v>
                </c:pt>
                <c:pt idx="21">
                  <c:v>0.42300000000000032</c:v>
                </c:pt>
                <c:pt idx="22">
                  <c:v>0.443</c:v>
                </c:pt>
                <c:pt idx="23">
                  <c:v>0.25700000000000001</c:v>
                </c:pt>
                <c:pt idx="24">
                  <c:v>0.35700000000000032</c:v>
                </c:pt>
                <c:pt idx="25">
                  <c:v>0.31400000000000305</c:v>
                </c:pt>
                <c:pt idx="26">
                  <c:v>0.45100000000000001</c:v>
                </c:pt>
                <c:pt idx="27">
                  <c:v>0.5</c:v>
                </c:pt>
                <c:pt idx="28">
                  <c:v>0.41400000000000031</c:v>
                </c:pt>
                <c:pt idx="29">
                  <c:v>0.4</c:v>
                </c:pt>
                <c:pt idx="30">
                  <c:v>0.52100000000000002</c:v>
                </c:pt>
                <c:pt idx="31">
                  <c:v>0.51400000000000001</c:v>
                </c:pt>
                <c:pt idx="32">
                  <c:v>0.62900000000000666</c:v>
                </c:pt>
                <c:pt idx="33">
                  <c:v>0.65700000000000791</c:v>
                </c:pt>
                <c:pt idx="34">
                  <c:v>0.59199999999999997</c:v>
                </c:pt>
              </c:numCache>
            </c:numRef>
          </c:val>
          <c:extLst xmlns:c16r2="http://schemas.microsoft.com/office/drawing/2015/06/chart">
            <c:ext xmlns:c16="http://schemas.microsoft.com/office/drawing/2014/chart" uri="{C3380CC4-5D6E-409C-BE32-E72D297353CC}">
              <c16:uniqueId val="{00000002-D355-468F-BF59-C1ADDA9082CC}"/>
            </c:ext>
          </c:extLst>
        </c:ser>
        <c:overlap val="100"/>
        <c:axId val="144363520"/>
        <c:axId val="144365056"/>
      </c:barChart>
      <c:catAx>
        <c:axId val="144363520"/>
        <c:scaling>
          <c:orientation val="maxMin"/>
        </c:scaling>
        <c:axPos val="l"/>
        <c:numFmt formatCode="General" sourceLinked="1"/>
        <c:tickLblPos val="nextTo"/>
        <c:crossAx val="144365056"/>
        <c:crosses val="autoZero"/>
        <c:auto val="1"/>
        <c:lblAlgn val="ctr"/>
        <c:lblOffset val="100"/>
      </c:catAx>
      <c:valAx>
        <c:axId val="144365056"/>
        <c:scaling>
          <c:orientation val="minMax"/>
          <c:max val="1"/>
          <c:min val="0"/>
        </c:scaling>
        <c:axPos val="t"/>
        <c:majorGridlines/>
        <c:numFmt formatCode="0.0%" sourceLinked="1"/>
        <c:tickLblPos val="nextTo"/>
        <c:txPr>
          <a:bodyPr/>
          <a:lstStyle/>
          <a:p>
            <a:pPr>
              <a:defRPr sz="800"/>
            </a:pPr>
            <a:endParaRPr lang="ru-RU"/>
          </a:p>
        </c:txPr>
        <c:crossAx val="144363520"/>
        <c:crosses val="autoZero"/>
        <c:crossBetween val="between"/>
        <c:majorUnit val="0.2"/>
      </c:valAx>
      <c:spPr>
        <a:noFill/>
        <a:ln>
          <a:solidFill>
            <a:schemeClr val="accent1"/>
          </a:solidFill>
        </a:ln>
      </c:spPr>
    </c:plotArea>
    <c:legend>
      <c:legendPos val="t"/>
      <c:layout>
        <c:manualLayout>
          <c:xMode val="edge"/>
          <c:yMode val="edge"/>
          <c:x val="0.14944056313024157"/>
          <c:y val="6.9553121196314124E-3"/>
          <c:w val="0.70506032766119064"/>
          <c:h val="2.9928242537757898E-2"/>
        </c:manualLayout>
      </c:layout>
    </c:legend>
    <c:plotVisOnly val="1"/>
    <c:dispBlanksAs val="gap"/>
  </c:chart>
  <c:spPr>
    <a:ln>
      <a:noFill/>
    </a:ln>
  </c:spPr>
  <c:txPr>
    <a:bodyPr/>
    <a:lstStyle/>
    <a:p>
      <a:pPr>
        <a:defRPr>
          <a:latin typeface="Arial Narrow" panose="020B0606020202030204" pitchFamily="34" charset="0"/>
        </a:defRPr>
      </a:pPr>
      <a:endParaRPr lang="ru-RU"/>
    </a:p>
  </c:txPr>
  <c:externalData r:id="rId1"/>
</c:chartSpace>
</file>

<file path=word/charts/chart76.xml><?xml version="1.0" encoding="utf-8"?>
<c:chartSpace xmlns:c="http://schemas.openxmlformats.org/drawingml/2006/chart" xmlns:a="http://schemas.openxmlformats.org/drawingml/2006/main" xmlns:r="http://schemas.openxmlformats.org/officeDocument/2006/relationships">
  <c:date1904 val="1"/>
  <c:lang val="ru-RU"/>
  <c:style val="1"/>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515942233678187"/>
          <c:y val="4.6001996229344594E-3"/>
          <c:w val="0.71361375880646449"/>
          <c:h val="0.80119362920544024"/>
        </c:manualLayout>
      </c:layout>
      <c:doughnutChart>
        <c:varyColors val="1"/>
        <c:ser>
          <c:idx val="0"/>
          <c:order val="0"/>
          <c:tx>
            <c:strRef>
              <c:f>Лист1!$B$1</c:f>
              <c:strCache>
                <c:ptCount val="1"/>
                <c:pt idx="0">
                  <c:v>блок3</c:v>
                </c:pt>
              </c:strCache>
            </c:strRef>
          </c:tx>
          <c:spPr>
            <a:ln w="19050">
              <a:solidFill>
                <a:schemeClr val="bg1"/>
              </a:solidFill>
            </a:ln>
          </c:spPr>
          <c:dPt>
            <c:idx val="0"/>
            <c:spPr>
              <a:solidFill>
                <a:srgbClr val="ED7D31">
                  <a:lumMod val="40000"/>
                  <a:lumOff val="60000"/>
                </a:srgbClr>
              </a:solidFill>
              <a:ln w="19050">
                <a:solidFill>
                  <a:schemeClr val="bg1"/>
                </a:solidFill>
              </a:ln>
            </c:spPr>
            <c:extLst xmlns:c16r2="http://schemas.microsoft.com/office/drawing/2015/06/chart">
              <c:ext xmlns:c16="http://schemas.microsoft.com/office/drawing/2014/chart" uri="{C3380CC4-5D6E-409C-BE32-E72D297353CC}">
                <c16:uniqueId val="{00000001-3127-461B-A824-81F31B66F490}"/>
              </c:ext>
            </c:extLst>
          </c:dPt>
          <c:dPt>
            <c:idx val="1"/>
            <c:explosion val="1"/>
            <c:spPr>
              <a:solidFill>
                <a:srgbClr val="B28AB2"/>
              </a:solidFill>
              <a:ln w="19050">
                <a:solidFill>
                  <a:schemeClr val="bg1"/>
                </a:solidFill>
              </a:ln>
            </c:spPr>
            <c:extLst xmlns:c16r2="http://schemas.microsoft.com/office/drawing/2015/06/chart">
              <c:ext xmlns:c16="http://schemas.microsoft.com/office/drawing/2014/chart" uri="{C3380CC4-5D6E-409C-BE32-E72D297353CC}">
                <c16:uniqueId val="{00000003-3127-461B-A824-81F31B66F490}"/>
              </c:ext>
            </c:extLst>
          </c:dPt>
          <c:dPt>
            <c:idx val="2"/>
            <c:spPr>
              <a:solidFill>
                <a:sysClr val="window" lastClr="FFFFFF">
                  <a:lumMod val="85000"/>
                </a:sysClr>
              </a:solidFill>
              <a:ln w="19050">
                <a:solidFill>
                  <a:schemeClr val="bg1"/>
                </a:solidFill>
              </a:ln>
            </c:spPr>
            <c:extLst xmlns:c16r2="http://schemas.microsoft.com/office/drawing/2015/06/chart">
              <c:ext xmlns:c16="http://schemas.microsoft.com/office/drawing/2014/chart" uri="{C3380CC4-5D6E-409C-BE32-E72D297353CC}">
                <c16:uniqueId val="{00000005-3127-461B-A824-81F31B66F490}"/>
              </c:ext>
            </c:extLst>
          </c:dPt>
          <c:dLbls>
            <c:dLbl>
              <c:idx val="0"/>
              <c:layout>
                <c:manualLayout>
                  <c:x val="9.0793150050291708E-3"/>
                  <c:y val="-1.1453462026869463E-2"/>
                </c:manualLayout>
              </c:layout>
              <c:spPr>
                <a:noFill/>
                <a:ln>
                  <a:noFill/>
                </a:ln>
                <a:effectLst/>
              </c:spPr>
              <c:txPr>
                <a:bodyPr/>
                <a:lstStyle/>
                <a:p>
                  <a:pPr>
                    <a:defRPr sz="1100" b="1">
                      <a:solidFill>
                        <a:sysClr val="windowText" lastClr="000000"/>
                      </a:solidFill>
                    </a:defRPr>
                  </a:pPr>
                  <a:endParaRPr lang="ru-RU"/>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3127-461B-A824-81F31B66F490}"/>
                </c:ext>
              </c:extLst>
            </c:dLbl>
            <c:spPr>
              <a:noFill/>
              <a:ln>
                <a:noFill/>
              </a:ln>
              <a:effectLst/>
            </c:spPr>
            <c:txPr>
              <a:bodyPr/>
              <a:lstStyle/>
              <a:p>
                <a:pPr>
                  <a:defRPr b="1">
                    <a:solidFill>
                      <a:sysClr val="windowText" lastClr="000000"/>
                    </a:solidFill>
                  </a:defRPr>
                </a:pPr>
                <a:endParaRPr lang="ru-RU"/>
              </a:p>
            </c:txPr>
            <c:showVal val="1"/>
            <c:showLeaderLines val="1"/>
            <c:extLst xmlns:c16r2="http://schemas.microsoft.com/office/drawing/2015/06/chart">
              <c:ext xmlns:c15="http://schemas.microsoft.com/office/drawing/2012/chart" uri="{CE6537A1-D6FC-4f65-9D91-7224C49458BB}"/>
            </c:extLst>
          </c:dLbls>
          <c:cat>
            <c:strRef>
              <c:f>Лист1!$A$2:$A$4</c:f>
              <c:strCache>
                <c:ptCount val="3"/>
                <c:pt idx="0">
                  <c:v>Да</c:v>
                </c:pt>
                <c:pt idx="1">
                  <c:v>Нет</c:v>
                </c:pt>
                <c:pt idx="2">
                  <c:v>Затрудняюсь ответить</c:v>
                </c:pt>
              </c:strCache>
            </c:strRef>
          </c:cat>
          <c:val>
            <c:numRef>
              <c:f>Лист1!$B$2:$B$4</c:f>
              <c:numCache>
                <c:formatCode>0.0%</c:formatCode>
                <c:ptCount val="3"/>
                <c:pt idx="0">
                  <c:v>0.502</c:v>
                </c:pt>
                <c:pt idx="1">
                  <c:v>0.36900000000000038</c:v>
                </c:pt>
                <c:pt idx="2">
                  <c:v>0.129</c:v>
                </c:pt>
              </c:numCache>
            </c:numRef>
          </c:val>
          <c:extLst xmlns:c16r2="http://schemas.microsoft.com/office/drawing/2015/06/chart">
            <c:ext xmlns:c16="http://schemas.microsoft.com/office/drawing/2014/chart" uri="{C3380CC4-5D6E-409C-BE32-E72D297353CC}">
              <c16:uniqueId val="{00000006-3127-461B-A824-81F31B66F490}"/>
            </c:ext>
          </c:extLst>
        </c:ser>
        <c:dLbls>
          <c:showPercent val="1"/>
        </c:dLbls>
        <c:firstSliceAng val="0"/>
        <c:holeSize val="50"/>
      </c:doughnutChart>
    </c:plotArea>
    <c:legend>
      <c:legendPos val="r"/>
      <c:layout>
        <c:manualLayout>
          <c:xMode val="edge"/>
          <c:yMode val="edge"/>
          <c:x val="0"/>
          <c:y val="0.80660594130279173"/>
          <c:w val="0.99946380184257688"/>
          <c:h val="0.19339405869720896"/>
        </c:manualLayout>
      </c:layout>
    </c:legend>
    <c:plotVisOnly val="1"/>
    <c:dispBlanksAs val="zero"/>
  </c:chart>
  <c:spPr>
    <a:ln>
      <a:noFill/>
    </a:ln>
  </c:spPr>
  <c:txPr>
    <a:bodyPr/>
    <a:lstStyle/>
    <a:p>
      <a:pPr algn="just">
        <a:defRPr>
          <a:latin typeface="Arial Narrow" panose="020B0606020202030204" pitchFamily="34" charset="0"/>
        </a:defRPr>
      </a:pPr>
      <a:endParaRPr lang="ru-RU"/>
    </a:p>
  </c:txPr>
  <c:externalData r:id="rId2"/>
</c:chartSpace>
</file>

<file path=word/charts/chart77.xml><?xml version="1.0" encoding="utf-8"?>
<c:chartSpace xmlns:c="http://schemas.openxmlformats.org/drawingml/2006/chart" xmlns:a="http://schemas.openxmlformats.org/drawingml/2006/main" xmlns:r="http://schemas.openxmlformats.org/officeDocument/2006/relationships">
  <c:date1904 val="1"/>
  <c:lang val="ru-RU"/>
  <c:style val="1"/>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515942233678187"/>
          <c:y val="4.6001996229344594E-3"/>
          <c:w val="0.71361375880646449"/>
          <c:h val="0.80119362920544024"/>
        </c:manualLayout>
      </c:layout>
      <c:doughnutChart>
        <c:varyColors val="1"/>
        <c:ser>
          <c:idx val="0"/>
          <c:order val="0"/>
          <c:tx>
            <c:strRef>
              <c:f>Лист1!$B$1</c:f>
              <c:strCache>
                <c:ptCount val="1"/>
                <c:pt idx="0">
                  <c:v>блок3</c:v>
                </c:pt>
              </c:strCache>
            </c:strRef>
          </c:tx>
          <c:spPr>
            <a:ln w="19050">
              <a:solidFill>
                <a:schemeClr val="bg1"/>
              </a:solidFill>
            </a:ln>
          </c:spPr>
          <c:dPt>
            <c:idx val="0"/>
            <c:spPr>
              <a:solidFill>
                <a:srgbClr val="ED7D31">
                  <a:lumMod val="40000"/>
                  <a:lumOff val="60000"/>
                </a:srgbClr>
              </a:solidFill>
              <a:ln w="19050">
                <a:solidFill>
                  <a:schemeClr val="bg1"/>
                </a:solidFill>
              </a:ln>
            </c:spPr>
            <c:extLst xmlns:c16r2="http://schemas.microsoft.com/office/drawing/2015/06/chart">
              <c:ext xmlns:c16="http://schemas.microsoft.com/office/drawing/2014/chart" uri="{C3380CC4-5D6E-409C-BE32-E72D297353CC}">
                <c16:uniqueId val="{00000001-3F98-4ADE-9115-F26F59B98EFD}"/>
              </c:ext>
            </c:extLst>
          </c:dPt>
          <c:dPt>
            <c:idx val="1"/>
            <c:explosion val="1"/>
            <c:spPr>
              <a:solidFill>
                <a:srgbClr val="B28AB2"/>
              </a:solidFill>
              <a:ln w="19050">
                <a:solidFill>
                  <a:schemeClr val="bg1"/>
                </a:solidFill>
              </a:ln>
            </c:spPr>
            <c:extLst xmlns:c16r2="http://schemas.microsoft.com/office/drawing/2015/06/chart">
              <c:ext xmlns:c16="http://schemas.microsoft.com/office/drawing/2014/chart" uri="{C3380CC4-5D6E-409C-BE32-E72D297353CC}">
                <c16:uniqueId val="{00000003-3F98-4ADE-9115-F26F59B98EFD}"/>
              </c:ext>
            </c:extLst>
          </c:dPt>
          <c:dPt>
            <c:idx val="2"/>
            <c:spPr>
              <a:solidFill>
                <a:sysClr val="window" lastClr="FFFFFF">
                  <a:lumMod val="85000"/>
                </a:sysClr>
              </a:solidFill>
              <a:ln w="19050">
                <a:solidFill>
                  <a:schemeClr val="bg1"/>
                </a:solidFill>
              </a:ln>
            </c:spPr>
            <c:extLst xmlns:c16r2="http://schemas.microsoft.com/office/drawing/2015/06/chart">
              <c:ext xmlns:c16="http://schemas.microsoft.com/office/drawing/2014/chart" uri="{C3380CC4-5D6E-409C-BE32-E72D297353CC}">
                <c16:uniqueId val="{00000005-3F98-4ADE-9115-F26F59B98EFD}"/>
              </c:ext>
            </c:extLst>
          </c:dPt>
          <c:dLbls>
            <c:dLbl>
              <c:idx val="0"/>
              <c:layout>
                <c:manualLayout>
                  <c:x val="2.1156905687340824E-4"/>
                  <c:y val="-6.9041729876112524E-3"/>
                </c:manualLayout>
              </c:layout>
              <c:spPr>
                <a:noFill/>
                <a:ln>
                  <a:noFill/>
                </a:ln>
                <a:effectLst/>
              </c:spPr>
              <c:txPr>
                <a:bodyPr/>
                <a:lstStyle/>
                <a:p>
                  <a:pPr>
                    <a:defRPr sz="1100" b="1">
                      <a:solidFill>
                        <a:sysClr val="windowText" lastClr="000000"/>
                      </a:solidFill>
                    </a:defRPr>
                  </a:pPr>
                  <a:endParaRPr lang="ru-RU"/>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3F98-4ADE-9115-F26F59B98EFD}"/>
                </c:ext>
              </c:extLst>
            </c:dLbl>
            <c:spPr>
              <a:noFill/>
              <a:ln>
                <a:noFill/>
              </a:ln>
              <a:effectLst/>
            </c:spPr>
            <c:txPr>
              <a:bodyPr/>
              <a:lstStyle/>
              <a:p>
                <a:pPr>
                  <a:defRPr b="1">
                    <a:solidFill>
                      <a:sysClr val="windowText" lastClr="000000"/>
                    </a:solidFill>
                  </a:defRPr>
                </a:pPr>
                <a:endParaRPr lang="ru-RU"/>
              </a:p>
            </c:txPr>
            <c:showVal val="1"/>
            <c:showLeaderLines val="1"/>
            <c:extLst xmlns:c16r2="http://schemas.microsoft.com/office/drawing/2015/06/chart">
              <c:ext xmlns:c15="http://schemas.microsoft.com/office/drawing/2012/chart" uri="{CE6537A1-D6FC-4f65-9D91-7224C49458BB}"/>
            </c:extLst>
          </c:dLbls>
          <c:cat>
            <c:strRef>
              <c:f>Лист1!$A$2:$A$4</c:f>
              <c:strCache>
                <c:ptCount val="3"/>
                <c:pt idx="0">
                  <c:v>Да</c:v>
                </c:pt>
                <c:pt idx="1">
                  <c:v>Нет</c:v>
                </c:pt>
                <c:pt idx="2">
                  <c:v>Затрудняюсь ответить</c:v>
                </c:pt>
              </c:strCache>
            </c:strRef>
          </c:cat>
          <c:val>
            <c:numRef>
              <c:f>Лист1!$B$2:$B$4</c:f>
              <c:numCache>
                <c:formatCode>0.0%</c:formatCode>
                <c:ptCount val="3"/>
                <c:pt idx="0">
                  <c:v>0.52100000000000002</c:v>
                </c:pt>
                <c:pt idx="1">
                  <c:v>0.37800000000000272</c:v>
                </c:pt>
                <c:pt idx="2">
                  <c:v>0.10100000000000002</c:v>
                </c:pt>
              </c:numCache>
            </c:numRef>
          </c:val>
          <c:extLst xmlns:c16r2="http://schemas.microsoft.com/office/drawing/2015/06/chart">
            <c:ext xmlns:c16="http://schemas.microsoft.com/office/drawing/2014/chart" uri="{C3380CC4-5D6E-409C-BE32-E72D297353CC}">
              <c16:uniqueId val="{00000006-3F98-4ADE-9115-F26F59B98EFD}"/>
            </c:ext>
          </c:extLst>
        </c:ser>
        <c:dLbls>
          <c:showPercent val="1"/>
        </c:dLbls>
        <c:firstSliceAng val="0"/>
        <c:holeSize val="50"/>
      </c:doughnutChart>
    </c:plotArea>
    <c:legend>
      <c:legendPos val="r"/>
      <c:layout>
        <c:manualLayout>
          <c:xMode val="edge"/>
          <c:yMode val="edge"/>
          <c:x val="0"/>
          <c:y val="0.80660594130279173"/>
          <c:w val="0.99946380184257666"/>
          <c:h val="0.19339405869720849"/>
        </c:manualLayout>
      </c:layout>
    </c:legend>
    <c:plotVisOnly val="1"/>
    <c:dispBlanksAs val="zero"/>
  </c:chart>
  <c:spPr>
    <a:ln>
      <a:noFill/>
    </a:ln>
  </c:spPr>
  <c:txPr>
    <a:bodyPr/>
    <a:lstStyle/>
    <a:p>
      <a:pPr algn="just">
        <a:defRPr>
          <a:latin typeface="Arial Narrow" panose="020B0606020202030204" pitchFamily="34" charset="0"/>
        </a:defRPr>
      </a:pPr>
      <a:endParaRPr lang="ru-RU"/>
    </a:p>
  </c:txPr>
  <c:externalData r:id="rId2"/>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51976903512805861"/>
          <c:y val="7.6190911549699314E-2"/>
          <c:w val="0.51500114184177459"/>
          <c:h val="0.91005535048322161"/>
        </c:manualLayout>
      </c:layout>
      <c:barChart>
        <c:barDir val="bar"/>
        <c:grouping val="stacked"/>
        <c:ser>
          <c:idx val="0"/>
          <c:order val="0"/>
          <c:tx>
            <c:strRef>
              <c:f>Лист1!$B$1</c:f>
              <c:strCache>
                <c:ptCount val="1"/>
                <c:pt idx="0">
                  <c:v>Удовлетворительно</c:v>
                </c:pt>
              </c:strCache>
            </c:strRef>
          </c:tx>
          <c:spPr>
            <a:solidFill>
              <a:srgbClr val="ED7D31">
                <a:lumMod val="40000"/>
                <a:lumOff val="60000"/>
              </a:srgbClr>
            </a:solidFill>
          </c:spPr>
          <c:dLbls>
            <c:spPr>
              <a:noFill/>
              <a:ln>
                <a:no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услуг социального обслуживания населения</c:v>
                </c:pt>
                <c:pt idx="3">
                  <c:v>Рынок медицинских услуг</c:v>
                </c:pt>
                <c:pt idx="4">
                  <c:v>Рынок услуг дополнительного образования детей</c:v>
                </c:pt>
                <c:pt idx="5">
                  <c:v>Рынок услуг психолого-педагогического сопровождения детей с ограниченными возможностями здоровья</c:v>
                </c:pt>
                <c:pt idx="6">
                  <c:v>Рынок услуг ЖКХ</c:v>
                </c:pt>
                <c:pt idx="7">
                  <c:v>Рынок услуг связи</c:v>
                </c:pt>
                <c:pt idx="8">
                  <c:v>Розничная торговля</c:v>
                </c:pt>
                <c:pt idx="9">
                  <c:v>Рынок услуг по сбору, сортировке и переработке твердых коммунальных (бытовых) отходов</c:v>
                </c:pt>
                <c:pt idx="10">
                  <c:v>Рынок развития, производства, переработки и хранения с‎\х продукции</c:v>
                </c:pt>
                <c:pt idx="11">
                  <c:v>Рынок услуг в сфере культуры</c:v>
                </c:pt>
                <c:pt idx="12">
                  <c:v>Рынок услуг перевозок пассажиров наземным транспортом</c:v>
                </c:pt>
              </c:strCache>
            </c:strRef>
          </c:cat>
          <c:val>
            <c:numRef>
              <c:f>Лист1!$B$2:$B$14</c:f>
              <c:numCache>
                <c:formatCode>0.0%</c:formatCode>
                <c:ptCount val="13"/>
                <c:pt idx="0">
                  <c:v>0.70000000000000062</c:v>
                </c:pt>
                <c:pt idx="1">
                  <c:v>0.60000000000000064</c:v>
                </c:pt>
                <c:pt idx="2">
                  <c:v>0.48000000000000032</c:v>
                </c:pt>
                <c:pt idx="3">
                  <c:v>0.41400000000000031</c:v>
                </c:pt>
                <c:pt idx="4">
                  <c:v>0.4</c:v>
                </c:pt>
                <c:pt idx="5">
                  <c:v>0.36000000000000032</c:v>
                </c:pt>
                <c:pt idx="6">
                  <c:v>0.35700000000000032</c:v>
                </c:pt>
                <c:pt idx="7">
                  <c:v>0.32000000000000373</c:v>
                </c:pt>
                <c:pt idx="8">
                  <c:v>0.30600000000000038</c:v>
                </c:pt>
                <c:pt idx="9">
                  <c:v>0.30000000000000032</c:v>
                </c:pt>
                <c:pt idx="10">
                  <c:v>0.27</c:v>
                </c:pt>
                <c:pt idx="11">
                  <c:v>0.24000000000000021</c:v>
                </c:pt>
                <c:pt idx="12">
                  <c:v>0.15000000000000024</c:v>
                </c:pt>
              </c:numCache>
            </c:numRef>
          </c:val>
          <c:extLst xmlns:c16r2="http://schemas.microsoft.com/office/drawing/2015/06/chart">
            <c:ext xmlns:c16="http://schemas.microsoft.com/office/drawing/2014/chart" uri="{C3380CC4-5D6E-409C-BE32-E72D297353CC}">
              <c16:uniqueId val="{00000000-12FF-4342-A97F-62EC88B12619}"/>
            </c:ext>
          </c:extLst>
        </c:ser>
        <c:ser>
          <c:idx val="1"/>
          <c:order val="1"/>
          <c:tx>
            <c:strRef>
              <c:f>Лист1!$C$1</c:f>
              <c:strCache>
                <c:ptCount val="1"/>
                <c:pt idx="0">
                  <c:v>Неудовлетворительно</c:v>
                </c:pt>
              </c:strCache>
            </c:strRef>
          </c:tx>
          <c:spPr>
            <a:solidFill>
              <a:srgbClr val="B28AB2"/>
            </a:solidFill>
            <a:ln>
              <a:noFill/>
            </a:ln>
          </c:spPr>
          <c:dLbls>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12FF-4342-A97F-62EC88B12619}"/>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услуг социального обслуживания населения</c:v>
                </c:pt>
                <c:pt idx="3">
                  <c:v>Рынок медицинских услуг</c:v>
                </c:pt>
                <c:pt idx="4">
                  <c:v>Рынок услуг дополнительного образования детей</c:v>
                </c:pt>
                <c:pt idx="5">
                  <c:v>Рынок услуг психолого-педагогического сопровождения детей с ограниченными возможностями здоровья</c:v>
                </c:pt>
                <c:pt idx="6">
                  <c:v>Рынок услуг ЖКХ</c:v>
                </c:pt>
                <c:pt idx="7">
                  <c:v>Рынок услуг связи</c:v>
                </c:pt>
                <c:pt idx="8">
                  <c:v>Розничная торговля</c:v>
                </c:pt>
                <c:pt idx="9">
                  <c:v>Рынок услуг по сбору, сортировке и переработке твердых коммунальных (бытовых) отходов</c:v>
                </c:pt>
                <c:pt idx="10">
                  <c:v>Рынок развития, производства, переработки и хранения с‎\х продукции</c:v>
                </c:pt>
                <c:pt idx="11">
                  <c:v>Рынок услуг в сфере культуры</c:v>
                </c:pt>
                <c:pt idx="12">
                  <c:v>Рынок услуг перевозок пассажиров наземным транспортом</c:v>
                </c:pt>
              </c:strCache>
            </c:strRef>
          </c:cat>
          <c:val>
            <c:numRef>
              <c:f>Лист1!$C$2:$C$14</c:f>
              <c:numCache>
                <c:formatCode>0.0%</c:formatCode>
                <c:ptCount val="13"/>
                <c:pt idx="0">
                  <c:v>0.30000000000000032</c:v>
                </c:pt>
                <c:pt idx="1">
                  <c:v>0</c:v>
                </c:pt>
                <c:pt idx="2">
                  <c:v>0.44</c:v>
                </c:pt>
                <c:pt idx="3">
                  <c:v>0.41400000000000031</c:v>
                </c:pt>
                <c:pt idx="4">
                  <c:v>0.44</c:v>
                </c:pt>
                <c:pt idx="5">
                  <c:v>0.48000000000000032</c:v>
                </c:pt>
                <c:pt idx="6">
                  <c:v>0.51400000000000001</c:v>
                </c:pt>
                <c:pt idx="7">
                  <c:v>0.16</c:v>
                </c:pt>
                <c:pt idx="8">
                  <c:v>0.45600000000000002</c:v>
                </c:pt>
                <c:pt idx="9">
                  <c:v>0.70000000000000062</c:v>
                </c:pt>
                <c:pt idx="10">
                  <c:v>0.35000000000000031</c:v>
                </c:pt>
                <c:pt idx="11">
                  <c:v>0.28000000000000008</c:v>
                </c:pt>
                <c:pt idx="12">
                  <c:v>0.4</c:v>
                </c:pt>
              </c:numCache>
            </c:numRef>
          </c:val>
          <c:extLst xmlns:c16r2="http://schemas.microsoft.com/office/drawing/2015/06/chart">
            <c:ext xmlns:c16="http://schemas.microsoft.com/office/drawing/2014/chart" uri="{C3380CC4-5D6E-409C-BE32-E72D297353CC}">
              <c16:uniqueId val="{00000002-12FF-4342-A97F-62EC88B12619}"/>
            </c:ext>
          </c:extLst>
        </c:ser>
        <c:ser>
          <c:idx val="2"/>
          <c:order val="2"/>
          <c:tx>
            <c:strRef>
              <c:f>Лист1!$D$1</c:f>
              <c:strCache>
                <c:ptCount val="1"/>
                <c:pt idx="0">
                  <c:v>Затрудняюсь ответить</c:v>
                </c:pt>
              </c:strCache>
            </c:strRef>
          </c:tx>
          <c:spPr>
            <a:solidFill>
              <a:sysClr val="window" lastClr="FFFFFF">
                <a:lumMod val="85000"/>
              </a:sysClr>
            </a:solidFill>
          </c:spPr>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12FF-4342-A97F-62EC88B12619}"/>
                </c:ext>
              </c:extLst>
            </c:dLbl>
            <c:dLbl>
              <c:idx val="9"/>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12FF-4342-A97F-62EC88B12619}"/>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услуг социального обслуживания населения</c:v>
                </c:pt>
                <c:pt idx="3">
                  <c:v>Рынок медицинских услуг</c:v>
                </c:pt>
                <c:pt idx="4">
                  <c:v>Рынок услуг дополнительного образования детей</c:v>
                </c:pt>
                <c:pt idx="5">
                  <c:v>Рынок услуг психолого-педагогического сопровождения детей с ограниченными возможностями здоровья</c:v>
                </c:pt>
                <c:pt idx="6">
                  <c:v>Рынок услуг ЖКХ</c:v>
                </c:pt>
                <c:pt idx="7">
                  <c:v>Рынок услуг связи</c:v>
                </c:pt>
                <c:pt idx="8">
                  <c:v>Розничная торговля</c:v>
                </c:pt>
                <c:pt idx="9">
                  <c:v>Рынок услуг по сбору, сортировке и переработке твердых коммунальных (бытовых) отходов</c:v>
                </c:pt>
                <c:pt idx="10">
                  <c:v>Рынок развития, производства, переработки и хранения с‎\х продукции</c:v>
                </c:pt>
                <c:pt idx="11">
                  <c:v>Рынок услуг в сфере культуры</c:v>
                </c:pt>
                <c:pt idx="12">
                  <c:v>Рынок услуг перевозок пассажиров наземным транспортом</c:v>
                </c:pt>
              </c:strCache>
            </c:strRef>
          </c:cat>
          <c:val>
            <c:numRef>
              <c:f>Лист1!$D$2:$D$14</c:f>
              <c:numCache>
                <c:formatCode>0.0%</c:formatCode>
                <c:ptCount val="13"/>
                <c:pt idx="0">
                  <c:v>0</c:v>
                </c:pt>
                <c:pt idx="1">
                  <c:v>0.4</c:v>
                </c:pt>
                <c:pt idx="2">
                  <c:v>8.0000000000000043E-2</c:v>
                </c:pt>
                <c:pt idx="3">
                  <c:v>0.17100000000000001</c:v>
                </c:pt>
                <c:pt idx="4">
                  <c:v>0.16</c:v>
                </c:pt>
                <c:pt idx="5">
                  <c:v>0.16</c:v>
                </c:pt>
                <c:pt idx="6">
                  <c:v>0.129</c:v>
                </c:pt>
                <c:pt idx="7">
                  <c:v>0.52</c:v>
                </c:pt>
                <c:pt idx="8">
                  <c:v>0.23900000000000021</c:v>
                </c:pt>
                <c:pt idx="9">
                  <c:v>0</c:v>
                </c:pt>
                <c:pt idx="10">
                  <c:v>0.38000000000000356</c:v>
                </c:pt>
                <c:pt idx="11">
                  <c:v>0.48000000000000032</c:v>
                </c:pt>
                <c:pt idx="12">
                  <c:v>0.45</c:v>
                </c:pt>
              </c:numCache>
            </c:numRef>
          </c:val>
          <c:extLst xmlns:c16r2="http://schemas.microsoft.com/office/drawing/2015/06/chart">
            <c:ext xmlns:c16="http://schemas.microsoft.com/office/drawing/2014/chart" uri="{C3380CC4-5D6E-409C-BE32-E72D297353CC}">
              <c16:uniqueId val="{00000005-12FF-4342-A97F-62EC88B12619}"/>
            </c:ext>
          </c:extLst>
        </c:ser>
        <c:overlap val="100"/>
        <c:axId val="98990336"/>
        <c:axId val="99004416"/>
      </c:barChart>
      <c:catAx>
        <c:axId val="98990336"/>
        <c:scaling>
          <c:orientation val="maxMin"/>
        </c:scaling>
        <c:axPos val="l"/>
        <c:numFmt formatCode="General" sourceLinked="1"/>
        <c:tickLblPos val="nextTo"/>
        <c:crossAx val="99004416"/>
        <c:crosses val="autoZero"/>
        <c:auto val="1"/>
        <c:lblAlgn val="ctr"/>
        <c:lblOffset val="100"/>
      </c:catAx>
      <c:valAx>
        <c:axId val="99004416"/>
        <c:scaling>
          <c:orientation val="minMax"/>
          <c:max val="1"/>
          <c:min val="0"/>
        </c:scaling>
        <c:axPos val="t"/>
        <c:majorGridlines/>
        <c:numFmt formatCode="0.0%" sourceLinked="1"/>
        <c:tickLblPos val="nextTo"/>
        <c:txPr>
          <a:bodyPr/>
          <a:lstStyle/>
          <a:p>
            <a:pPr>
              <a:defRPr sz="600"/>
            </a:pPr>
            <a:endParaRPr lang="ru-RU"/>
          </a:p>
        </c:txPr>
        <c:crossAx val="98990336"/>
        <c:crosses val="autoZero"/>
        <c:crossBetween val="between"/>
        <c:majorUnit val="0.2"/>
      </c:valAx>
      <c:spPr>
        <a:noFill/>
        <a:ln>
          <a:solidFill>
            <a:schemeClr val="accent1"/>
          </a:solidFill>
        </a:ln>
      </c:spPr>
    </c:plotArea>
    <c:legend>
      <c:legendPos val="t"/>
      <c:layout>
        <c:manualLayout>
          <c:xMode val="edge"/>
          <c:yMode val="edge"/>
          <c:x val="0.16742825948901799"/>
          <c:y val="0"/>
          <c:w val="0.6651433246052908"/>
          <c:h val="3.9476450191432477E-2"/>
        </c:manualLayout>
      </c:layout>
    </c:legend>
    <c:plotVisOnly val="1"/>
    <c:dispBlanksAs val="gap"/>
  </c:chart>
  <c:spPr>
    <a:ln>
      <a:noFill/>
    </a:ln>
  </c:spPr>
  <c:txPr>
    <a:bodyPr/>
    <a:lstStyle/>
    <a:p>
      <a:pPr>
        <a:defRPr>
          <a:latin typeface="Arial Narrow" panose="020B0606020202030204" pitchFamily="34" charset="0"/>
        </a:defRPr>
      </a:pPr>
      <a:endParaRPr lang="ru-RU"/>
    </a:p>
  </c:txPr>
  <c:externalData r:id="rId2"/>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27650257804892092"/>
          <c:y val="0.14563538932633693"/>
          <c:w val="0.68250275481088496"/>
          <c:h val="0.84061078302712167"/>
        </c:manualLayout>
      </c:layout>
      <c:barChart>
        <c:barDir val="bar"/>
        <c:grouping val="stacked"/>
        <c:ser>
          <c:idx val="0"/>
          <c:order val="0"/>
          <c:tx>
            <c:strRef>
              <c:f>Лист1!$B$1</c:f>
              <c:strCache>
                <c:ptCount val="1"/>
                <c:pt idx="0">
                  <c:v>Удовлетворительно</c:v>
                </c:pt>
              </c:strCache>
            </c:strRef>
          </c:tx>
          <c:spPr>
            <a:solidFill>
              <a:srgbClr val="ED7D31">
                <a:lumMod val="40000"/>
                <a:lumOff val="60000"/>
              </a:srgbClr>
            </a:solidFill>
          </c:spPr>
          <c:dLbls>
            <c:spPr>
              <a:noFill/>
              <a:ln>
                <a:noFill/>
              </a:ln>
              <a:effectLst/>
            </c:spPr>
            <c:txPr>
              <a:bodyPr/>
              <a:lstStyle/>
              <a:p>
                <a:pPr>
                  <a:defRPr>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среднее предприятие</c:v>
                </c:pt>
                <c:pt idx="1">
                  <c:v>малое предприятие</c:v>
                </c:pt>
              </c:strCache>
            </c:strRef>
          </c:cat>
          <c:val>
            <c:numRef>
              <c:f>Лист1!$B$2:$B$3</c:f>
              <c:numCache>
                <c:formatCode>0.0%</c:formatCode>
                <c:ptCount val="2"/>
                <c:pt idx="0">
                  <c:v>0.18200000000000024</c:v>
                </c:pt>
                <c:pt idx="1">
                  <c:v>0.33500000000000441</c:v>
                </c:pt>
              </c:numCache>
            </c:numRef>
          </c:val>
          <c:extLst xmlns:c16r2="http://schemas.microsoft.com/office/drawing/2015/06/chart">
            <c:ext xmlns:c16="http://schemas.microsoft.com/office/drawing/2014/chart" uri="{C3380CC4-5D6E-409C-BE32-E72D297353CC}">
              <c16:uniqueId val="{00000000-5800-486C-B342-F9ADBBEEA3B1}"/>
            </c:ext>
          </c:extLst>
        </c:ser>
        <c:ser>
          <c:idx val="1"/>
          <c:order val="1"/>
          <c:tx>
            <c:strRef>
              <c:f>Лист1!$C$1</c:f>
              <c:strCache>
                <c:ptCount val="1"/>
                <c:pt idx="0">
                  <c:v>Неудовлетворительно</c:v>
                </c:pt>
              </c:strCache>
            </c:strRef>
          </c:tx>
          <c:spPr>
            <a:solidFill>
              <a:srgbClr val="B28AB2"/>
            </a:solidFill>
            <a:ln>
              <a:noFill/>
            </a:ln>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среднее предприятие</c:v>
                </c:pt>
                <c:pt idx="1">
                  <c:v>малое предприятие</c:v>
                </c:pt>
              </c:strCache>
            </c:strRef>
          </c:cat>
          <c:val>
            <c:numRef>
              <c:f>Лист1!$C$2:$C$3</c:f>
              <c:numCache>
                <c:formatCode>0.0%</c:formatCode>
                <c:ptCount val="2"/>
                <c:pt idx="0">
                  <c:v>0.45500000000000002</c:v>
                </c:pt>
                <c:pt idx="1">
                  <c:v>0.40700000000000008</c:v>
                </c:pt>
              </c:numCache>
            </c:numRef>
          </c:val>
          <c:extLst xmlns:c16r2="http://schemas.microsoft.com/office/drawing/2015/06/chart">
            <c:ext xmlns:c16="http://schemas.microsoft.com/office/drawing/2014/chart" uri="{C3380CC4-5D6E-409C-BE32-E72D297353CC}">
              <c16:uniqueId val="{00000001-5800-486C-B342-F9ADBBEEA3B1}"/>
            </c:ext>
          </c:extLst>
        </c:ser>
        <c:ser>
          <c:idx val="2"/>
          <c:order val="2"/>
          <c:tx>
            <c:strRef>
              <c:f>Лист1!$D$1</c:f>
              <c:strCache>
                <c:ptCount val="1"/>
                <c:pt idx="0">
                  <c:v>Затрудняюсь ответить</c:v>
                </c:pt>
              </c:strCache>
            </c:strRef>
          </c:tx>
          <c:spPr>
            <a:solidFill>
              <a:sysClr val="window" lastClr="FFFFFF">
                <a:lumMod val="85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среднее предприятие</c:v>
                </c:pt>
                <c:pt idx="1">
                  <c:v>малое предприятие</c:v>
                </c:pt>
              </c:strCache>
            </c:strRef>
          </c:cat>
          <c:val>
            <c:numRef>
              <c:f>Лист1!$D$2:$D$3</c:f>
              <c:numCache>
                <c:formatCode>0.0%</c:formatCode>
                <c:ptCount val="2"/>
                <c:pt idx="0">
                  <c:v>0.36400000000000032</c:v>
                </c:pt>
                <c:pt idx="1">
                  <c:v>0.25800000000000001</c:v>
                </c:pt>
              </c:numCache>
            </c:numRef>
          </c:val>
          <c:extLst xmlns:c16r2="http://schemas.microsoft.com/office/drawing/2015/06/chart">
            <c:ext xmlns:c16="http://schemas.microsoft.com/office/drawing/2014/chart" uri="{C3380CC4-5D6E-409C-BE32-E72D297353CC}">
              <c16:uniqueId val="{00000002-5800-486C-B342-F9ADBBEEA3B1}"/>
            </c:ext>
          </c:extLst>
        </c:ser>
        <c:overlap val="100"/>
        <c:axId val="98200576"/>
        <c:axId val="98210560"/>
      </c:barChart>
      <c:catAx>
        <c:axId val="98200576"/>
        <c:scaling>
          <c:orientation val="maxMin"/>
        </c:scaling>
        <c:axPos val="l"/>
        <c:numFmt formatCode="General" sourceLinked="1"/>
        <c:tickLblPos val="nextTo"/>
        <c:crossAx val="98210560"/>
        <c:crosses val="autoZero"/>
        <c:auto val="1"/>
        <c:lblAlgn val="ctr"/>
        <c:lblOffset val="100"/>
      </c:catAx>
      <c:valAx>
        <c:axId val="98210560"/>
        <c:scaling>
          <c:orientation val="minMax"/>
          <c:max val="1"/>
          <c:min val="0"/>
        </c:scaling>
        <c:delete val="1"/>
        <c:axPos val="t"/>
        <c:majorGridlines/>
        <c:numFmt formatCode="0.0%" sourceLinked="1"/>
        <c:tickLblPos val="none"/>
        <c:crossAx val="98200576"/>
        <c:crosses val="autoZero"/>
        <c:crossBetween val="between"/>
        <c:majorUnit val="0.2"/>
      </c:valAx>
      <c:spPr>
        <a:noFill/>
        <a:ln>
          <a:solidFill>
            <a:schemeClr val="accent1"/>
          </a:solidFill>
        </a:ln>
      </c:spPr>
    </c:plotArea>
    <c:legend>
      <c:legendPos val="t"/>
    </c:legend>
    <c:plotVisOnly val="1"/>
    <c:dispBlanksAs val="gap"/>
  </c:chart>
  <c:spPr>
    <a:ln>
      <a:noFill/>
    </a:ln>
  </c:spPr>
  <c:txPr>
    <a:bodyPr/>
    <a:lstStyle/>
    <a:p>
      <a:pPr>
        <a:defRPr>
          <a:latin typeface="Arial Narrow" panose="020B0606020202030204" pitchFamily="34" charset="0"/>
        </a:defRPr>
      </a:pPr>
      <a:endParaRPr lang="ru-RU"/>
    </a:p>
  </c:txPr>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DF9DC42-DC5D-447E-8C11-A3300E67FE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209</Pages>
  <Words>54471</Words>
  <Characters>310486</Characters>
  <Application>Microsoft Office Word</Application>
  <DocSecurity>0</DocSecurity>
  <Lines>2587</Lines>
  <Paragraphs>728</Paragraphs>
  <ScaleCrop>false</ScaleCrop>
  <HeadingPairs>
    <vt:vector size="2" baseType="variant">
      <vt:variant>
        <vt:lpstr>Название</vt:lpstr>
      </vt:variant>
      <vt:variant>
        <vt:i4>1</vt:i4>
      </vt:variant>
    </vt:vector>
  </HeadingPairs>
  <TitlesOfParts>
    <vt:vector size="1" baseType="lpstr">
      <vt:lpstr/>
    </vt:vector>
  </TitlesOfParts>
  <Company>Krokoz™</Company>
  <LinksUpToDate>false</LinksUpToDate>
  <CharactersWithSpaces>364229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Мария I</dc:creator>
  <cp:lastModifiedBy>Витал</cp:lastModifiedBy>
  <cp:revision>4</cp:revision>
  <dcterms:created xsi:type="dcterms:W3CDTF">2017-03-15T11:06:00Z</dcterms:created>
  <dcterms:modified xsi:type="dcterms:W3CDTF">2017-03-15T11:22:00Z</dcterms:modified>
</cp:coreProperties>
</file>